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jc w:val="center"/>
      </w:pPr>
      <w:r>
        <w:t xml:space="preserve">Sustento Bibliográfico — Formato IEEE</w:t>
      </w:r>
    </w:p>
    <w:p>
      <w:pPr>
        <w:pStyle w:val="Heading2"/>
        <w:jc w:val="left"/>
      </w:pPr>
      <w:r>
        <w:t xml:space="preserve">1. Texto fundamentado</w:t>
      </w:r>
    </w:p>
    <w:p>
      <w:pPr>
        <w:spacing w:after="200" w:line="360" w:lineRule="auto"/>
        <w:ind w:left="360" w:right="360"/>
        <w:jc w:val="both"/>
      </w:pPr>
      <w:r>
        <w:rPr>
          <w:i/>
        </w:rPr>
        <w:t xml:space="preserve">El uso excesivo de pantallas ocupa gran parte de su tiempo libre y disminuye el interés por la actividad física </w:t>
      </w:r>
      <w:sdt>
        <w:sdtPr>
          <w:tag w:val="MENDELEY_CITATIONS_v3{&quot;citationID&quot;: &quot;MENDELEY_CITATION_fc165399-433d-4fd5-865d-6c1549f309c0&quot;, &quot;citationItems&quot;: [{&quot;id&quot;: &quot;3518f9b4-9e92-4102-a3e4-40f2183df784&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995e2f6c-9ce8-4374-8406-b857636a9d2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2ccf0520-134e-4221-8caf-357bcf3c1df5&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3]&quot;, &quot;manualOverrideText&quot;: &quot;&quot;}}"/>
          <w:id w:val="1001"/>
        </w:sdtPr>
        <w:sdtContent>
          <w:r>
            <w:rPr>
              <w:i/>
            </w:rPr>
            <w:t xml:space="preserve">[1]–[3]</w:t>
          </w:r>
        </w:sdtContent>
      </w:sdt>
      <w:r>
        <w:rPr>
          <w:i/>
        </w:rPr>
        <w:t xml:space="preserve">. La implementación de recordatorios interactivos y recursos visuales atractivos podría contribuir a captar su atención y a fomentar la creación de un hábito constante de ejercicio </w:t>
      </w:r>
      <w:sdt>
        <w:sdtPr>
          <w:tag w:val="MENDELEY_CITATIONS_v3{&quot;citationID&quot;: &quot;MENDELEY_CITATION_1815e11c-a98f-4817-9211-922339c7cb7f&quot;, &quot;citationItems&quot;: [{&quot;id&quot;: &quot;7acee582-4a11-4de3-919f-a8919c354f3d&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6205ca6a-3b38-4f30-9f37-73328c7db3e6&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d9a5168f-4dd3-4d3b-a8a0-22a7b2a10e6f&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4]–[6]&quot;, &quot;manualOverrideText&quot;: &quot;&quot;}}"/>
          <w:id w:val="1002"/>
        </w:sdtPr>
        <w:sdtContent>
          <w:r>
            <w:rPr>
              <w:i/>
            </w:rPr>
            <w:t xml:space="preserve">[4]–[6]</w:t>
          </w:r>
        </w:sdtContent>
      </w:sdt>
      <w:r>
        <w:rPr>
          <w:i/>
        </w:rPr>
        <w:t xml:space="preserve">, pero actualmente estos mecanismos no se encuentran ampliamente disponibles ni adaptados a su contexto </w:t>
      </w:r>
      <w:sdt>
        <w:sdtPr>
          <w:tag w:val="MENDELEY_CITATIONS_v3{&quot;citationID&quot;: &quot;MENDELEY_CITATION_8411ce89-acfe-46b0-924e-ee5e2f75cc42&quot;, &quot;citationItems&quot;: [{&quot;id&quot;: &quot;c5e98007-9402-4039-8e13-cc7fd028dbd3&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6b7fe770-b464-417e-ba3b-c58a745bb190&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7], [8]&quot;, &quot;manualOverrideText&quot;: &quot;&quot;}}"/>
          <w:id w:val="1003"/>
        </w:sdtPr>
        <w:sdtContent>
          <w:r>
            <w:rPr>
              <w:i/>
            </w:rPr>
            <w:t xml:space="preserve">[7], [8]</w:t>
          </w:r>
        </w:sdtContent>
      </w:sdt>
      <w:r>
        <w:rPr>
          <w:i/>
        </w:rPr>
        <w:t xml:space="preserve">.</w:t>
      </w:r>
    </w:p>
    <w:p>
      <w:pPr>
        <w:pStyle w:val="Heading2"/>
        <w:jc w:val="left"/>
      </w:pPr>
      <w:r>
        <w:t xml:space="preserve">2. Justificación de las citas</w:t>
      </w:r>
    </w:p>
    <w:p>
      <w:pPr>
        <w:spacing w:after="200" w:line="360" w:lineRule="auto"/>
        <w:jc w:val="both"/>
      </w:pPr>
      <w:r>
        <w:t xml:space="preserve">La primera afirmación —vinculación entre uso excesivo de pantallas y disminución del interés por la actividad física— se sustenta en </w:t>
      </w:r>
      <w:r>
        <w:rPr>
          <w:b/>
        </w:rPr>
        <w:t xml:space="preserve">[1]–[3]</w:t>
      </w:r>
      <w:r>
        <w:t xml:space="preserve">: Chaput et al. sintetizan la evidencia que respalda las directrices de la OMS para jóvenes de 5 a 17 años; Musa et al. documentan el incremento del tiempo de pantalla durante la pandemia de COVID-19; y Saunders et al. confirman que la combinación de elevado tiempo de pantalla y baja actividad física se asocia con peores resultados físicos, psicológicos y educativos.</w:t>
      </w:r>
    </w:p>
    <w:p>
      <w:pPr>
        <w:spacing w:after="200" w:line="360" w:lineRule="auto"/>
        <w:jc w:val="both"/>
      </w:pPr>
      <w:r>
        <w:t xml:space="preserve">La segunda afirmación —potencial de los recordatorios interactivos y los recursos visuales atractivos— se respalda en </w:t>
      </w:r>
      <w:r>
        <w:rPr>
          <w:b/>
        </w:rPr>
        <w:t xml:space="preserve">[4]–[6]</w:t>
      </w:r>
      <w:r>
        <w:t xml:space="preserve">: Zhu et al. describen las notificaciones programadas y los refuerzos visuales como estrategias eficaces para la formación de hábitos; Gómez-Cuesta et al. demuestran mejoras en la composición corporal y la condición física en adolescentes; y Direito et al. confirman, en un metaanálisis, incrementos significativos en la actividad física derivados de intervenciones móviles.</w:t>
      </w:r>
    </w:p>
    <w:p>
      <w:pPr>
        <w:spacing w:after="200" w:line="360" w:lineRule="auto"/>
        <w:jc w:val="both"/>
      </w:pPr>
      <w:r>
        <w:t xml:space="preserve">La tercera afirmación —limitada disponibilidad y adaptación contextual— se apoya en </w:t>
      </w:r>
      <w:r>
        <w:rPr>
          <w:b/>
        </w:rPr>
        <w:t xml:space="preserve">[7], [8]</w:t>
      </w:r>
      <w:r>
        <w:t xml:space="preserve">: Bull et al. subrayan en las directrices de la OMS la necesidad de intervenciones culturalmente adaptadas, mientras que Müller et al. evidencian las brechas en la implementación de aplicaciones de salud digital ajustadas al entorno familiar y social del usuario.</w:t>
      </w:r>
    </w:p>
    <w:p>
      <w:pPr>
        <w:pStyle w:val="Heading2"/>
        <w:jc w:val="left"/>
      </w:pPr>
      <w:r>
        <w:t xml:space="preserve">3. Referencias</w:t>
      </w:r>
    </w:p>
    <w:p>
      <w:pPr>
        <w:spacing w:after="200" w:line="360" w:lineRule="auto"/>
        <w:jc w:val="both"/>
      </w:pPr>
      <w:r>
        <w:rPr>
          <w:i/>
        </w:rPr>
        <w:t xml:space="preserve">Bibliografía gestionada por Mendeley Cite. Al abrir este archivo con el plugin instalado, podrás regenerarla y cambiar el estilo desde el panel.</w:t>
      </w:r>
    </w:p>
    <w:sdt>
      <w:sdtPr>
        <w:tag w:val="MENDELEY_BIBLIOGRAPHY_v3{&quot;bibliographyType&quot;: &quot;MENDELEY_BIBLIOGRAPHY_v1&quot;, &quot;items&quot;: [{&quot;id&quot;: &quot;1d9f9a31-0d3d-40b2-9fe3-044d9a3d3aef&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7a6c6474-5243-419e-9b41-52170d66ac45&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1f5a99e6-a6aa-4f74-80f9-f112b590539a&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0ca31529-8bd0-4b67-bce8-58d3c10fff42&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ed6a551f-8f0b-4b41-a385-27c3e1df5093&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17d99344-a729-477f-8a75-1f7d4b5616ed&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a3f655e5-02d6-4240-85bd-0c98a42a664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bf74b4c-2e06-419a-b8da-ba50b525d24d&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w:id w:val="1004"/>
      </w:sdtPr>
      <w:sdtContent>
        <w:p>
          <w:pPr>
            <w:spacing w:after="240" w:line="360" w:lineRule="auto"/>
            <w:ind w:left="720" w:hanging="720"/>
            <w:jc w:val="both"/>
          </w:pPr>
          <w:r>
            <w:t xml:space="preserve">[1]	J. Chaput et al., “2020 WHO guidelines on physical activity and sedentary behaviour for children and adolescents aged 5-17 years: summary of the evidence,” International Journal of Behavioral Nutrition and Physical Activity, vol. 17, no. 1, art. 141, 2020, doi: 10.1186/s12966-020-01037-z.</w:t>
          </w:r>
        </w:p>
        <w:p>
          <w:pPr>
            <w:spacing w:after="240" w:line="360" w:lineRule="auto"/>
            <w:ind w:left="720" w:hanging="720"/>
            <w:jc w:val="both"/>
          </w:pPr>
          <w:r>
            <w:t xml:space="preserve">[2]	S. Musa, R. Elyamani and I. Dergaa, “COVID-19 and screen-based sedentary behaviour: Systematic review of digital screen time and metabolic syndrome in adolescents,” PLOS ONE, vol. 17, no. 3, art. e0265560, 2022, doi: 10.1371/journal.pone.0265560.</w:t>
          </w:r>
        </w:p>
        <w:p>
          <w:pPr>
            <w:spacing w:after="240" w:line="360" w:lineRule="auto"/>
            <w:ind w:left="720" w:hanging="720"/>
            <w:jc w:val="both"/>
          </w:pPr>
          <w:r>
            <w:t xml:space="preserve">[3]	T. Saunders et al., “Combinations of physical activity, sedentary behavior, and sleep duration and their associations with physical, psychological, and educational outcomes in children and adolescents: A systematic review,” Applied Physiology, Nutrition, and Metabolism, vol. 47, no. 4, pp. 396-410, 2022, doi: 10.1139/apnm-2021-0529.</w:t>
          </w:r>
        </w:p>
        <w:p>
          <w:pPr>
            <w:spacing w:after="240" w:line="360" w:lineRule="auto"/>
            <w:ind w:left="720" w:hanging="720"/>
            <w:jc w:val="both"/>
          </w:pPr>
          <w:r>
            <w:t xml:space="preserve">[4]	Y. Zhu, Y. Long, H. Wang, K.P. Lee, L. Zhang and S.J. Wang, “Digital behavior change intervention designs for habit formation: Systematic review,” Journal of Medical Internet Research, vol. 26, art. e54375, 2024, doi: 10.2196/54375.</w:t>
          </w:r>
        </w:p>
        <w:p>
          <w:pPr>
            <w:spacing w:after="240" w:line="360" w:lineRule="auto"/>
            <w:ind w:left="720" w:hanging="720"/>
            <w:jc w:val="both"/>
          </w:pPr>
          <w:r>
            <w:t xml:space="preserve">[5]	N. Gomez-Cuesta, A. Mateo-Orcajada, L. Merono, L. Abenza-Cano and R. Vaquero-Cristobal, “A mobile app-based intervention improves anthropometry, body composition and fitness, regardless of previous active-inactive status: A randomized controlled trial,” Frontiers in Public Health, vol. 12, art. 1380621, 2024, doi: 10.3389/fpubh.2024.1380621.</w:t>
          </w:r>
        </w:p>
        <w:p>
          <w:pPr>
            <w:spacing w:after="240" w:line="360" w:lineRule="auto"/>
            <w:ind w:left="720" w:hanging="720"/>
            <w:jc w:val="both"/>
          </w:pPr>
          <w:r>
            <w:t xml:space="preserve">[6]	A. Direito, E. Carraca, J. Rawstorn, R. Whittaker and R. Maddison, “mHealth technologies to influence physical activity and sedentary behaviors: Behavior change techniques, systematic review and meta-analysis of randomized controlled trials,” Annals of Behavioral Medicine, vol. 51, no. 2, pp. 226-239, 2017, doi: 10.1007/s12160-016-9846-0.</w:t>
          </w:r>
        </w:p>
        <w:p>
          <w:pPr>
            <w:spacing w:after="240" w:line="360" w:lineRule="auto"/>
            <w:ind w:left="720" w:hanging="720"/>
            <w:jc w:val="both"/>
          </w:pPr>
          <w:r>
            <w:t xml:space="preserve">[7]	F. Bull et al., “World Health Organization 2020 guidelines on physical activity and sedentary behaviour,” British Journal of Sports Medicine, vol. 54, no. 24, pp. 1451-1462, 2020, doi: 10.1136/bjsports-2020-102955.</w:t>
          </w:r>
        </w:p>
        <w:p>
          <w:pPr>
            <w:spacing w:after="240" w:line="360" w:lineRule="auto"/>
            <w:ind w:left="720" w:hanging="720"/>
            <w:jc w:val="both"/>
          </w:pPr>
          <w:r>
            <w:t xml:space="preserve">[8]	G. Mueller et al., “A refined mobile health intervention (SMARTFAMILY2.0) to promote physical activity and healthy eating in a family setting: Randomized controlled trial,” JMIR mHealth and uHealth, vol. 12, art. e54669, 2024, doi: 10.2196/54669.</w:t>
          </w:r>
        </w:p>
      </w:sdtContent>
    </w:sdt>
    <w:p>
      <w:pPr>
        <w:pStyle w:val="Heading2"/>
        <w:jc w:val="left"/>
      </w:pPr>
      <w:r>
        <w:t xml:space="preserve">4. Cómo gestionarlas con Mendeley</w:t>
      </w:r>
    </w:p>
    <w:p>
      <w:pPr>
        <w:spacing w:after="200" w:line="360" w:lineRule="auto"/>
        <w:jc w:val="both"/>
      </w:pPr>
      <w:r>
        <w:t xml:space="preserve">Paso 1. Instala el complemento Mendeley Cite en Word: pestaña Insertar → Obtener complementos → busca “Mendeley Cite” y agrégalo.</w:t>
      </w:r>
    </w:p>
    <w:p>
      <w:pPr>
        <w:spacing w:after="200" w:line="360" w:lineRule="auto"/>
        <w:jc w:val="both"/>
      </w:pPr>
      <w:r>
        <w:t xml:space="preserve">Paso 2. Inicia sesión en Mendeley Cite con tu cuenta de Mendeley.</w:t>
      </w:r>
    </w:p>
    <w:p>
      <w:pPr>
        <w:spacing w:after="200" w:line="360" w:lineRule="auto"/>
        <w:jc w:val="both"/>
      </w:pPr>
      <w:r>
        <w:t xml:space="preserve">Paso 3. Asegúrate de que las 8 referencias estén en tu biblioteca: en Mendeley Reference Manager usa Add → Identifier (DOI) y pega los DOI listados (Mendeley los importará automáticamente con metadatos y, si están disponibles, PDF).</w:t>
      </w:r>
    </w:p>
    <w:p>
      <w:pPr>
        <w:spacing w:after="200" w:line="360" w:lineRule="auto"/>
        <w:jc w:val="both"/>
      </w:pPr>
      <w:r>
        <w:t xml:space="preserve">Paso 4. Abre este documento; al pasar el cursor sobre cada cita ([1]–[3], [4]–[6], [7], [8]) o sobre la lista de referencias, verás que el plugin las reconoce como elementos gestionados.</w:t>
      </w:r>
    </w:p>
    <w:p>
      <w:pPr>
        <w:spacing w:after="200" w:line="360" w:lineRule="auto"/>
        <w:jc w:val="both"/>
      </w:pPr>
      <w:r>
        <w:t xml:space="preserve">Paso 5. Desde el panel del plugin, en Citation Style, selecciona “IEEE”. La numeración se regenerará y los rangos se colapsarán automáticamente.</w:t>
      </w:r>
    </w:p>
    <w:p>
      <w:pPr>
        <w:spacing w:after="200" w:line="360" w:lineRule="auto"/>
        <w:jc w:val="both"/>
      </w:pPr>
      <w:r>
        <w:t xml:space="preserve">Paso 6. Cualquier edición posterior (añadir, eliminar o reordenar referencias) se hará desde el plugin: clic en la cita → Edit reference, o bien Update from library para refrescar metadatos.</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240" w:after="240"/>
      <w:jc w:val="center"/>
      <w:outlineLvl w:val="0"/>
    </w:pPr>
    <w:rPr>
      <w:b/>
      <w:sz w:val="32"/>
    </w:rPr>
  </w:style>
  <w:style w:type="paragraph" w:styleId="Heading2">
    <w:name w:val="heading 2"/>
    <w:basedOn w:val="Normal"/>
    <w:next w:val="Normal"/>
    <w:qFormat/>
    <w:pPr>
      <w:spacing w:before="200" w:after="160"/>
      <w:outlineLvl w:val="1"/>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Referencias IEEE gestionadas por Mendeley Cite</dc:title>
  <dc:creator>Claude</dc:creator>
  <cp:lastModifiedBy>Claude</cp:lastModifiedBy>
  <dcterms:created xsi:type="dcterms:W3CDTF">2026-05-06T21:23:13Z</dcterms:created>
  <dcterms:modified xsi:type="dcterms:W3CDTF">2026-05-06T21:23:13Z</dcterms:modified>
</cp:coreProperties>
</file>