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2"/>
        <w:jc w:val="left"/>
      </w:pPr>
      <w:r>
        <w:t xml:space="preserve">3.10 Ejecución del proceso de evaluación</w:t>
      </w:r>
    </w:p>
    <w:p>
      <w:pPr>
        <w:spacing w:after="200" w:line="360" w:lineRule="auto"/>
        <w:jc w:val="both"/>
      </w:pPr>
      <w:r>
        <w:t xml:space="preserve">La evaluación del sistema FitKids se realizó con la participación de 15 padres o tutores, quienes completaron el cuestionario TAM, y un grupo de 15 niños con edades comprendidas entre los 6 y los 11 años, quienes participaron en la evaluación de usabilidad mediante el cuestionario SUS con el acompañamiento de sus representantes </w:t>
      </w:r>
      <w:sdt>
        <w:sdtPr>
          <w:tag w:val="MENDELEY_CITATIONS_v3{&quot;citationID&quot;: &quot;MENDELEY_CITATION_bbdad671-6884-495d-9b31-936e10ea3613&quot;, &quot;citationItems&quot;: [{&quot;id&quot;: &quot;1a7a8f2a-6508-46a9-820a-d633e4276944&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5f3f1a9b-64ce-48be-8c6b-b20bd6a9715d&quot;, &quot;itemData&quot;: {&quot;id&quot;: &quot;3602c55d-289c-4118-bc03-789b0c54809f&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properties&quot;: {&quot;noteIndex&quot;: 0}, &quot;isEdited&quot;: false, &quot;manualOverride&quot;: {&quot;isManuallyOverridden&quot;: false, &quot;citeprocText&quot;: &quot;[1], [2]&quot;, &quot;manualOverrideText&quot;: &quot;&quot;}}"/>
          <w:id w:val="1001"/>
        </w:sdtPr>
        <w:sdtContent>
          <w:r>
            <w:t xml:space="preserve">[1], [2]</w:t>
          </w:r>
        </w:sdtContent>
      </w:sdt>
      <w:r>
        <w:t xml:space="preserve">. Esta cifra resulta consistente con el tamaño de muestra recomendado para estudios formativos de usabilidad, en los que cinco a quince participantes por perfil permiten detectar la mayor parte de los problemas de interacción </w:t>
      </w:r>
      <w:sdt>
        <w:sdtPr>
          <w:tag w:val="MENDELEY_CITATIONS_v3{&quot;citationID&quot;: &quot;MENDELEY_CITATION_2c925205-1c6c-4623-8af0-05eff901abd8&quot;, &quot;citationItems&quot;: [{&quot;id&quot;: &quot;8cb73bfe-ad51-4a2b-841b-1ed5e3978a6f&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quot;, &quot;manualOverrideText&quot;: &quot;&quot;}}"/>
          <w:id w:val="1002"/>
        </w:sdtPr>
        <w:sdtContent>
          <w:r>
            <w:t xml:space="preserve">[5]</w:t>
          </w:r>
        </w:sdtContent>
      </w:sdt>
      <w:r>
        <w:t xml:space="preserve">.</w:t>
      </w:r>
    </w:p>
    <w:p>
      <w:pPr>
        <w:spacing w:after="200" w:line="360" w:lineRule="auto"/>
        <w:jc w:val="both"/>
      </w:pPr>
      <w:r>
        <w:t xml:space="preserve">La selección de los participantes respondió a criterios de inclusión y exclusión definidos previamente, los cuales se detallan en la Tabla 1. Estos criterios buscaron asegurar que la muestra reflejara el perfil de usuario al que está dirigido el sistema y que las personas vinculadas al proceso pudieran completar todas las actividades planificadas dentro del período de evaluación.</w:t>
      </w:r>
    </w:p>
    <w:p>
      <w:pPr>
        <w:spacing w:before="120" w:after="80" w:line="360" w:lineRule="auto"/>
        <w:jc w:val="center"/>
      </w:pPr>
      <w:r>
        <w:rPr>
          <w:b/>
        </w:rPr>
        <w:t xml:space="preserve">Tabla 1. Criterios de inclusión y exclusión de los participantes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120" w:type="dxa"/>
          <w:bottom w:w="80" w:type="dxa"/>
          <w:right w:w="120" w:type="dxa"/>
        </w:tblCellMar>
        <w:tblLook w:val="04A0"/>
      </w:tblPr>
      <w:tblGrid>
        <w:gridCol w:w="1700"/>
        <w:gridCol w:w="3830"/>
        <w:gridCol w:w="3830"/>
      </w:tblGrid>
      <w:tr>
        <w:tc>
          <w:tcPr>
            <w:tcW w:w="1700" w:type="dxa"/>
            <w:shd w:val="clear" w:color="auto" w:fill="D5E8F0"/>
          </w:tcPr>
          <w:p>
            <w:pPr>
              <w:spacing w:after="80" w:line="280" w:lineRule="auto"/>
              <w:jc w:val="left"/>
            </w:pPr>
            <w:r>
              <w:rPr>
                <w:b/>
              </w:rPr>
              <w:t xml:space="preserve">Grupo</w:t>
            </w:r>
          </w:p>
        </w:tc>
        <w:tc>
          <w:tcPr>
            <w:tcW w:w="3830" w:type="dxa"/>
            <w:shd w:val="clear" w:color="auto" w:fill="D5E8F0"/>
          </w:tcPr>
          <w:p>
            <w:pPr>
              <w:spacing w:after="80" w:line="280" w:lineRule="auto"/>
              <w:jc w:val="left"/>
            </w:pPr>
            <w:r>
              <w:rPr>
                <w:b/>
              </w:rPr>
              <w:t xml:space="preserve">Criterios de inclusión</w:t>
            </w:r>
          </w:p>
        </w:tc>
        <w:tc>
          <w:tcPr>
            <w:tcW w:w="3830" w:type="dxa"/>
            <w:shd w:val="clear" w:color="auto" w:fill="D5E8F0"/>
          </w:tcPr>
          <w:p>
            <w:pPr>
              <w:spacing w:after="80" w:line="280" w:lineRule="auto"/>
              <w:jc w:val="left"/>
            </w:pPr>
            <w:r>
              <w:rPr>
                <w:b/>
              </w:rPr>
              <w:t xml:space="preserve">Criterios de exclusión</w:t>
            </w:r>
          </w:p>
        </w:tc>
      </w:tr>
      <w:tr>
        <w:tc>
          <w:tcPr>
            <w:tcW w:w="1700" w:type="dxa"/>
          </w:tcPr>
          <w:p>
            <w:pPr>
              <w:spacing w:after="80" w:line="280" w:lineRule="auto"/>
              <w:jc w:val="left"/>
            </w:pPr>
            <w:r>
              <w:rPr>
                <w:b/>
              </w:rPr>
              <w:t xml:space="preserve">Niños</w:t>
            </w:r>
          </w:p>
        </w:tc>
        <w:tc>
          <w:tcPr>
            <w:tcW w:w="3830" w:type="dxa"/>
          </w:tcPr>
          <w:p>
            <w:pPr>
              <w:spacing w:after="80" w:line="280" w:lineRule="auto"/>
              <w:jc w:val="left"/>
            </w:pPr>
            <w:r>
              <w:t xml:space="preserve">Edad entre 6 y 11 años; acceso a un dispositivo móvil con sistema operativo Android; ausencia de limitaciones físicas que impidan la realización de actividad física básica; autorización firmada por el representante legal.</w:t>
            </w:r>
          </w:p>
        </w:tc>
        <w:tc>
          <w:tcPr>
            <w:tcW w:w="3830" w:type="dxa"/>
          </w:tcPr>
          <w:p>
            <w:pPr>
              <w:spacing w:after="80" w:line="280" w:lineRule="auto"/>
              <w:jc w:val="left"/>
            </w:pPr>
            <w:r>
              <w:t xml:space="preserve">Edad fuera del rango establecido; presencia de condiciones médicas que contraindiquen la actividad física; inasistencia a más del 20 % de las sesiones programadas; abandono del proceso antes de completar la evaluación.</w:t>
            </w:r>
          </w:p>
        </w:tc>
      </w:tr>
      <w:tr>
        <w:tc>
          <w:tcPr>
            <w:tcW w:w="1700" w:type="dxa"/>
          </w:tcPr>
          <w:p>
            <w:pPr>
              <w:spacing w:after="80" w:line="280" w:lineRule="auto"/>
              <w:jc w:val="left"/>
            </w:pPr>
            <w:r>
              <w:rPr>
                <w:b/>
              </w:rPr>
              <w:t xml:space="preserve">Padres o tutores</w:t>
            </w:r>
          </w:p>
        </w:tc>
        <w:tc>
          <w:tcPr>
            <w:tcW w:w="3830" w:type="dxa"/>
          </w:tcPr>
          <w:p>
            <w:pPr>
              <w:spacing w:after="80" w:line="280" w:lineRule="auto"/>
              <w:jc w:val="left"/>
            </w:pPr>
            <w:r>
              <w:t xml:space="preserve">Ser representante legal de un niño participante; uso activo de la aplicación durante el período de evaluación; disposición a completar el cuestionario TAM y los formularios complementarios.</w:t>
            </w:r>
          </w:p>
        </w:tc>
        <w:tc>
          <w:tcPr>
            <w:tcW w:w="3830" w:type="dxa"/>
          </w:tcPr>
          <w:p>
            <w:pPr>
              <w:spacing w:after="80" w:line="280" w:lineRule="auto"/>
              <w:jc w:val="left"/>
            </w:pPr>
            <w:r>
              <w:t xml:space="preserve">No participación activa en el uso de la aplicación; cuestionarios incompletos; retiro voluntario del estudio.</w:t>
            </w:r>
          </w:p>
        </w:tc>
      </w:tr>
      <w:tr>
        <w:tc>
          <w:tcPr>
            <w:tcW w:w="1700" w:type="dxa"/>
          </w:tcPr>
          <w:p>
            <w:pPr>
              <w:spacing w:after="80" w:line="280" w:lineRule="auto"/>
              <w:jc w:val="left"/>
            </w:pPr>
            <w:r>
              <w:rPr>
                <w:b/>
              </w:rPr>
              <w:t xml:space="preserve">Especialistas</w:t>
            </w:r>
          </w:p>
        </w:tc>
        <w:tc>
          <w:tcPr>
            <w:tcW w:w="3830" w:type="dxa"/>
          </w:tcPr>
          <w:p>
            <w:pPr>
              <w:spacing w:after="80" w:line="280" w:lineRule="auto"/>
              <w:jc w:val="left"/>
            </w:pPr>
            <w:r>
              <w:t xml:space="preserve">Profesionales de la salud o del área de la actividad física con experiencia en población pediátrica; acceso al entorno web del sistema durante la fase de evaluación.</w:t>
            </w:r>
          </w:p>
        </w:tc>
        <w:tc>
          <w:tcPr>
            <w:tcW w:w="3830" w:type="dxa"/>
          </w:tcPr>
          <w:p>
            <w:pPr>
              <w:spacing w:after="80" w:line="280" w:lineRule="auto"/>
              <w:jc w:val="left"/>
            </w:pPr>
            <w:r>
              <w:t xml:space="preserve">Profesionales sin experiencia documentada con población infantil; imposibilidad de acceder al entorno web durante el período definido.</w:t>
            </w:r>
          </w:p>
        </w:tc>
      </w:tr>
    </w:tbl>
    <w:p>
      <w:pPr>
        <w:spacing w:before="60" w:after="240" w:line="360" w:lineRule="auto"/>
        <w:jc w:val="center"/>
      </w:pPr>
      <w:r>
        <w:rPr>
          <w:i/>
          <w:sz w:val="20"/>
        </w:rPr>
        <w:t xml:space="preserve">Elaborado por: Autor</w:t>
      </w:r>
    </w:p>
    <w:p>
      <w:pPr>
        <w:pStyle w:val="Heading3"/>
        <w:jc w:val="left"/>
      </w:pPr>
      <w:r>
        <w:t xml:space="preserve">3.10.1 Caracterización de los participantes</w:t>
      </w:r>
    </w:p>
    <w:p>
      <w:pPr>
        <w:spacing w:after="200" w:line="360" w:lineRule="auto"/>
        <w:jc w:val="both"/>
      </w:pPr>
      <w:r>
        <w:t xml:space="preserve">Si bien en una primera aproximación la evaluación del sistema podría centrarse únicamente en los indicadores de usabilidad y aceptación, esta visión resulta insuficiente cuando se pretende sostener la validez de los resultados obtenidos. La ausencia de una caracterización detallada de los participantes introduce un margen de ambigüedad que no puede ignorarse, especialmente al tratarse de una población infantil con variabilidad fisiológica y conductual significativa </w:t>
      </w:r>
      <w:sdt>
        <w:sdtPr>
          <w:tag w:val="MENDELEY_CITATIONS_v3{&quot;citationID&quot;: &quot;MENDELEY_CITATION_b58046e7-d008-4ac8-a1a4-42e00b94e4f3&quot;, &quot;citationItems&quot;: [{&quot;id&quot;: &quot;69676e11-042d-40da-8b71-c969bcfe2c8a&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id&quot;: &quot;b908c95e-c5ea-48cb-9ff1-43074bf2e311&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10]&quot;, &quot;manualOverrideText&quot;: &quot;&quot;}}"/>
          <w:id w:val="1003"/>
        </w:sdtPr>
        <w:sdtContent>
          <w:r>
            <w:t xml:space="preserve">[5], [10]</w:t>
          </w:r>
        </w:sdtContent>
      </w:sdt>
      <w:r>
        <w:t xml:space="preserve">. Para abordar esta limitación, se diseñó un proceso sistemático de recopilación del perfil de los participantes, diferenciando tres grupos: padres o tutores, niños y especialistas.</w:t>
      </w:r>
    </w:p>
    <w:p>
      <w:pPr>
        <w:spacing w:after="200" w:line="360" w:lineRule="auto"/>
        <w:jc w:val="both"/>
      </w:pPr>
      <w:r>
        <w:t xml:space="preserve">En el caso de los padres o tutores, se elaboró un formulario estructurado mediante Google Forms en el que se registraron variables como edad, género, nivel educativo, relación con el niño, experiencia previa con aplicaciones de salud o actividad física y número de hijos dentro del rango de edad objetivo (6 a 11 años). Esta información permitió contextualizar el entorno familiar en el que se desarrolló el uso del sistema y, posteriormente, cruzar esos perfiles con las puntuaciones del cuestionario TAM </w:t>
      </w:r>
      <w:sdt>
        <w:sdtPr>
          <w:tag w:val="MENDELEY_CITATIONS_v3{&quot;citationID&quot;: &quot;MENDELEY_CITATION_89d49d38-d188-470d-ae40-d365e5ba41f6&quot;, &quot;citationItems&quot;: [{&quot;id&quot;: &quot;52344bcd-6020-4944-a718-bdfbdb69d52a&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1]&quot;, &quot;manualOverrideText&quot;: &quot;&quot;}}"/>
          <w:id w:val="1004"/>
        </w:sdtPr>
        <w:sdtContent>
          <w:r>
            <w:t xml:space="preserve">[1]</w:t>
          </w:r>
        </w:sdtContent>
      </w:sdt>
      <w:r>
        <w:t xml:space="preserve">.</w:t>
      </w:r>
    </w:p>
    <w:p>
      <w:pPr>
        <w:spacing w:after="200" w:line="360" w:lineRule="auto"/>
        <w:jc w:val="both"/>
      </w:pPr>
      <w:r>
        <w:t xml:space="preserve">Respecto a los niños participantes, se solicitó a los padres el registro de datos antropométricos recientes, incluyendo fecha de nacimiento, peso y talla. A partir de estos datos se calculó el índice de masa corporal (IMC) mediante la relación peso sobre talla al cuadrado, y posteriormente se clasificó cada caso según los percentiles establecidos por la Organización Mundial de la Salud para población escolar de 5 a 19 años </w:t>
      </w:r>
      <w:sdt>
        <w:sdtPr>
          <w:tag w:val="MENDELEY_CITATIONS_v3{&quot;citationID&quot;: &quot;MENDELEY_CITATION_fd344e62-31fd-408d-9c8e-8acadc3aeddf&quot;, &quot;citationItems&quot;: [{&quot;id&quot;: &quot;87be0208-e03b-4552-b999-dfa6320186c7&quot;, &quot;itemData&quot;: {&quot;id&quot;: &quot;99be7c6b-d23e-4517-8576-20f0f44728e8&quot;, &quot;type&quot;: &quot;article-journal&quot;, &quot;title&quot;: &quot;Development of a WHO growth reference for school-aged children and adolescents&quot;, &quot;author&quot;: [{&quot;family&quot;: &quot;de Onis&quot;, &quot;given&quot;: &quot;Mercedes&quot;}, {&quot;family&quot;: &quot;Onyango&quot;, &quot;given&quot;: &quot;Adelheid W.&quot;}, {&quot;family&quot;: &quot;Borghi&quot;, &quot;given&quot;: &quot;Elaine&quot;}, {&quot;family&quot;: &quot;Siyam&quot;, &quot;given&quot;: &quot;Amani&quot;}, {&quot;family&quot;: &quot;Nishida&quot;, &quot;given&quot;: &quot;Chizuru&quot;}, {&quot;family&quot;: &quot;Siekmann&quot;, &quot;given&quot;: &quot;Jonathan&quot;}], &quot;container-title&quot;: &quot;Bulletin of the World Health Organization&quot;, &quot;volume&quot;: &quot;85&quot;, &quot;issue&quot;: &quot;9&quot;, &quot;page&quot;: &quot;660-667&quot;, &quot;issued&quot;: {&quot;date-parts&quot;: [[2007, 9]]}, &quot;DOI&quot;: &quot;10.2471/BLT.07.043497&quot;}}], &quot;properties&quot;: {&quot;noteIndex&quot;: 0}, &quot;isEdited&quot;: false, &quot;manualOverride&quot;: {&quot;isManuallyOverridden&quot;: false, &quot;citeprocText&quot;: &quot;[8]&quot;, &quot;manualOverrideText&quot;: &quot;&quot;}}"/>
          <w:id w:val="1005"/>
        </w:sdtPr>
        <w:sdtContent>
          <w:r>
            <w:t xml:space="preserve">[8]</w:t>
          </w:r>
        </w:sdtContent>
      </w:sdt>
      <w:r>
        <w:t xml:space="preserve">. Este procedimiento permitió ubicar a cada niño dentro de las categorías de peso insuficiente, normopeso, sobrepeso u obesidad, ofreciendo así una línea base de su estado nutricional al momento de iniciar la evaluación.</w:t>
      </w:r>
    </w:p>
    <w:p>
      <w:pPr>
        <w:spacing w:after="200" w:line="360" w:lineRule="auto"/>
        <w:jc w:val="both"/>
      </w:pPr>
      <w:r>
        <w:t xml:space="preserve">De forma complementaria, el nivel de actividad física habitual se evaluó mediante el cuestionario PAQ-C (</w:t>
      </w:r>
      <w:r>
        <w:rPr>
          <w:i/>
        </w:rPr>
        <w:t xml:space="preserve">Physical Activity Questionnaire for Older Children</w:t>
      </w:r>
      <w:r>
        <w:t xml:space="preserve">), aplicado antes del primer uso de la aplicación. El PAQ-C es un instrumento de autorreporte de siete días, validado en distintas poblaciones y traducido al español, ampliamente utilizado para estimar el nivel general de actividad física en niños en edad escolar </w:t>
      </w:r>
      <w:sdt>
        <w:sdtPr>
          <w:tag w:val="MENDELEY_CITATIONS_v3{&quot;citationID&quot;: &quot;MENDELEY_CITATION_e42e332e-de56-4644-aed1-dec943d13568&quot;, &quot;citationItems&quot;: [{&quot;id&quot;: &quot;9f77eb22-e848-45fb-8d80-4976ec05ec7d&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id&quot;: &quot;325a0807-7ea7-48be-b57d-72bcd0ab0656&quot;, &quot;itemData&quot;: {&quot;id&quot;: &quot;3410023e-016d-45c1-ab31-a9d9fb9851a7&quot;, &quot;type&quot;: &quot;report&quot;, &quot;title&quot;: &quot;The Physical Activity Questionnaire for Older Children (PAQ-C) and Adolescents (PAQ-A) Manual&quot;, &quot;author&quot;: [{&quot;family&quot;: &quot;Kowalski&quot;, &quot;given&quot;: &quot;Kent C.&quot;}, {&quot;family&quot;: &quot;Crocker&quot;, &quot;given&quot;: &quot;Peter R. E.&quot;}, {&quot;family&quot;: &quot;Donen&quot;, &quot;given&quot;: &quot;Rachel M.&quot;}], &quot;publisher&quot;: &quot;College of Kinesiology, University of Saskatchewan&quot;, &quot;publisher-place&quot;: &quot;Saskatoon, Canada&quot;, &quot;issued&quot;: {&quot;date-parts&quot;: [[2004]]}, &quot;URL&quot;: &quot;https://www.researchgate.net/publication/228441462&quot;}}], &quot;properties&quot;: {&quot;noteIndex&quot;: 0}, &quot;isEdited&quot;: false, &quot;manualOverride&quot;: {&quot;isManuallyOverridden&quot;: false, &quot;citeprocText&quot;: &quot;[6], [7]&quot;, &quot;manualOverrideText&quot;: &quot;&quot;}}"/>
          <w:id w:val="1006"/>
        </w:sdtPr>
        <w:sdtContent>
          <w:r>
            <w:t xml:space="preserve">[6], [7]</w:t>
          </w:r>
        </w:sdtContent>
      </w:sdt>
      <w:r>
        <w:t xml:space="preserve">. Su validez y fiabilidad en muestras hispanohablantes han sido confirmadas por estudios previos </w:t>
      </w:r>
      <w:sdt>
        <w:sdtPr>
          <w:tag w:val="MENDELEY_CITATIONS_v3{&quot;citationID&quot;: &quot;MENDELEY_CITATION_0c653a70-54ff-4299-9c80-4afad5547448&quot;, &quot;citationItems&quot;: [{&quot;id&quot;: &quot;500914c4-e30e-4a9c-8946-0d6253e390cd&quot;, &quot;itemData&quot;: {&quot;id&quot;: &quot;5992b7ba-ce5e-4475-a530-7ae24c77420c&quot;, &quot;type&quot;: &quot;article-journal&quot;, &quot;title&quot;: &quot;Reliability and Validity of the PAQ-C Questionnaire to Assess Physical Activity in Children&quot;, &quot;author&quot;: [{&quot;family&quot;: &quot;Benítez-Porres&quot;, &quot;given&quot;: &quot;Javier&quot;}, {&quot;family&quot;: &quot;López-Fernández&quot;, &quot;given&quot;: &quot;Iván&quot;}, {&quot;family&quot;: &quot;Raya&quot;, &quot;given&quot;: &quot;Juan Francisco&quot;}, {&quot;family&quot;: &quot;Carnero&quot;, &quot;given&quot;: &quot;Salvador Álvarez&quot;}, {&quot;family&quot;: &quot;Alvero-Cruz&quot;, &quot;given&quot;: &quot;José Ramón&quot;}, {&quot;family&quot;: &quot;Carnero&quot;, &quot;given&quot;: &quot;Elvis A.&quot;}], &quot;container-title&quot;: &quot;Journal of School Health&quot;, &quot;volume&quot;: &quot;86&quot;, &quot;issue&quot;: &quot;9&quot;, &quot;page&quot;: &quot;677-685&quot;, &quot;issued&quot;: {&quot;date-parts&quot;: [[2016, 9]]}, &quot;DOI&quot;: &quot;10.1111/josh.12418&quot;}}], &quot;properties&quot;: {&quot;noteIndex&quot;: 0}, &quot;isEdited&quot;: false, &quot;manualOverride&quot;: {&quot;isManuallyOverridden&quot;: false, &quot;citeprocText&quot;: &quot;[15]&quot;, &quot;manualOverrideText&quot;: &quot;&quot;}}"/>
          <w:id w:val="1007"/>
        </w:sdtPr>
        <w:sdtContent>
          <w:r>
            <w:t xml:space="preserve">[15]</w:t>
          </w:r>
        </w:sdtContent>
      </w:sdt>
      <w:r>
        <w:t xml:space="preserve">. Para los niños menores de 8 años se utilizó la versión adaptada para padres (PAQ-C-P), considerando que a esa edad la capacidad de autorreporte aún es limitada. La puntuación obtenida permitió clasificar a cada participante en una de cinco categorías que van desde “muy inactivo” hasta “muy activo”.</w:t>
      </w:r>
    </w:p>
    <w:p>
      <w:pPr>
        <w:spacing w:after="200" w:line="360" w:lineRule="auto"/>
        <w:jc w:val="both"/>
      </w:pPr>
      <w:r>
        <w:t xml:space="preserve">Adicionalmente, se registraron las horas de exposición a pantallas mediante dos preguntas dirigidas a los padres, diferenciando entre días escolares y fines de semana. Esta separación buscó capturar las diferencias de comportamiento entre la rutina académica y el tiempo libre, dado que ambos contextos suelen presentar patrones de uso muy distintos. La información recogida permitió establecer una línea base del comportamiento sedentario de los niños participantes.</w:t>
      </w:r>
    </w:p>
    <w:p>
      <w:pPr>
        <w:spacing w:after="200" w:line="360" w:lineRule="auto"/>
        <w:jc w:val="both"/>
      </w:pPr>
      <w:r>
        <w:t xml:space="preserve">En relación con los especialistas, se diseñó un formulario específico para recoger información sobre su área de especialidad, nivel académico, años de experiencia con población pediátrica y lugar de trabajo. Para preservar la confidencialidad, los participantes fueron identificados mediante códigos anónimos. Toda la información recolectada se organizó en una hoja de cálculo estructurada en tres secciones independientes (padres y tutores, niños y especialistas), utilizando esos identificadores anónimos.</w:t>
      </w:r>
    </w:p>
    <w:p>
      <w:pPr>
        <w:pStyle w:val="Heading3"/>
        <w:jc w:val="left"/>
      </w:pPr>
      <w:r>
        <w:t xml:space="preserve">3.10.2 Verificación técnica del sistema</w:t>
      </w:r>
    </w:p>
    <w:p>
      <w:pPr>
        <w:spacing w:after="200" w:line="360" w:lineRule="auto"/>
        <w:jc w:val="both"/>
      </w:pPr>
      <w:r>
        <w:t xml:space="preserve">Antes de exponer el sistema a los usuarios finales fue necesario asegurar que el producto cumpliera con las especificaciones funcionales y no funcionales declaradas, dado que cualquier defecto técnico no detectado a tiempo habría comprometido la calidad de los datos recolectados durante la evaluación con padres y niños </w:t>
      </w:r>
      <w:sdt>
        <w:sdtPr>
          <w:tag w:val="MENDELEY_CITATIONS_v3{&quot;citationID&quot;: &quot;MENDELEY_CITATION_a3d2b4fd-77c8-4e57-b20d-7df16d14aa4f&quot;, &quot;citationItems&quot;: [{&quot;id&quot;: &quot;5bf35504-c92f-4e54-9308-4f28839b8dae&quot;, &quot;itemData&quot;: {&quot;id&quot;: &quot;7e1a619d-a212-4627-bac7-f700f5556a4f&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8ffbcbbf-65d7-4c7a-8b55-fdc2dc702198&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9], [10]&quot;, &quot;manualOverrideText&quot;: &quot;&quot;}}"/>
          <w:id w:val="1008"/>
        </w:sdtPr>
        <w:sdtContent>
          <w:r>
            <w:t xml:space="preserve">[9], [10]</w:t>
          </w:r>
        </w:sdtContent>
      </w:sdt>
      <w:r>
        <w:t xml:space="preserve">. Por esta razón, la verificación técnica se condujo de forma incremental a lo largo del desarrollo y, finalmente, de forma consolidada durante las dos semanas previas al inicio de las sesiones con usuarios.</w:t>
      </w:r>
    </w:p>
    <w:p>
      <w:pPr>
        <w:spacing w:after="200" w:line="360" w:lineRule="auto"/>
        <w:jc w:val="both"/>
      </w:pPr>
      <w:r>
        <w:t xml:space="preserve">La verificación se apoyó en tres tipos de pruebas. Las pruebas unitarias se diseñaron y ejecutaron junto con cada nueva funcionalidad, siguiendo el ciclo de desarrollo dirigido por pruebas que la metodología TDDM4IoTS adoptada propone como base </w:t>
      </w:r>
      <w:sdt>
        <w:sdtPr>
          <w:tag w:val="MENDELEY_CITATIONS_v3{&quot;citationID&quot;: &quot;MENDELEY_CITATION_ab0eac1c-ff89-4b57-9718-feefe988a53e&quot;, &quot;citationItems&quot;: [{&quot;id&quot;: &quot;c1c82ad2-8eac-4ffe-9baa-d74cb99f7070&quot;, &quot;itemData&quot;: {&quot;id&quot;: &quot;ea6fe9c9-ce50-478e-a6d6-b0e7d184eab7&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48fd3614-deeb-4db5-a939-a7997251f38d&quot;, &quot;itemData&quot;: {&quot;id&quot;: &quot;a44e3145-cd5e-4fea-88cb-249da8e33687&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properties&quot;: {&quot;noteIndex&quot;: 0}, &quot;isEdited&quot;: false, &quot;manualOverride&quot;: {&quot;isManuallyOverridden&quot;: false, &quot;citeprocText&quot;: &quot;[11], [13]&quot;, &quot;manualOverrideText&quot;: &quot;&quot;}}"/>
          <w:id w:val="1009"/>
        </w:sdtPr>
        <w:sdtContent>
          <w:r>
            <w:t xml:space="preserve">[11], [13]</w:t>
          </w:r>
        </w:sdtContent>
      </w:sdt>
      <w:r>
        <w:t xml:space="preserve">. Las pruebas de integración se ejecutaron al final de cada incremento, con el fin de comprobar que los componentes del backend, la aplicación móvil y el entorno web operaran correctamente al comunicarse entre sí. Por último, las pruebas de cumplimiento de requisitos se ejecutaron sobre la matriz de trazabilidad construida en la fase de análisis, contrastando cada requisito con la funcionalidad efectivamente implementada y con los casos de prueba que la respaldan.</w:t>
      </w:r>
    </w:p>
    <w:p>
      <w:pPr>
        <w:spacing w:after="200" w:line="360" w:lineRule="auto"/>
        <w:jc w:val="both"/>
      </w:pPr>
      <w:r>
        <w:t xml:space="preserve">La selección de los atributos de calidad evaluados (funcionalidad, fiabilidad, eficiencia y mantenibilidad) se realizó tomando como referencia el modelo de calidad de producto de la norma ISO/IEC 25010 </w:t>
      </w:r>
      <w:sdt>
        <w:sdtPr>
          <w:tag w:val="MENDELEY_CITATIONS_v3{&quot;citationID&quot;: &quot;MENDELEY_CITATION_b923b074-fb7b-4e53-a899-bee849288a83&quot;, &quot;citationItems&quot;: [{&quot;id&quot;: &quot;6c0ff8a4-95bf-4c17-8b1a-a429f2560a6a&quot;, &quot;itemData&quot;: {&quot;id&quot;: &quot;7e1a619d-a212-4627-bac7-f700f5556a4f&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9]&quot;, &quot;manualOverrideText&quot;: &quot;&quot;}}"/>
          <w:id w:val="1010"/>
        </w:sdtPr>
        <w:sdtContent>
          <w:r>
            <w:t xml:space="preserve">[9]</w:t>
          </w:r>
        </w:sdtContent>
      </w:sdt>
      <w:r>
        <w:t xml:space="preserve">. Esta decisión permitió ordenar las pruebas alrededor de un marco reconocido y, al mismo tiempo, justificar los criterios de aceptación adoptados. Los defectos detectados durante este proceso fueron registrados en un repositorio centralizado y resueltos antes de iniciar la fase de evaluación con usuarios. Los resultados específicos obtenidos para cada uno de estos indicadores técnicos se presentan en el capítulo de Resultados.</w:t>
      </w:r>
    </w:p>
    <w:p>
      <w:pPr>
        <w:pStyle w:val="Heading3"/>
        <w:jc w:val="left"/>
      </w:pPr>
      <w:r>
        <w:t xml:space="preserve">3.10.3 Aceptabilidad del sistema</w:t>
      </w:r>
    </w:p>
    <w:p>
      <w:pPr>
        <w:spacing w:after="200" w:line="360" w:lineRule="auto"/>
        <w:jc w:val="both"/>
      </w:pPr>
      <w:r>
        <w:t xml:space="preserve">Este indicador permitió analizar el nivel de aceptación y la disposición de uso de la aplicación móvil FitKids por parte de los usuarios adultos vinculados a su implementación y supervisión. Para este propósito se empleó el </w:t>
      </w:r>
      <w:r>
        <w:rPr>
          <w:i/>
        </w:rPr>
        <w:t xml:space="preserve">Technology Acceptance Model</w:t>
      </w:r>
      <w:r>
        <w:t xml:space="preserve"> (TAM) </w:t>
      </w:r>
      <w:sdt>
        <w:sdtPr>
          <w:tag w:val="MENDELEY_CITATIONS_v3{&quot;citationID&quot;: &quot;MENDELEY_CITATION_4e3b6099-ab7a-4cae-9f41-b657eb55e111&quot;, &quot;citationItems&quot;: [{&quot;id&quot;: &quot;2ce706f4-aa5b-4799-b3d0-53fce53704c2&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1]&quot;, &quot;manualOverrideText&quot;: &quot;&quot;}}"/>
          <w:id w:val="1011"/>
        </w:sdtPr>
        <w:sdtContent>
          <w:r>
            <w:t xml:space="preserve">[1]</w:t>
          </w:r>
        </w:sdtContent>
      </w:sdt>
      <w:r>
        <w:t xml:space="preserve"> en su versión de 22 ítems, instrumento ampliamente utilizado para evaluar la adopción de sistemas tecnológicos en contextos académicos y profesionales.</w:t>
      </w:r>
    </w:p>
    <w:p>
      <w:pPr>
        <w:spacing w:after="200" w:line="360" w:lineRule="auto"/>
        <w:jc w:val="both"/>
      </w:pPr>
      <w:r>
        <w:t xml:space="preserve">El modelo TAM analiza la aceptabilidad del sistema a partir de dos dimensiones principales: utilidad percibida y facilidad de uso percibida. La dimensión de utilidad percibida estuvo compuesta por 12 ítems, orientados a evaluar el grado en que la aplicación contribuye al desarrollo de hábitos de actividad física infantil, facilita la realización de ejercicios, permite el seguimiento del progreso del niño, motiva la práctica de actividad física y representa una herramienta útil para padres y tutores en el control de dichas actividades. Por su parte, la dimensión de facilidad de uso percibida estuvo compuesta por 10 ítems enfocados en analizar la claridad de la interfaz, la comprensión de las instrucciones, la facilidad de interacción con la aplicación, la simplicidad del diseño y la posibilidad de integrar su uso dentro de la rutina diaria del niño.</w:t>
      </w:r>
    </w:p>
    <w:p>
      <w:pPr>
        <w:spacing w:after="200" w:line="360" w:lineRule="auto"/>
        <w:jc w:val="both"/>
      </w:pPr>
      <w:r>
        <w:t xml:space="preserve">El cuestionario fue aplicado a los 15 padres y tutores participantes, quienes evaluaron la aplicación mediante una escala Likert de cinco niveles, en la que 1 corresponde a “totalmente en desacuerdo” y 5 a “totalmente de acuerdo”. La aplicación del cuestionario se realizó después de un período mínimo de uso de la aplicación, de manera que las respuestas reflejaran una experiencia real con el sistema y no únicamente una primera impresión. El procesamiento de los resultados consistió en calcular el promedio de las respuestas obtenidas en cada dimensión, lo que permitió determinar el nivel de aceptación del sistema.</w:t>
      </w:r>
    </w:p>
    <w:p>
      <w:pPr>
        <w:spacing w:after="200" w:line="360" w:lineRule="auto"/>
        <w:jc w:val="both"/>
      </w:pPr>
      <w:r>
        <w:t xml:space="preserve">La interpretación de los resultados se realizó considerando que valores iguales o superiores a 4,0 indican un nivel alto de aceptación del sistema, valores comprendidos entre 3,0 y 3,9 corresponden a un nivel medio de aceptación, mientras que valores inferiores a 3,0 reflejan un nivel bajo de aceptación. La aplicación de este instrumento permitió conocer la percepción de los usuarios adultos respecto a la utilidad y facilidad de uso de la aplicación FitKids, aportando información relevante para la identificación de oportunidades de mejora y el fortalecimiento de la solución tecnológica desarrollada </w:t>
      </w:r>
      <w:sdt>
        <w:sdtPr>
          <w:tag w:val="MENDELEY_CITATIONS_v3{&quot;citationID&quot;: &quot;MENDELEY_CITATION_b1b4e17e-6a95-406c-bd05-07a3cc838f1b&quot;, &quot;citationItems&quot;: [{&quot;id&quot;: &quot;4f97eb76-dc25-495a-8b42-f000a469da64&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af55b45c-894a-45e4-a9fa-7d570559a08f&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 [10]&quot;, &quot;manualOverrideText&quot;: &quot;&quot;}}"/>
          <w:id w:val="1012"/>
        </w:sdtPr>
        <w:sdtContent>
          <w:r>
            <w:t xml:space="preserve">[1], [10]</w:t>
          </w:r>
        </w:sdtContent>
      </w:sdt>
      <w:r>
        <w:t xml:space="preserve">.</w:t>
      </w:r>
    </w:p>
    <w:p>
      <w:pPr>
        <w:pStyle w:val="Heading3"/>
        <w:jc w:val="left"/>
      </w:pPr>
      <w:r>
        <w:t xml:space="preserve">3.10.4 Usabilidad infantil</w:t>
      </w:r>
    </w:p>
    <w:p>
      <w:pPr>
        <w:spacing w:after="200" w:line="360" w:lineRule="auto"/>
        <w:jc w:val="both"/>
      </w:pPr>
      <w:r>
        <w:t xml:space="preserve">La evaluación de la usabilidad del sistema se centró en el modo niño de la aplicación, dado que es la interfaz con la que interactúan directamente los usuarios finales más jóvenes. Para ello se empleó la Escala de Usabilidad del Sistema o </w:t>
      </w:r>
      <w:r>
        <w:rPr>
          <w:i/>
        </w:rPr>
        <w:t xml:space="preserve">System Usability Scale</w:t>
      </w:r>
      <w:r>
        <w:t xml:space="preserve"> (SUS), un cuestionario breve de diez ítems con escala Likert de cinco puntos que ha demostrado ser confiable y económico para obtener una medida global de usabilidad </w:t>
      </w:r>
      <w:sdt>
        <w:sdtPr>
          <w:tag w:val="MENDELEY_CITATIONS_v3{&quot;citationID&quot;: &quot;MENDELEY_CITATION_727927ef-0449-4159-9172-d22978f2648a&quot;, &quot;citationItems&quot;: [{&quot;id&quot;: &quot;3a4c5306-9038-4adb-8dd1-294da3454d25&quot;, &quot;itemData&quot;: {&quot;id&quot;: &quot;3602c55d-289c-4118-bc03-789b0c54809f&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f5577095-da43-4f05-a41e-2ccf50757479&quot;, &quot;itemData&quot;: {&quot;id&quot;: &quot;9c33e1b7-d7d1-4af3-ab79-2177fbe726bc&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2], [4]&quot;, &quot;manualOverrideText&quot;: &quot;&quot;}}"/>
          <w:id w:val="1013"/>
        </w:sdtPr>
        <w:sdtContent>
          <w:r>
            <w:t xml:space="preserve">[2], [4]</w:t>
          </w:r>
        </w:sdtContent>
      </w:sdt>
      <w:r>
        <w:t xml:space="preserve">. La SUS combina afirmaciones positivas en los ítems impares y afirmaciones negativas en los ítems pares, lo que reduce el sesgo de respuesta y obliga al participante a leer cada enunciado con atención.</w:t>
      </w:r>
    </w:p>
    <w:p>
      <w:pPr>
        <w:spacing w:after="200" w:line="360" w:lineRule="auto"/>
        <w:jc w:val="both"/>
      </w:pPr>
      <w:r>
        <w:t xml:space="preserve">La aplicación del instrumento a niños entre 6 y 11 años requirió adaptaciones específicas, ya que el lenguaje original de la SUS está pensado para adultos. Siguiendo las recomendaciones de la literatura sobre evaluación de experiencia de usuario con menores de edad </w:t>
      </w:r>
      <w:sdt>
        <w:sdtPr>
          <w:tag w:val="MENDELEY_CITATIONS_v3{&quot;citationID&quot;: &quot;MENDELEY_CITATION_68bb8c60-4319-4845-a3a6-51b2cf4a3fb1&quot;, &quot;citationItems&quot;: [{&quot;id&quot;: &quot;c9dcfe8b-8538-4cf9-bc20-74472d443b73&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quot;, &quot;manualOverrideText&quot;: &quot;&quot;}}"/>
          <w:id w:val="1014"/>
        </w:sdtPr>
        <w:sdtContent>
          <w:r>
            <w:t xml:space="preserve">[5]</w:t>
          </w:r>
        </w:sdtContent>
      </w:sdt>
      <w:r>
        <w:t xml:space="preserve">, el cuestionario fue aplicado con el acompañamiento de los padres, quienes leyeron cada afirmación en voz alta utilizando un vocabulario simplificado y previamente revisado, registraron las respuestas que el niño manifestaba y resolvieron dudas de comprensión sin influir en la valoración. Esta modalidad de aplicación, conocida como administración asistida, busca preservar la voz del menor como evaluador principal y a la vez compensar las limitaciones lectoras propias de la edad.</w:t>
      </w:r>
    </w:p>
    <w:p>
      <w:pPr>
        <w:spacing w:after="200" w:line="360" w:lineRule="auto"/>
        <w:jc w:val="both"/>
      </w:pPr>
      <w:r>
        <w:t xml:space="preserve">La sesión de aplicación se desarrolló inmediatamente después de un período de uso libre del modo niño, durante el cual cada participante completó al menos una rutina de ejercicios y exploró las pantallas principales del sistema. Esta secuencia permitió que las respuestas se basaran en una experiencia concreta y no en suposiciones. La puntuación final de la SUS se calcula con la fórmula original propuesta por Brooke </w:t>
      </w:r>
      <w:sdt>
        <w:sdtPr>
          <w:tag w:val="MENDELEY_CITATIONS_v3{&quot;citationID&quot;: &quot;MENDELEY_CITATION_1691ebc0-bb90-43df-bd54-2784d346fd41&quot;, &quot;citationItems&quot;: [{&quot;id&quot;: &quot;6f6cd0d1-7363-43b8-aadb-130324dc181e&quot;, &quot;itemData&quot;: {&quot;id&quot;: &quot;3602c55d-289c-4118-bc03-789b0c54809f&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properties&quot;: {&quot;noteIndex&quot;: 0}, &quot;isEdited&quot;: false, &quot;manualOverride&quot;: {&quot;isManuallyOverridden&quot;: false, &quot;citeprocText&quot;: &quot;[2]&quot;, &quot;manualOverrideText&quot;: &quot;&quot;}}"/>
          <w:id w:val="1015"/>
        </w:sdtPr>
        <w:sdtContent>
          <w:r>
            <w:t xml:space="preserve">[2]</w:t>
          </w:r>
        </w:sdtContent>
      </w:sdt>
      <w:r>
        <w:t xml:space="preserve">, que arroja un valor entre 0 y 100 a partir de las respuestas a los diez ítems.</w:t>
      </w:r>
    </w:p>
    <w:p>
      <w:pPr>
        <w:spacing w:after="200" w:line="360" w:lineRule="auto"/>
        <w:jc w:val="both"/>
      </w:pPr>
      <w:r>
        <w:t xml:space="preserve">Para la interpretación de los resultados se adoptaron los rangos empíricos validados en la literatura: una puntuación igual o superior a 68 se considera el umbral de usabilidad aceptable, valores entre 50 y 67 corresponden a una usabilidad marginal que requiere mejoras y puntuaciones inferiores a 50 reflejan una usabilidad insuficiente </w:t>
      </w:r>
      <w:sdt>
        <w:sdtPr>
          <w:tag w:val="MENDELEY_CITATIONS_v3{&quot;citationID&quot;: &quot;MENDELEY_CITATION_0bde4f1f-1692-4fdb-8f76-f766e6411609&quot;, &quot;citationItems&quot;: [{&quot;id&quot;: &quot;7f07219c-611b-490d-82d1-20f559a0e77f&quot;, &quot;itemData&quot;: {&quot;id&quot;: &quot;1f9048a0-25e0-42aa-b952-95074b0c24c7&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3]&quot;, &quot;manualOverrideText&quot;: &quot;&quot;}}"/>
          <w:id w:val="1016"/>
        </w:sdtPr>
        <w:sdtContent>
          <w:r>
            <w:t xml:space="preserve">[3]</w:t>
          </w:r>
        </w:sdtContent>
      </w:sdt>
      <w:r>
        <w:t xml:space="preserve">. El criterio de aceptación adoptado para este indicador fue alcanzar una puntuación promedio igual o superior a 68 puntos en el conjunto de niños participantes.</w:t>
      </w:r>
    </w:p>
    <w:p>
      <w:pPr>
        <w:pStyle w:val="Heading3"/>
        <w:jc w:val="left"/>
      </w:pPr>
      <w:r>
        <w:t xml:space="preserve">3.10.5 Evaluación cualitativa del entorno web por especialistas</w:t>
      </w:r>
    </w:p>
    <w:p>
      <w:pPr>
        <w:spacing w:after="200" w:line="360" w:lineRule="auto"/>
        <w:jc w:val="both"/>
      </w:pPr>
      <w:r>
        <w:t xml:space="preserve">Con el fin de complementar la evaluación cuantitativa del sistema, se realizó una evaluación cualitativa del entorno web dirigida a dos especialistas en actividad física infantil, responsables de revisar y validar los ejercicios y las imágenes generados mediante inteligencia artificial. Esta perspectiva profesional resultó indispensable porque, a diferencia de la usabilidad y la aceptabilidad percibidas por padres y niños, la calidad clínica de las rutinas requiere un juicio experto que no puede sustituirse por puntuaciones de escala.</w:t>
      </w:r>
    </w:p>
    <w:p>
      <w:pPr>
        <w:spacing w:after="200" w:line="360" w:lineRule="auto"/>
        <w:jc w:val="both"/>
      </w:pPr>
      <w:r>
        <w:t xml:space="preserve">La evaluación se llevó a cabo mediante observación directa y preguntas abiertas, enfocándose en aspectos como la claridad de la información presentada, la facilidad para revisar y aprobar ejercicios, la correcta visualización de los recursos generados, la coherencia del flujo de trabajo y la utilidad del sistema como herramienta de apoyo profesional. Las preguntas utilizadas para esta evaluación se presentan en el Anexo 10. Esta aproximación cualitativa es coherente con la práctica de evaluación heurística complementaria a las pruebas con usuarios </w:t>
      </w:r>
      <w:sdt>
        <w:sdtPr>
          <w:tag w:val="MENDELEY_CITATIONS_v3{&quot;citationID&quot;: &quot;MENDELEY_CITATION_d31522d2-1b85-438e-9d3b-1290011c743c&quot;, &quot;citationItems&quot;: [{&quot;id&quot;: &quot;3cb1adfe-1942-4d36-a338-9360a53f9381&quot;, &quot;itemData&quot;: {&quot;id&quot;: &quot;6d599c00-7015-4f7d-9c2a-d8f0914c481e&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14]&quot;, &quot;manualOverrideText&quot;: &quot;&quot;}}"/>
          <w:id w:val="1017"/>
        </w:sdtPr>
        <w:sdtContent>
          <w:r>
            <w:t xml:space="preserve">[14]</w:t>
          </w:r>
        </w:sdtContent>
      </w:sdt>
      <w:r>
        <w:t xml:space="preserve">, la cual permite identificar problemas que las pruebas con usuarios finales no siempre detectan.</w:t>
      </w:r>
    </w:p>
    <w:p>
      <w:pPr>
        <w:spacing w:after="200" w:line="360" w:lineRule="auto"/>
        <w:jc w:val="both"/>
      </w:pPr>
      <w:r>
        <w:t xml:space="preserve">Cada especialista interactuó con el entorno web durante una sesión de aproximadamente cuarenta y cinco minutos, realizando tareas representativas: ingreso al sistema con sus credenciales, revisión de un lote de ejercicios pendientes, edición de descripciones cuando lo consideró necesario y aprobación o rechazo de los recursos generados. Al término de cada sesión, los especialistas emitieron comentarios descriptivos y recomendaciones basadas en su experiencia profesional, lo que permitió identificar fortalezas del sistema y oportunidades de mejora dentro del entorno web. Estas observaciones se transcribieron y se categorizaron temáticamente para su análisis posterior.</w:t>
      </w:r>
    </w:p>
    <w:p>
      <w:pPr>
        <w:pStyle w:val="Heading3"/>
        <w:jc w:val="left"/>
      </w:pPr>
      <w:r>
        <w:t xml:space="preserve">3.10.6 Procesamiento y análisis de datos</w:t>
      </w:r>
    </w:p>
    <w:p>
      <w:pPr>
        <w:spacing w:after="200" w:line="360" w:lineRule="auto"/>
        <w:jc w:val="both"/>
      </w:pPr>
      <w:r>
        <w:t xml:space="preserve">Toda la información recolectada durante el proceso de evaluación se organizó en una hoja de cálculo de Microsoft Excel, estructurada en tres pestañas independientes correspondientes a padres y tutores, niños y especialistas. Cada participante fue identificado mediante un código anónimo, lo que permitió cruzar variables entre cuestionarios sin comprometer la confidencialidad de los datos personales. Esta organización resultó clave para mantener la trazabilidad entre los formularios de caracterización, el cuestionario TAM, la SUS y las observaciones cualitativas registradas durante las sesiones con especialistas.</w:t>
      </w:r>
    </w:p>
    <w:p>
      <w:pPr>
        <w:spacing w:after="200" w:line="360" w:lineRule="auto"/>
        <w:jc w:val="both"/>
      </w:pPr>
      <w:r>
        <w:t xml:space="preserve">Los datos cuantitativos fueron analizados mediante estadística descriptiva, una elección coherente con el alcance de un estudio formativo de evaluación de software </w:t>
      </w:r>
      <w:sdt>
        <w:sdtPr>
          <w:tag w:val="MENDELEY_CITATIONS_v3{&quot;citationID&quot;: &quot;MENDELEY_CITATION_71c5a196-ad8d-4da8-b0ed-375cf4e322a1&quot;, &quot;citationItems&quot;: [{&quot;id&quot;: &quot;b450ba6b-d9fe-4d32-875c-a2fa8ebfad23&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id&quot;: &quot;10122b43-de07-4e2e-b707-58cddf16c3ef&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10]&quot;, &quot;manualOverrideText&quot;: &quot;&quot;}}"/>
          <w:id w:val="1018"/>
        </w:sdtPr>
        <w:sdtContent>
          <w:r>
            <w:t xml:space="preserve">[5], [10]</w:t>
          </w:r>
        </w:sdtContent>
      </w:sdt>
      <w:r>
        <w:t xml:space="preserve">. Para las variables categóricas (género, nivel educativo, relación con el niño, categoría de IMC, nivel de actividad física) se calcularon frecuencias absolutas y porcentajes. Para las variables numéricas (edad, IMC, puntuaciones TAM y SUS, horas de pantalla) se calcularon media y desviación estándar, así como valores mínimo y máximo cuando resultó pertinente para apreciar la dispersión de los datos. Los cálculos se realizaron con las funciones nativas de Excel, sin recurrir a software estadístico especializado, lo cual fue suficiente dado el tamaño y el carácter exploratorio de la muestra.</w:t>
      </w:r>
    </w:p>
    <w:p>
      <w:pPr>
        <w:spacing w:after="200" w:line="360" w:lineRule="auto"/>
        <w:jc w:val="both"/>
      </w:pPr>
      <w:r>
        <w:t xml:space="preserve">Los datos cualitativos provenientes de la evaluación con especialistas se analizaron mediante un proceso de categorización temática manual: las observaciones se agruparon en categorías emergentes como “claridad de la interfaz”, “calidad clínica de los ejercicios”, “flujo de aprobación” y “recomendaciones de mejora”. Esta categorización permitió integrar las observaciones cualitativas con los hallazgos cuantitativos al momento de discutir los resultados.</w:t>
      </w:r>
    </w:p>
    <w:p>
      <w:pPr>
        <w:spacing w:after="200" w:line="360" w:lineRule="auto"/>
        <w:jc w:val="both"/>
      </w:pPr>
      <w:r>
        <w:t xml:space="preserve">El conjunto de resultados específicos derivados de este procesamiento, así como su análisis crítico y las modificaciones adoptadas a partir de las observaciones recibidas, se presentan en el capítulo de Resultados, en concordancia con lo previsto por el reglamento institucional para los proyectos tecnológicos de la Unidad de Integración Curricular </w:t>
      </w:r>
      <w:sdt>
        <w:sdtPr>
          <w:tag w:val="MENDELEY_CITATIONS_v3{&quot;citationID&quot;: &quot;MENDELEY_CITATION_0e552c60-e905-45bd-b3c6-02251458cec1&quot;, &quot;citationItems&quot;: [{&quot;id&quot;: &quot;c75be8e2-ee8c-42f4-9f50-607569ce4a1c&quot;, &quot;itemData&quot;: {&quot;id&quot;: &quot;db272bc2-89dd-4f96-9f86-9655b98026fa&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2]&quot;, &quot;manualOverrideText&quot;: &quot;&quot;}}"/>
          <w:id w:val="1019"/>
        </w:sdtPr>
        <w:sdtContent>
          <w:r>
            <w:t xml:space="preserve">[12]</w:t>
          </w:r>
        </w:sdtContent>
      </w:sdt>
      <w:r>
        <w:t xml:space="preserve">.</w:t>
      </w:r>
    </w:p>
    <w:p>
      <w:pPr>
        <w:pStyle w:val="Heading3"/>
        <w:jc w:val="left"/>
      </w:pPr>
      <w:r>
        <w:t xml:space="preserve">Referencias</w:t>
      </w:r>
    </w:p>
    <w:p>
      <w:pPr>
        <w:spacing w:after="200" w:line="360" w:lineRule="auto"/>
        <w:jc w:val="both"/>
      </w:pPr>
      <w:r>
        <w:rPr>
          <w:i/>
        </w:rPr>
        <w:t xml:space="preserve">Bibliografía gestionada por Mendeley Cite. Al abrir el documento con el plugin instalado, podrás regenerar la lista, cambiar el estilo de cita y editar las referencias.</w:t>
      </w:r>
    </w:p>
    <w:sdt>
      <w:sdtPr>
        <w:tag w:val="MENDELEY_BIBLIOGRAPHY_v3{&quot;bibliographyType&quot;: &quot;MENDELEY_BIBLIOGRAPHY_v1&quot;, &quot;items&quot;: [{&quot;id&quot;: &quot;4b0ae897-3ae9-4cb6-b8e3-bfbf0d24ea58&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6c222f7d-354c-4e65-8348-39d32e6d4b86&quot;, &quot;itemData&quot;: {&quot;id&quot;: &quot;3602c55d-289c-4118-bc03-789b0c54809f&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aec80ba1-79cb-453d-a074-4a0c92df4d0b&quot;, &quot;itemData&quot;: {&quot;id&quot;: &quot;1f9048a0-25e0-42aa-b952-95074b0c24c7&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362aa2c7-7b92-48c2-8fbf-3cd432d15c47&quot;, &quot;itemData&quot;: {&quot;id&quot;: &quot;9c33e1b7-d7d1-4af3-ab79-2177fbe726bc&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id&quot;: &quot;f8d910b6-8980-4870-a81e-046b441aaa0c&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id&quot;: &quot;e6d23b04-9cd7-4805-ae75-881a365fcc4a&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id&quot;: &quot;8a19e57b-9afe-4066-82e8-7091a8e4d688&quot;, &quot;itemData&quot;: {&quot;id&quot;: &quot;3410023e-016d-45c1-ab31-a9d9fb9851a7&quot;, &quot;type&quot;: &quot;report&quot;, &quot;title&quot;: &quot;The Physical Activity Questionnaire for Older Children (PAQ-C) and Adolescents (PAQ-A) Manual&quot;, &quot;author&quot;: [{&quot;family&quot;: &quot;Kowalski&quot;, &quot;given&quot;: &quot;Kent C.&quot;}, {&quot;family&quot;: &quot;Crocker&quot;, &quot;given&quot;: &quot;Peter R. E.&quot;}, {&quot;family&quot;: &quot;Donen&quot;, &quot;given&quot;: &quot;Rachel M.&quot;}], &quot;publisher&quot;: &quot;College of Kinesiology, University of Saskatchewan&quot;, &quot;publisher-place&quot;: &quot;Saskatoon, Canada&quot;, &quot;issued&quot;: {&quot;date-parts&quot;: [[2004]]}, &quot;URL&quot;: &quot;https://www.researchgate.net/publication/228441462&quot;}}, {&quot;id&quot;: &quot;e801a1ae-83a2-446e-bef2-ae39f534ad2b&quot;, &quot;itemData&quot;: {&quot;id&quot;: &quot;99be7c6b-d23e-4517-8576-20f0f44728e8&quot;, &quot;type&quot;: &quot;article-journal&quot;, &quot;title&quot;: &quot;Development of a WHO growth reference for school-aged children and adolescents&quot;, &quot;author&quot;: [{&quot;family&quot;: &quot;de Onis&quot;, &quot;given&quot;: &quot;Mercedes&quot;}, {&quot;family&quot;: &quot;Onyango&quot;, &quot;given&quot;: &quot;Adelheid W.&quot;}, {&quot;family&quot;: &quot;Borghi&quot;, &quot;given&quot;: &quot;Elaine&quot;}, {&quot;family&quot;: &quot;Siyam&quot;, &quot;given&quot;: &quot;Amani&quot;}, {&quot;family&quot;: &quot;Nishida&quot;, &quot;given&quot;: &quot;Chizuru&quot;}, {&quot;family&quot;: &quot;Siekmann&quot;, &quot;given&quot;: &quot;Jonathan&quot;}], &quot;container-title&quot;: &quot;Bulletin of the World Health Organization&quot;, &quot;volume&quot;: &quot;85&quot;, &quot;issue&quot;: &quot;9&quot;, &quot;page&quot;: &quot;660-667&quot;, &quot;issued&quot;: {&quot;date-parts&quot;: [[2007, 9]]}, &quot;DOI&quot;: &quot;10.2471/BLT.07.043497&quot;}}, {&quot;id&quot;: &quot;9cb28ccc-b554-4fcc-8562-e0a1513572f1&quot;, &quot;itemData&quot;: {&quot;id&quot;: &quot;7e1a619d-a212-4627-bac7-f700f5556a4f&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1a1ef1e2-5e10-48b2-96d1-7cbf12812d06&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377b4e31-ef11-4bda-aae7-71c573267012&quot;, &quot;itemData&quot;: {&quot;id&quot;: &quot;ea6fe9c9-ce50-478e-a6d6-b0e7d184eab7&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43ade840-c8d3-4a33-887f-92e0fefe6d9d&quot;, &quot;itemData&quot;: {&quot;id&quot;: &quot;db272bc2-89dd-4f96-9f86-9655b98026fa&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id&quot;: &quot;d23b6ea6-90b9-4419-8e91-bdcd04f74ca5&quot;, &quot;itemData&quot;: {&quot;id&quot;: &quot;a44e3145-cd5e-4fea-88cb-249da8e33687&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id&quot;: &quot;1af9ca6d-6053-41db-bc87-5ee24efcf0ff&quot;, &quot;itemData&quot;: {&quot;id&quot;: &quot;6d599c00-7015-4f7d-9c2a-d8f0914c481e&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fac0685d-7057-402b-8345-0716d4f2992f&quot;, &quot;itemData&quot;: {&quot;id&quot;: &quot;5992b7ba-ce5e-4475-a530-7ae24c77420c&quot;, &quot;type&quot;: &quot;article-journal&quot;, &quot;title&quot;: &quot;Reliability and Validity of the PAQ-C Questionnaire to Assess Physical Activity in Children&quot;, &quot;author&quot;: [{&quot;family&quot;: &quot;Benítez-Porres&quot;, &quot;given&quot;: &quot;Javier&quot;}, {&quot;family&quot;: &quot;López-Fernández&quot;, &quot;given&quot;: &quot;Iván&quot;}, {&quot;family&quot;: &quot;Raya&quot;, &quot;given&quot;: &quot;Juan Francisco&quot;}, {&quot;family&quot;: &quot;Carnero&quot;, &quot;given&quot;: &quot;Salvador Álvarez&quot;}, {&quot;family&quot;: &quot;Alvero-Cruz&quot;, &quot;given&quot;: &quot;José Ramón&quot;}, {&quot;family&quot;: &quot;Carnero&quot;, &quot;given&quot;: &quot;Elvis A.&quot;}], &quot;container-title&quot;: &quot;Journal of School Health&quot;, &quot;volume&quot;: &quot;86&quot;, &quot;issue&quot;: &quot;9&quot;, &quot;page&quot;: &quot;677-685&quot;, &quot;issued&quot;: {&quot;date-parts&quot;: [[2016, 9]]}, &quot;DOI&quot;: &quot;10.1111/josh.12418&quot;}}]}"/>
        <w:id w:val="1020"/>
      </w:sdtPr>
      <w:sdtContent>
        <w:p>
          <w:pPr>
            <w:spacing w:after="240" w:line="360" w:lineRule="auto"/>
            <w:ind w:left="720" w:hanging="720"/>
            <w:jc w:val="both"/>
          </w:pPr>
          <w:r>
            <w:t xml:space="preserve">[1]	F.D. Davis, “Perceived usefulness, perceived ease of use, and user acceptance of information technology,” MIS Quarterly, vol. 13, no. 3, pp. 319-340, 1989, doi: 10.2307/249008.</w:t>
          </w:r>
        </w:p>
        <w:p>
          <w:pPr>
            <w:spacing w:after="240" w:line="360" w:lineRule="auto"/>
            <w:ind w:left="720" w:hanging="720"/>
            <w:jc w:val="both"/>
          </w:pPr>
          <w:r>
            <w:t xml:space="preserve">[2]	J. Brooke, “SUS — A quick and dirty usability scale,” in Usability Evaluation in Industry, London: Taylor &amp; Francis, pp. 189-194, 1996.</w:t>
          </w:r>
        </w:p>
        <w:p>
          <w:pPr>
            <w:spacing w:after="240" w:line="360" w:lineRule="auto"/>
            <w:ind w:left="720" w:hanging="720"/>
            <w:jc w:val="both"/>
          </w:pPr>
          <w:r>
            <w:t xml:space="preserve">[3]	A. Bangor, P.T. Kortum and J.T. Miller, “An empirical evaluation of the System Usability Scale,” International Journal of Human–Computer Interaction, vol. 24, no. 6, pp. 574-594, 2008, doi: 10.1080/10447310802205776.</w:t>
          </w:r>
        </w:p>
        <w:p>
          <w:pPr>
            <w:spacing w:after="240" w:line="360" w:lineRule="auto"/>
            <w:ind w:left="720" w:hanging="720"/>
            <w:jc w:val="both"/>
          </w:pPr>
          <w:r>
            <w:t xml:space="preserve">[4]	J.R. Lewis, “The System Usability Scale: Past, present, and future,” International Journal of Human–Computer Interaction, vol. 34, no. 7, pp. 577-590, 2018, doi: 10.1080/10447318.2018.1455307.</w:t>
          </w:r>
        </w:p>
        <w:p>
          <w:pPr>
            <w:spacing w:after="240" w:line="360" w:lineRule="auto"/>
            <w:ind w:left="720" w:hanging="720"/>
            <w:jc w:val="both"/>
          </w:pPr>
          <w:r>
            <w:t xml:space="preserve">[5]	C. Putnam et al., “Adapting user experience research methods for evaluating user experience with children,” in Proceedings of the Interaction Design and Children Conference (IDC '20), New York, NY: ACM, pp. 401-413, 2020, doi: 10.1145/3392063.3394434.</w:t>
          </w:r>
        </w:p>
        <w:p>
          <w:pPr>
            <w:spacing w:after="240" w:line="360" w:lineRule="auto"/>
            <w:ind w:left="720" w:hanging="720"/>
            <w:jc w:val="both"/>
          </w:pPr>
          <w:r>
            <w:t xml:space="preserve">[6]	P.R.E. Crocker, D.A. Bailey, R.A. Faulkner, K.C. Kowalski and R. McGrath, “Measuring general levels of physical activity: preliminary evidence for the Physical Activity Questionnaire for Older Children,” Medicine &amp; Science in Sports &amp; Exercise, vol. 29, no. 10, pp. 1344-1349, 1997, doi: 10.1097/00005768-199710000-00011.</w:t>
          </w:r>
        </w:p>
        <w:p>
          <w:pPr>
            <w:spacing w:after="240" w:line="360" w:lineRule="auto"/>
            <w:ind w:left="720" w:hanging="720"/>
            <w:jc w:val="both"/>
          </w:pPr>
          <w:r>
            <w:t xml:space="preserve">[7]	K.C. Kowalski, P.R.E. Crocker and R.M. Donen, “The Physical Activity Questionnaire for Older Children (PAQ-C) and Adolescents (PAQ-A) Manual,” College of Kinesiology, University of Saskatchewan, Saskatoon, Canada, 2004. [Online]. Available: https://www.researchgate.net/publication/228441462.</w:t>
          </w:r>
        </w:p>
        <w:p>
          <w:pPr>
            <w:spacing w:after="240" w:line="360" w:lineRule="auto"/>
            <w:ind w:left="720" w:hanging="720"/>
            <w:jc w:val="both"/>
          </w:pPr>
          <w:r>
            <w:t xml:space="preserve">[8]	M. de Onis, A.W. Onyango, E. Borghi, A. Siyam, C. Nishida and J. Siekmann, “Development of a WHO growth reference for school-aged children and adolescents,” Bulletin of the World Health Organization, vol. 85, no. 9, pp. 660-667, 2007, doi: 10.2471/BLT.07.043497.</w:t>
          </w:r>
        </w:p>
        <w:p>
          <w:pPr>
            <w:spacing w:after="240" w:line="360" w:lineRule="auto"/>
            <w:ind w:left="720" w:hanging="720"/>
            <w:jc w:val="both"/>
          </w:pPr>
          <w:r>
            <w:t xml:space="preserve">[9]	International Organization for Standardization, “ISO/IEC 25010:2011 — Systems and software engineering — Systems and software Quality Requirements and Evaluation (SQuaRE) — System and software quality models,” ISO, Geneva, 2011. [Online]. Available: https://www.iso.org/standard/35733.html.</w:t>
          </w:r>
        </w:p>
        <w:p>
          <w:pPr>
            <w:spacing w:after="240" w:line="360" w:lineRule="auto"/>
            <w:ind w:left="720" w:hanging="720"/>
            <w:jc w:val="both"/>
          </w:pPr>
          <w:r>
            <w:t xml:space="preserve">[10]	I. Sommerville, “Software Engineering,” 10th ed. Harlow, UK: Pearson, 2016, ISBN: 978-0133943030.</w:t>
          </w:r>
        </w:p>
        <w:p>
          <w:pPr>
            <w:spacing w:after="240" w:line="360" w:lineRule="auto"/>
            <w:ind w:left="720" w:hanging="720"/>
            <w:jc w:val="both"/>
          </w:pPr>
          <w:r>
            <w:t xml:space="preserve">[11]	G. Guerrero-Ulloa, A. Fernández-Loor, F. Moreira, P. Novais, C. Rodríguez-Domínguez and M.J. Hornos, “Validation of a development methodology and tool for IoT-based systems through a case study for visually impaired people,” Internet of Things, vol. 23, art. 100875, 2023, doi: 10.1016/j.iot.2023.100875.</w:t>
          </w:r>
        </w:p>
        <w:p>
          <w:pPr>
            <w:spacing w:after="240" w:line="360" w:lineRule="auto"/>
            <w:ind w:left="720" w:hanging="720"/>
            <w:jc w:val="both"/>
          </w:pPr>
          <w:r>
            <w:t xml:space="preserve">[12]	Universidad Técnica Estatal de Quevedo, “Estructura y formato institucional de presentación del proyecto tecnológico en la Unidad de Integración Curricular,” UTEQ, Quevedo, Ecuador, 2024. [Online]. Available: https://www.uteq.edu.ec/.</w:t>
          </w:r>
        </w:p>
        <w:p>
          <w:pPr>
            <w:spacing w:after="240" w:line="360" w:lineRule="auto"/>
            <w:ind w:left="720" w:hanging="720"/>
            <w:jc w:val="both"/>
          </w:pPr>
          <w:r>
            <w:t xml:space="preserve">[13]	K. Beck, “Test-Driven Development: By Example,” Boston: Addison-Wesley, 2003, ISBN: 978-0321146533.</w:t>
          </w:r>
        </w:p>
        <w:p>
          <w:pPr>
            <w:spacing w:after="240" w:line="360" w:lineRule="auto"/>
            <w:ind w:left="720" w:hanging="720"/>
            <w:jc w:val="both"/>
          </w:pPr>
          <w:r>
            <w:t xml:space="preserve">[14]	J. Nielsen, “Enhancing the explanatory power of usability heuristics,” in Proceedings of the SIGCHI Conference on Human Factors in Computing Systems (CHI '94), New York, NY: ACM, pp. 152-158, 1994, doi: 10.1145/191666.191729.</w:t>
          </w:r>
        </w:p>
        <w:p>
          <w:pPr>
            <w:spacing w:after="240" w:line="360" w:lineRule="auto"/>
            <w:ind w:left="720" w:hanging="720"/>
            <w:jc w:val="both"/>
          </w:pPr>
          <w:r>
            <w:t xml:space="preserve">[15]	J. Benítez-Porres, I. López-Fernández, J.F. Raya, S.Á. Carnero, J.R. Alvero-Cruz and E.A. Carnero, “Reliability and Validity of the PAQ-C Questionnaire to Assess Physical Activity in Children,” Journal of School Health, vol. 86, no. 9, pp. 677-685, 2016, doi: 10.1111/josh.12418.</w:t>
          </w:r>
        </w:p>
      </w:sdtContent>
    </w:sdt>
    <w:sectPr>
      <w:pgSz w:w="11906" w:h="16838"/>
      <w:pgMar w:top="1418" w:right="1418" w:bottom="1418" w:left="1701" w:header="708" w:footer="708" w:gutter="0"/>
      <w:cols w:space="708"/>
      <w:docGrid w:linePitch="36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4"/>
      </w:rPr>
    </w:rPrDefault>
    <w:pPrDefault>
      <w:pPr>
        <w:spacing w:after="160" w:line="360" w:lineRule="auto"/>
      </w:pPr>
    </w:pPrDefault>
  </w:docDefaults>
  <w:style w:type="paragraph" w:default="1" w:styleId="Normal">
    <w:name w:val="Normal"/>
    <w:qFormat/>
  </w:style>
  <w:style w:type="paragraph" w:styleId="Heading1">
    <w:name w:val="heading 1"/>
    <w:basedOn w:val="Normal"/>
    <w:next w:val="Normal"/>
    <w:qFormat/>
    <w:pPr>
      <w:spacing w:before="320" w:after="200"/>
      <w:outlineLvl w:val="0"/>
    </w:pPr>
    <w:rPr>
      <w:b/>
      <w:sz w:val="24"/>
      <w:caps/>
    </w:rPr>
  </w:style>
  <w:style w:type="paragraph" w:styleId="Heading2">
    <w:name w:val="heading 2"/>
    <w:basedOn w:val="Normal"/>
    <w:next w:val="Normal"/>
    <w:qFormat/>
    <w:pPr>
      <w:spacing w:before="280" w:after="180"/>
      <w:outlineLvl w:val="1"/>
    </w:pPr>
    <w:rPr>
      <w:b/>
      <w:sz w:val="24"/>
    </w:rPr>
  </w:style>
  <w:style w:type="paragraph" w:styleId="Heading3">
    <w:name w:val="heading 3"/>
    <w:basedOn w:val="Normal"/>
    <w:next w:val="Normal"/>
    <w:qFormat/>
    <w:pPr>
      <w:spacing w:before="240" w:after="160"/>
      <w:outlineLvl w:val="2"/>
    </w:pPr>
    <w:rPr>
      <w:b/>
      <w:i/>
      <w:sz w:val="24"/>
    </w:rPr>
  </w:style>
  <w:style w:type="paragraph" w:styleId="Heading4">
    <w:name w:val="heading 4"/>
    <w:basedOn w:val="Normal"/>
    <w:next w:val="Normal"/>
    <w:qFormat/>
    <w:pPr>
      <w:spacing w:before="200" w:after="140"/>
      <w:outlineLvl w:val="3"/>
    </w:pPr>
    <w:rPr>
      <w:b/>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3.10 Ejecución del proceso de evaluación - FitKids</dc:title>
  <dc:creator>Claude</dc:creator>
  <cp:lastModifiedBy>Claude</cp:lastModifiedBy>
  <dcterms:created xsi:type="dcterms:W3CDTF">2026-05-07T04:27:30Z</dcterms:created>
  <dcterms:modified xsi:type="dcterms:W3CDTF">2026-05-07T04:27:30Z</dcterms:modified>
</cp:coreProperties>
</file>