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4E79"/>
          <w:sz w:val="28"/>
          <w:szCs w:val="28"/>
        </w:rPr>
        <w:t xml:space="preserve">UNIVERSIDAD TÉCNICA ESTATAL DE QUEVEDO</w:t>
      </w:r>
    </w:p>
    <w:p>
      <w:pPr>
        <w:spacing w:after="600"/>
        <w:jc w:val="center"/>
      </w:pPr>
      <w:r>
        <w:rPr>
          <w:rFonts w:ascii="Calibri" w:cs="Calibri" w:eastAsia="Calibri" w:hAnsi="Calibri"/>
          <w:sz w:val="22"/>
          <w:szCs w:val="22"/>
        </w:rPr>
        <w:t xml:space="preserve">Facultad de Ciencias de la Computación</w:t>
      </w:r>
    </w:p>
    <w:p>
      <w:pPr>
        <w:spacing w:after="200"/>
        <w:jc w:val="center"/>
      </w:pPr>
      <w:r>
        <w:rPr>
          <w:rFonts w:ascii="Calibri" w:cs="Calibri" w:eastAsia="Calibri" w:hAnsi="Calibri"/>
          <w:b/>
          <w:bCs/>
          <w:color w:val="1F4E79"/>
          <w:sz w:val="40"/>
          <w:szCs w:val="40"/>
        </w:rPr>
        <w:t xml:space="preserve">PROYECTO DE CREACIÓN DE CARRERA</w:t>
      </w:r>
    </w:p>
    <w:p>
      <w:pPr>
        <w:spacing w:after="600"/>
        <w:jc w:val="center"/>
      </w:pPr>
      <w:r>
        <w:rPr>
          <w:rFonts w:ascii="Calibri" w:cs="Calibri" w:eastAsia="Calibri" w:hAnsi="Calibri"/>
          <w:sz w:val="36"/>
          <w:szCs w:val="36"/>
        </w:rPr>
        <w:t xml:space="preserve">Ingeniería en Internet de las Cosas</w:t>
      </w:r>
    </w:p>
    <w:p>
      <w:pPr>
        <w:jc w:val="center"/>
      </w:pPr>
      <w:r>
        <w:rPr>
          <w:rFonts w:ascii="Calibri" w:cs="Calibri" w:eastAsia="Calibri" w:hAnsi="Calibri"/>
          <w:sz w:val="24"/>
          <w:szCs w:val="24"/>
        </w:rPr>
        <w:t xml:space="preserve">Tercer nivel de grado · Modalidad presencial</w:t>
      </w:r>
    </w:p>
    <w:p>
      <w:pPr>
        <w:spacing w:after="900"/>
        <w:jc w:val="center"/>
      </w:pPr>
      <w:r>
        <w:rPr>
          <w:rFonts w:ascii="Calibri" w:cs="Calibri" w:eastAsia="Calibri" w:hAnsi="Calibri"/>
          <w:b/>
          <w:bCs/>
          <w:sz w:val="24"/>
          <w:szCs w:val="24"/>
        </w:rPr>
        <w:t xml:space="preserve">BORRADOR v0.2 · 26 de septiembre de 2026</w:t>
      </w:r>
    </w:p>
    <w:p>
      <w:pPr>
        <w:pBdr>
          <w:left w:val="single" w:color="BF9000" w:sz="12" w:space="8"/>
        </w:pBdr>
        <w:spacing w:after="120"/>
        <w:ind w:left="200"/>
      </w:pPr>
      <w:r>
        <w:rPr>
          <w:rFonts w:ascii="Calibri" w:cs="Calibri" w:eastAsia="Calibri" w:hAnsi="Calibri"/>
          <w:b/>
          <w:bCs/>
          <w:i/>
          <w:iCs/>
          <w:sz w:val="20"/>
          <w:szCs w:val="20"/>
        </w:rPr>
        <w:t xml:space="preserve">Estado del documento.</w:t>
      </w:r>
      <w:r>
        <w:rPr>
          <w:rFonts w:ascii="Calibri" w:cs="Calibri" w:eastAsia="Calibri" w:hAnsi="Calibri"/>
          <w:i/>
          <w:iCs/>
          <w:sz w:val="20"/>
          <w:szCs w:val="20"/>
        </w:rPr>
        <w:t xml:space="preserve"> Borrador de trabajo para discusión interna. No está aprobado por ningún órgano de la UTEQ ni presentado al CES. Todo dato resaltado en amarillo, como </w:t>
      </w:r>
      <w:r>
        <w:rPr>
          <w:rFonts w:ascii="Calibri" w:cs="Calibri" w:eastAsia="Calibri" w:hAnsi="Calibri"/>
          <w:i/>
          <w:iCs/>
          <w:sz w:val="20"/>
          <w:szCs w:val="20"/>
          <w:highlight w:val="yellow"/>
          <w:highlightCs w:val="yellow"/>
        </w:rPr>
        <w:t xml:space="preserve">[este ejemplo]</w:t>
      </w:r>
      <w:r>
        <w:rPr>
          <w:rFonts w:ascii="Calibri" w:cs="Calibri" w:eastAsia="Calibri" w:hAnsi="Calibri"/>
          <w:i/>
          <w:iCs/>
          <w:sz w:val="20"/>
          <w:szCs w:val="20"/>
        </w:rPr>
        <w:t xml:space="preserve">, falta por completar o confirmar. Las cifras de demanda ocupacional y de recursos institucionales no se han levantado: no se inventaron y quedan marcadas como pendientes.</w:t>
      </w:r>
    </w:p>
    <w:p>
      <w:pPr>
        <w:pBdr>
          <w:left w:val="single" w:color="BF9000" w:sz="12" w:space="8"/>
        </w:pBdr>
        <w:spacing w:after="120"/>
        <w:ind w:left="200"/>
      </w:pPr>
      <w:r>
        <w:rPr>
          <w:rFonts w:ascii="Calibri" w:cs="Calibri" w:eastAsia="Calibri" w:hAnsi="Calibri"/>
          <w:b/>
          <w:bCs/>
          <w:i/>
          <w:iCs/>
          <w:sz w:val="20"/>
          <w:szCs w:val="20"/>
        </w:rPr>
        <w:t xml:space="preserve">Base normativa.</w:t>
      </w:r>
      <w:r>
        <w:rPr>
          <w:rFonts w:ascii="Calibri" w:cs="Calibri" w:eastAsia="Calibri" w:hAnsi="Calibri"/>
          <w:i/>
          <w:iCs/>
          <w:sz w:val="20"/>
          <w:szCs w:val="20"/>
        </w:rPr>
        <w:t xml:space="preserve"> Reglamento de Régimen Académico del CES (2022, reforma de 11-IV-2023, vigente sin reformas posteriores confirmadas), Guía Metodológica para la presentación de carreras (codificada en 2023) y Reglamento de Armonización de la Nomenclatura RPC-SE-05-No.014-2023, reformado por Resolución RPC-SO-28-No.420-2025 (16-VII-2025), cuyo contenido no se pudo revisar todavía (§8.1). También se actualizaron las citas al Estatuto UTEQ (reformado en 2023 y 2024), al Reglamento de Régimen Académico Interno de la UTEQ (2021) y al Reglamento de la Unidad de Integración Curricular (2024).</w:t>
      </w:r>
    </w:p>
    <w:p>
      <w:pPr>
        <w:pStyle w:val="Heading1"/>
        <w:pageBreakBefore/>
      </w:pPr>
      <w:r>
        <w:rPr>
          <w:rFonts w:ascii="Calibri" w:cs="Calibri" w:eastAsia="Calibri" w:hAnsi="Calibri"/>
        </w:rPr>
        <w:t xml:space="preserve">Contenido</w:t>
      </w:r>
    </w:p>
    <w:p>
      <w:pPr>
        <w:spacing w:after="80"/>
      </w:pPr>
      <w:r>
        <w:rPr>
          <w:rFonts w:ascii="Calibri" w:cs="Calibri" w:eastAsia="Calibri" w:hAnsi="Calibri"/>
        </w:rPr>
        <w:t xml:space="preserve">1. Estructura del expediente y correspondencia con este borrador</w:t>
      </w:r>
    </w:p>
    <w:p>
      <w:pPr>
        <w:spacing w:after="80"/>
      </w:pPr>
      <w:r>
        <w:rPr>
          <w:rFonts w:ascii="Calibri" w:cs="Calibri" w:eastAsia="Calibri" w:hAnsi="Calibri"/>
        </w:rPr>
        <w:t xml:space="preserve">2. Datos generales de la carrera</w:t>
      </w:r>
    </w:p>
    <w:p>
      <w:pPr>
        <w:spacing w:after="80"/>
      </w:pPr>
      <w:r>
        <w:rPr>
          <w:rFonts w:ascii="Calibri" w:cs="Calibri" w:eastAsia="Calibri" w:hAnsi="Calibri"/>
        </w:rPr>
        <w:t xml:space="preserve">3. Informe académico</w:t>
      </w:r>
    </w:p>
    <w:p>
      <w:pPr>
        <w:spacing w:after="80"/>
      </w:pPr>
      <w:r>
        <w:rPr>
          <w:rFonts w:ascii="Calibri" w:cs="Calibri" w:eastAsia="Calibri" w:hAnsi="Calibri"/>
        </w:rPr>
        <w:t xml:space="preserve">4. Estudio de pertinencia</w:t>
      </w:r>
    </w:p>
    <w:p>
      <w:pPr>
        <w:spacing w:after="80"/>
      </w:pPr>
      <w:r>
        <w:rPr>
          <w:rFonts w:ascii="Calibri" w:cs="Calibri" w:eastAsia="Calibri" w:hAnsi="Calibri"/>
        </w:rPr>
        <w:t xml:space="preserve">5. Justificación epistemológica</w:t>
      </w:r>
    </w:p>
    <w:p>
      <w:pPr>
        <w:spacing w:after="80"/>
      </w:pPr>
      <w:r>
        <w:rPr>
          <w:rFonts w:ascii="Calibri" w:cs="Calibri" w:eastAsia="Calibri" w:hAnsi="Calibri"/>
        </w:rPr>
        <w:t xml:space="preserve">6. Malla curricular</w:t>
      </w:r>
    </w:p>
    <w:p>
      <w:pPr>
        <w:spacing w:after="80"/>
      </w:pPr>
      <w:r>
        <w:rPr>
          <w:rFonts w:ascii="Calibri" w:cs="Calibri" w:eastAsia="Calibri" w:hAnsi="Calibri"/>
        </w:rPr>
        <w:t xml:space="preserve">7. Recursos, cohorte y convenios</w:t>
      </w:r>
    </w:p>
    <w:p>
      <w:pPr>
        <w:spacing w:after="80"/>
      </w:pPr>
      <w:r>
        <w:rPr>
          <w:rFonts w:ascii="Calibri" w:cs="Calibri" w:eastAsia="Calibri" w:hAnsi="Calibri"/>
        </w:rPr>
        <w:t xml:space="preserve">8. Pendientes y hoja de ruta</w:t>
      </w:r>
    </w:p>
    <w:p>
      <w:pPr>
        <w:spacing w:after="80"/>
      </w:pPr>
      <w:r>
        <w:rPr>
          <w:rFonts w:ascii="Calibri" w:cs="Calibri" w:eastAsia="Calibri" w:hAnsi="Calibri"/>
        </w:rPr>
        <w:t xml:space="preserve">Anexo A. Fuentes</w:t>
      </w:r>
    </w:p>
    <w:p>
      <w:pPr>
        <w:pStyle w:val="Heading1"/>
        <w:pageBreakBefore/>
      </w:pPr>
      <w:r>
        <w:rPr>
          <w:rFonts w:ascii="Calibri" w:cs="Calibri" w:eastAsia="Calibri" w:hAnsi="Calibri"/>
        </w:rPr>
        <w:t xml:space="preserve">1. Estructura del expediente y correspondencia con este borrador</w:t>
      </w:r>
    </w:p>
    <w:p>
      <w:pPr>
        <w:spacing w:after="120" w:line="276"/>
        <w:jc w:val="both"/>
      </w:pPr>
      <w:r>
        <w:rPr>
          <w:rFonts w:ascii="Calibri" w:cs="Calibri" w:eastAsia="Calibri" w:hAnsi="Calibri"/>
        </w:rPr>
        <w:t xml:space="preserve">El CES no recibe un documento libre: el proyecto se carga en la plataforma PPCP con la información y documentación que fija la Guía Metodológica (numerales 1.1 a 1.4 y Anexo 1 o 2). Esta tabla relaciona cada requisito con la sección de este borrador.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626"/>
        <w:gridCol w:w="2500"/>
      </w:tblGrid>
      <w:tr>
        <w:trPr>
          <w:tblHeader/>
        </w:trPr>
        <w:tc>
          <w:tcPr>
            <w:tcW w:type="dxa" w:w="3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Requisito de la Guía Metodológica</w:t>
            </w:r>
          </w:p>
        </w:tc>
        <w:tc>
          <w:tcPr>
            <w:tcW w:type="dxa" w:w="2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Dónde está en este borrador</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Estado</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1.1 Información institucional: datos de la IES, aval CACES si no está acreditada, datos del rector y del responsable</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Portada y §2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Pendiente: datos del rector y del responsable; estatus CACES de la UTEQ</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Datos generales: nivel, modalidad, campos RANT, denominación, titulación, itinerarios, perfiles, segunda lengua, lugar, cohorte, periodos, créditos, prácticas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 (tabla completa), §3.2 a §3.3, §6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Propuesto, con campos por confirmar</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Justificación si la denominación o el campo detallado son nuevos (Anexo III o IV del RANT)</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Redactada; falta transponer al formato del Anexo III</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Resolución del órgano colegiado superior (Consejo Universitario)</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Pendiente</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 Informe académico aprobado por el órgano colegiado superior (Anexo 1)</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Estructura lista; falta la matriz CACES</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Anexo 2: informe de par académico (solo si la UTEQ no es acreditada ni tiene aval CACES)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Depende del estatus CACES</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1.3 Convenios legalizados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§7.3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Pendiente</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1.4 Declaración de recursos académicos, equipamiento, infraestructura y modelo educativo</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§7.1 y §7.2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Plantilla lista; faltan datos reales</w:t>
            </w:r>
          </w:p>
        </w:tc>
      </w:tr>
      <w:tr>
        <w:trPr>
          <w:cantSplit/>
        </w:trPr>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Estudio de pertinencia (sustento del informe académico y del principio del Art. 107 de la LOES)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Marco y datos nacionales listos; falta el trabajo de campo</w:t>
            </w:r>
          </w:p>
        </w:tc>
      </w:tr>
    </w:tbl>
    <w:p>
      <w:pPr>
        <w:spacing w:after="120"/>
      </w:pPr>
    </w:p>
    <w:p>
      <w:pPr>
        <w:spacing w:after="120" w:line="276"/>
        <w:jc w:val="both"/>
      </w:pPr>
      <w:r>
        <w:rPr>
          <w:rFonts w:ascii="Calibri" w:cs="Calibri" w:eastAsia="Calibri" w:hAnsi="Calibri"/>
          <w:b/>
          <w:bCs/>
        </w:rPr>
        <w:t xml:space="preserve">Cómo se organiza el informe académico (Anexo 1).</w:t>
      </w:r>
      <w:r>
        <w:rPr>
          <w:rFonts w:ascii="Calibri" w:cs="Calibri" w:eastAsia="Calibri" w:hAnsi="Calibri"/>
        </w:rPr>
        <w:t xml:space="preserve"> Contiene información de la IES y de la carrera, un resumen de la propuesta (objetivo general, perfil de egreso, líneas de investigación, vinculación con la sociedad y prácticas preprofesionales), la descripción del cumplimiento de los criterios y estándares básicos de calidad del CACES, y una conclusión firmada por un responsable afín a la carrera. El §3 sigue ese orden.</w:t>
      </w:r>
    </w:p>
    <w:p>
      <w:pPr>
        <w:pStyle w:val="Heading1"/>
        <w:pageBreakBefore/>
      </w:pPr>
      <w:r>
        <w:rPr>
          <w:rFonts w:ascii="Calibri" w:cs="Calibri" w:eastAsia="Calibri" w:hAnsi="Calibri"/>
        </w:rPr>
        <w:t xml:space="preserve">2. Datos generales de la carrera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26"/>
        <w:gridCol w:w="280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 (Guía 1.2)</w:t>
            </w:r>
          </w:p>
        </w:tc>
        <w:tc>
          <w:tcPr>
            <w:tcW w:type="dxa" w:w="3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Propuesta</w:t>
            </w:r>
          </w:p>
        </w:tc>
        <w:tc>
          <w:tcPr>
            <w:tcW w:type="dxa" w:w="2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Base o estado</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Denominación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Ingeniería en Internet de las Cosas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Ver §5.5; verificar Anexo II vigente del RANT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Titulación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Ingeniero/a en Internet de las Cosas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7 RANT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Nivel de formación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Tercer nivel de grado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11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Modalidad</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Presencial</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55 RRA. Compatible con la carga de laboratorio de la carrera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¿Proyecto experimental o innovador?</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Solo IES acreditadas pueden presentar proyectos experimentales (Art. 96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¿Proyecto en red?</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96 RRA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Campo amplio, específico y detallado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06 Tecnologías de la información y la comunicación (TIC) / 1 Tecnologías de la información y la comunicación / 1 Ciencias computacionales (código 0611)</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Anexo I 2023 del RANT. Riesgo de reclasificación en 0714 y ruta de consulta al CES: ver §5.3</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Itinerarios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 A) IoT para agroindustria y ambiente; B) IoT industrial y ciudades inteligentes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16 RRA, máximo 3</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Perfil de ingreso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Título de bachiller, con acceso por el sistema de nivelación y admisión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13 RRA. Detalle en §3.2</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Perfil de egreso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Nueve resultados de aprendizaje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§3.3</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Segunda lengua</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Suficiencia de inglés como requisito de titulación, nivel B1 del Marco Común Europeo o equivalente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64 RRA: el nivel mínimo para el tercer nivel de grado es B1</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Lugar de ejecución</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Campus Central, Quevedo, Los Ríos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Dirección institucional según memorando UTEQ-VICACAD-2026-1787-M</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Estudiantes por cohorte</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40 estudiantes en 1 paralelo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 96 RRA. Debe respaldarse con la capacidad de los laboratorios (§7.1)</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Número de periodos académicos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18,1 semanas por período a 45 h/semana; ver §6.1</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Total de créditos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136 créditos (6.528 horas)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Rango del Art. 15 RRA: 120 a 150 créditos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aprendizaje en contacto con el docente</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45,6 (2.189 h)</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Cálculo de la malla propuesta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aprendizaje práctico-experimental</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41,3 (1.982 h)</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Incluye las prácticas preprofesionales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aprendizaje autónomo</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49,1 (2.357 h)</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Cálculo de la malla propuesta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Prácticas preprofesionales</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384 h en total: 288 h laborales y 96 h de servicio comunitario</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Mínimos del Art. 43 RRA: 240 h y 60 h. Equivalen a 5,9 % de la carrera; el tope es 10 %</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Resolución del órgano colegiado superior</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[Número y fecha, cuando exista]</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Consejo Universitario de la UTEQ</w:t>
            </w:r>
          </w:p>
        </w:tc>
      </w:tr>
    </w:tbl>
    <w:p>
      <w:pPr>
        <w:pStyle w:val="Heading1"/>
        <w:pageBreakBefore/>
      </w:pPr>
      <w:r>
        <w:rPr>
          <w:rFonts w:ascii="Calibri" w:cs="Calibri" w:eastAsia="Calibri" w:hAnsi="Calibri"/>
        </w:rPr>
        <w:t xml:space="preserve">3. Informe académico</w:t>
      </w:r>
    </w:p>
    <w:p>
      <w:pPr>
        <w:pStyle w:val="Heading2"/>
      </w:pPr>
      <w:r>
        <w:rPr>
          <w:rFonts w:ascii="Calibri" w:cs="Calibri" w:eastAsia="Calibri" w:hAnsi="Calibri"/>
        </w:rPr>
        <w:t xml:space="preserve">3.1 Objetivos de la carrera</w:t>
      </w:r>
    </w:p>
    <w:p>
      <w:pPr>
        <w:spacing w:after="120" w:line="276"/>
        <w:jc w:val="both"/>
      </w:pPr>
      <w:r>
        <w:rPr>
          <w:rFonts w:ascii="Calibri" w:cs="Calibri" w:eastAsia="Calibri" w:hAnsi="Calibri"/>
          <w:b/>
          <w:bCs/>
        </w:rPr>
        <w:t xml:space="preserve">Objetivo general.</w:t>
      </w:r>
      <w:r>
        <w:rPr>
          <w:rFonts w:ascii="Calibri" w:cs="Calibri" w:eastAsia="Calibri" w:hAnsi="Calibri"/>
        </w:rPr>
        <w:t xml:space="preserve"> Formar ingenieros e ingenieras capaces de diseñar, implementar, operar y asegurar soluciones de Internet de las Cosas que integren electrónica embebida, comunicaciones, plataformas en la nube y analítica de datos, con criterios de ética, sostenibilidad y atención a las necesidades productivas del país y de la provincia de Los Ríos.</w:t>
      </w:r>
    </w:p>
    <w:p>
      <w:pPr>
        <w:spacing w:after="120" w:line="276"/>
        <w:jc w:val="both"/>
      </w:pPr>
      <w:r>
        <w:rPr>
          <w:rFonts w:ascii="Calibri" w:cs="Calibri" w:eastAsia="Calibri" w:hAnsi="Calibri"/>
          <w:b/>
          <w:bCs/>
        </w:rPr>
        <w:t xml:space="preserve">Objetivos específicos.</w:t>
      </w:r>
    </w:p>
    <w:p>
      <w:pPr>
        <w:pStyle w:val="ListParagraph"/>
        <w:numPr>
          <w:ilvl w:val="0"/>
          <w:numId w:val="2"/>
        </w:numPr>
        <w:spacing w:after="60" w:line="276"/>
      </w:pPr>
      <w:r>
        <w:rPr>
          <w:rFonts w:ascii="Calibri" w:cs="Calibri" w:eastAsia="Calibri" w:hAnsi="Calibri"/>
        </w:rPr>
        <w:t xml:space="preserve">Desarrollar dispositivos conectados con sensores y actuadores, desde el diseño del circuito hasta el firmware.</w:t>
      </w:r>
    </w:p>
    <w:p>
      <w:pPr>
        <w:pStyle w:val="ListParagraph"/>
        <w:numPr>
          <w:ilvl w:val="0"/>
          <w:numId w:val="2"/>
        </w:numPr>
        <w:spacing w:after="60" w:line="276"/>
      </w:pPr>
      <w:r>
        <w:rPr>
          <w:rFonts w:ascii="Calibri" w:cs="Calibri" w:eastAsia="Calibri" w:hAnsi="Calibri"/>
        </w:rPr>
        <w:t xml:space="preserve">Implementar redes y protocolos de comunicación adecuados a cada contexto de despliegue, urbano o rural.</w:t>
      </w:r>
    </w:p>
    <w:p>
      <w:pPr>
        <w:pStyle w:val="ListParagraph"/>
        <w:numPr>
          <w:ilvl w:val="0"/>
          <w:numId w:val="2"/>
        </w:numPr>
        <w:spacing w:after="60" w:line="276"/>
      </w:pPr>
      <w:r>
        <w:rPr>
          <w:rFonts w:ascii="Calibri" w:cs="Calibri" w:eastAsia="Calibri" w:hAnsi="Calibri"/>
        </w:rPr>
        <w:t xml:space="preserve">Construir plataformas que recojan, procesen y analicen datos de dispositivos, incluida la inteligencia artificial en el borde.</w:t>
      </w:r>
    </w:p>
    <w:p>
      <w:pPr>
        <w:pStyle w:val="ListParagraph"/>
        <w:numPr>
          <w:ilvl w:val="0"/>
          <w:numId w:val="2"/>
        </w:numPr>
        <w:spacing w:after="60" w:line="276"/>
      </w:pPr>
      <w:r>
        <w:rPr>
          <w:rFonts w:ascii="Calibri" w:cs="Calibri" w:eastAsia="Calibri" w:hAnsi="Calibri"/>
        </w:rPr>
        <w:t xml:space="preserve">Proteger los sistemas y los datos que manejan, conforme a la normativa ecuatoriana de protección de datos personales.</w:t>
      </w:r>
    </w:p>
    <w:p>
      <w:pPr>
        <w:pStyle w:val="ListParagraph"/>
        <w:numPr>
          <w:ilvl w:val="0"/>
          <w:numId w:val="2"/>
        </w:numPr>
        <w:spacing w:after="60" w:line="276"/>
      </w:pPr>
      <w:r>
        <w:rPr>
          <w:rFonts w:ascii="Calibri" w:cs="Calibri" w:eastAsia="Calibri" w:hAnsi="Calibri"/>
        </w:rPr>
        <w:t xml:space="preserve">Impulsar la investigación aplicada y el emprendimiento tecnológico vinculados al sector productivo de la zona.</w:t>
      </w:r>
    </w:p>
    <w:p>
      <w:pPr>
        <w:pStyle w:val="Heading2"/>
      </w:pPr>
      <w:r>
        <w:rPr>
          <w:rFonts w:ascii="Calibri" w:cs="Calibri" w:eastAsia="Calibri" w:hAnsi="Calibri"/>
        </w:rPr>
        <w:t xml:space="preserve">3.2 Perfil de ingreso</w:t>
      </w:r>
    </w:p>
    <w:p>
      <w:pPr>
        <w:spacing w:after="120" w:line="276"/>
        <w:jc w:val="both"/>
      </w:pPr>
      <w:r>
        <w:rPr>
          <w:rFonts w:ascii="Calibri" w:cs="Calibri" w:eastAsia="Calibri" w:hAnsi="Calibri"/>
        </w:rPr>
        <w:t xml:space="preserve">Título de bachiller o su equivalente y cumplimiento de los requisitos del sistema de acceso, nivelación y admisión de las instituciones públicas (Art. 13 del RRA). Se valoran, sin ser requisito, el razonamiento lógico-matemático, el interés por la tecnología y el gusto por el trabajo experimental.</w:t>
      </w:r>
    </w:p>
    <w:p>
      <w:pPr>
        <w:spacing w:after="120" w:line="276"/>
        <w:jc w:val="both"/>
      </w:pPr>
      <w:r>
        <w:rPr>
          <w:rFonts w:ascii="Calibri" w:cs="Calibri" w:eastAsia="Calibri" w:hAnsi="Calibri"/>
          <w:b/>
          <w:bCs/>
        </w:rPr>
        <w:t xml:space="preserve">Proceso de ingreso en la UTEQ.</w:t>
      </w:r>
      <w:r>
        <w:rPr>
          <w:rFonts w:ascii="Calibri" w:cs="Calibri" w:eastAsia="Calibri" w:hAnsi="Calibri"/>
        </w:rPr>
        <w:t xml:space="preserve"> El acceso se rige por el Reglamento de Admisión y Nivelación de la UTEQ (versión 1.0, octubre de 2023), dentro del Sistema Nacional de Nivelación y Admisión. Según ese reglamento, la nota de postulación suma la evaluación de capacidades y competencias (30 %) y los antecedentes académicos (70 %), más un puntaje adicional de acción afirmativa (Art. 29); la asignación de cupos sigue un orden de segmentos que empieza por los aspirantes de mayor vulnerabilidad socioeconómica (Art. 35), y la UTEQ garantiza una cuota del 5 % de los cupos para grupos históricamente excluidos (Art. 32). La página de admisión para 2026 describe siete fases (registro nacional en la plataforma del Ministerio de Educación, registro en la UTEQ, simulador de la evaluación, evaluación de competencias generales y específicas, publicación de la nota, confirmación o cambio de carrera y aceptación del cupo) y publica una nota de postulación de 50 % bachillerato y 50 % evaluación, distinta de la del reglamento de 2023. Las áreas evaluadas dependen de la carrera; entre las que publica la UTEQ figuran matemáticas, razonamiento lógico, lengua e inglés.</w:t>
      </w:r>
    </w:p>
    <w:p>
      <w:pPr>
        <w:spacing w:after="120" w:line="276"/>
        <w:jc w:val="both"/>
      </w:pPr>
      <w:r>
        <w:rPr>
          <w:rFonts w:ascii="Calibri" w:cs="Calibri" w:eastAsia="Calibri" w:hAnsi="Calibri"/>
          <w:b/>
          <w:bCs/>
        </w:rPr>
        <w:t xml:space="preserve">Enfoque de derechos.</w:t>
      </w:r>
      <w:r>
        <w:rPr>
          <w:rFonts w:ascii="Calibri" w:cs="Calibri" w:eastAsia="Calibri" w:hAnsi="Calibri"/>
        </w:rPr>
        <w:t xml:space="preserve"> El Art. 5 del RRA obliga a las IES a concretar acciones afirmativas hacia los grupos de atención prioritaria (mujeres, pueblos y nacionalidades, personas con discapacidad, entre otros) y a incorporarlas en el plan institucional de igualdad. En Los Ríos las mujeres son el 61,7 % de la matrícula universitaria (17.057 de 27.624 en 2023, SENESCYT), pero en el sector tecnológico ecuatoriano solo son el 30 % de los profesionales y el 16 % de las mujeres elige carreras STEM (informe de la UTPL con datos del INEC y ONU Mujeres, según El Diario, abril de 2026). Se propone una meta de participación de mujeres de al menos el 30 % en la primera cohorte (12 de 40 estudiantes), igual a su peso actual entre los profesionales del sector, y del 40 % en la quinta cohorte, con difusión de la carrera en colegios de la zona y tutoría de pares. Se prevén adecuaciones de laboratorio para estudiantes con discapacidad, en línea con la asistencia que el reglamento de titulación ya reconoce en la UTEQ.</w:t>
      </w:r>
    </w:p>
    <w:p>
      <w:pPr>
        <w:pStyle w:val="Heading3"/>
      </w:pPr>
      <w:r>
        <w:rPr>
          <w:rFonts w:ascii="Calibri" w:cs="Calibri" w:eastAsia="Calibri" w:hAnsi="Calibri"/>
        </w:rPr>
        <w:t xml:space="preserve">Tipos de bachillerato de los aspirantes</w:t>
      </w:r>
    </w:p>
    <w:p>
      <w:pPr>
        <w:spacing w:after="120" w:line="276"/>
        <w:jc w:val="both"/>
      </w:pPr>
      <w:r>
        <w:rPr>
          <w:rFonts w:ascii="Calibri" w:cs="Calibri" w:eastAsia="Calibri" w:hAnsi="Calibri"/>
        </w:rPr>
        <w:t xml:space="preserve">Los aspirantes llegan de trayectorias muy distintas. Según el Ministerio de Educación, el Bachillerato General Unificado tiene tres años y se ofrece en dos opciones principales, más dos bachilleratos complementarios. A ello se suman otras vías que el Ministerio menciona por separado y que hay que considerar por su peso en una universidad pública de la costa.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23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Tipo de bachillerato</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Rasgos</w:t>
            </w:r>
          </w:p>
        </w:tc>
        <w:tc>
          <w:tcPr>
            <w:tcW w:type="dxa" w:w="2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Carga semanal en matemática y física*</w:t>
            </w:r>
          </w:p>
        </w:tc>
        <w:tc>
          <w:tcPr>
            <w:tcW w:type="dxa" w:w="2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Brecha probable frente a los prerrequisitos de IoT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 en Ciencias (BGU)</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Formación científico-humanística. 40 períodos semanales; en tercer año, 10 horas de asignaturas optativas</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Matemática 5, 5 y 4 h (1.º, 2.º y 3.º año). Física 3, 3 y 2 h</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Programación, electrónica y trabajo de laboratorio casi ausentes. La competencia digital es desigual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 Técnico (BGU), figuras de la familia Tecnologías: desarrollo de software, redes y telecomunicaciones, seguridad informática, soporte informático, ciencias de datos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45 períodos semanales en la malla 2024-2025; desde 2025-2026 en la Sierra y 2026-2027 en la Costa, 21 períodos de formación técnica y 19 de tronco común por curso</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Malla 2024-2025: matemática 3, 3 y 2 h; física 2 h por año. La reforma recorta el tronco común</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Buen punto de partida en programación y redes. Déficit en matemática y física: unas 8 horas de matemática en los tres años, frente a 14 en Ciencias, y menos a partir de la reforma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 Técnico, figuras de la familia Industrial: electrónica, mecatrónica, electromecánica industrial</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Igual estructura; formación práctica en taller</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Igual que el anterior</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Fortaleza en circuitos y taller. Déficit en matemática, física y programación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 Técnico, otras familias: agropecuaria y ambiente, administrativa y financiera, turismo, diseño, construcción sostenible</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Igual estructura</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Igual que el anterior</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Déficit en matemática y física, y sin base técnica cercana a IoT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 Técnico Productivo y Complementario en Artes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Bachilleratos complementarios que se cursan después del general</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Depende del bachillerato de origen</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Igual que el bachillerato de base, con menos práctica científica en el caso de Artes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Bachillerato Internacional (BI)</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Seis grupos de asignaturas, teoría del conocimiento, monografía de 4.000 palabras y proyecto de creatividad, acción y servicio; 45 períodos semanales</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Matemática y ciencias experimentales obligatorias, en nivel medio o superior</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Fortaleza en matemática, ciencias e inglés. Falta programación y electrónica. No se encontró un listado oficial de colegios BI en Los Ríos: el Ministerio acreditó 82 colegios públicos en 2014, 56 de ellos de la Sierra, y los privados se concentran en Quito y Guayaquil. Su peso en la zona sería pequeño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Otras vías: intercultural bilingüe, escolaridad inconclusa (jóvenes y adultos), títulos del extranjero</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Trayectorias heterogéneas; el Art. 13 del RRA obliga a aceptar títulos extranjeros reconocidos o equiparados por el Ministerio de Educación</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Variable</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Muy dispersa: en adultos, tiempo sin estudiar; en intercultural bilingüe, posible brecha de lengua</w:t>
            </w:r>
          </w:p>
        </w:tc>
      </w:tr>
    </w:tbl>
    <w:p>
      <w:pPr>
        <w:pBdr>
          <w:left w:val="single" w:color="BF9000" w:sz="12" w:space="8"/>
        </w:pBdr>
        <w:spacing w:after="120"/>
        <w:ind w:left="200"/>
      </w:pPr>
      <w:r>
        <w:rPr>
          <w:rFonts w:ascii="Calibri" w:cs="Calibri" w:eastAsia="Calibri" w:hAnsi="Calibri"/>
          <w:i/>
          <w:iCs/>
          <w:sz w:val="20"/>
          <w:szCs w:val="20"/>
        </w:rPr>
        <w:t xml:space="preserve">* Malla 2024-2025 de la región Sierra-Amazonía publicada por Primicias a partir del Ministerio de Educación. El Acuerdo MINEDEC-MINEDEC-2025-00051-A (16 de octubre de 2025) reformó los acuerdos MINEDUC-2023-00008-A y MINEDUC-2024-00065-A: los cursos de primero y segundo de Bachillerato Técnico pasan a 21 períodos de formación técnica y 19 de tronco común (antes 12 y 28), desde 2025-2026 en la Sierra y 2026-2027 en la Costa. Los primeros egresados con esa malla llegarían a la universidad hacia 2028 y 2029, por lo que la brecha en matemática y física de los bachilleres técnicos crecerá durante los primeros años de la carrera.</w:t>
      </w:r>
    </w:p>
    <w:p>
      <w:pPr>
        <w:pBdr>
          <w:left w:val="single" w:color="BF9000" w:sz="12" w:space="8"/>
        </w:pBdr>
        <w:spacing w:after="120"/>
        <w:ind w:left="200"/>
      </w:pPr>
      <w:r>
        <w:rPr>
          <w:rFonts w:ascii="Calibri" w:cs="Calibri" w:eastAsia="Calibri" w:hAnsi="Calibri"/>
          <w:b/>
          <w:bCs/>
          <w:i/>
          <w:iCs/>
          <w:sz w:val="20"/>
          <w:szCs w:val="20"/>
        </w:rPr>
        <w:t xml:space="preserve">Sobre los graduados de Los Ríos por tipo de bachillerato y figura profesional.</w:t>
      </w:r>
      <w:r>
        <w:rPr>
          <w:rFonts w:ascii="Calibri" w:cs="Calibri" w:eastAsia="Calibri" w:hAnsi="Calibri"/>
          <w:i/>
          <w:iCs/>
          <w:sz w:val="20"/>
          <w:szCs w:val="20"/>
        </w:rPr>
        <w:t xml:space="preserve"> Se revisaron las fuentes abiertas del Ministerio de Educación: el conjunto de datos "Registro Administrativo Histórico" (educacion.gob.ec/datos-abiertos-minedec, corte 2009-2024, descargado y verificado) da, por institución y año, el total de estudiantes promovidos, no promovidos y en abandono, pero sin desagregar por nivel (Inicial, EGB o Bachillerato) ni por tipo de bachillerato o figura profesional; el portal interactivo "Reportes Educativos" (reportes.educacion.gob.ec), que en el pasado permitía ese cruce, no respondió al consultarlo el 28-IX-2026. </w:t>
      </w:r>
      <w:r>
        <w:rPr>
          <w:rFonts w:ascii="Calibri" w:cs="Calibri" w:eastAsia="Calibri" w:hAnsi="Calibri"/>
          <w:i/>
          <w:iCs/>
          <w:sz w:val="20"/>
          <w:szCs w:val="20"/>
          <w:highlight w:val="yellow"/>
          <w:highlightCs w:val="yellow"/>
        </w:rPr>
        <w:t xml:space="preserve">[Pedir por oficio a la Dirección Nacional de Análisis e Información Educativa los graduados de Los Ríos por tipo de bachillerato y figura profesional, o reintentar el portal Reportes Educativos cuando esté disponible]</w:t>
      </w:r>
    </w:p>
    <w:p>
      <w:pPr>
        <w:pStyle w:val="Heading3"/>
      </w:pPr>
      <w:r>
        <w:rPr>
          <w:rFonts w:ascii="Calibri" w:cs="Calibri" w:eastAsia="Calibri" w:hAnsi="Calibri"/>
        </w:rPr>
        <w:t xml:space="preserve">Conocimientos mínimos que el primer período da por sabidos</w:t>
      </w:r>
    </w:p>
    <w:p>
      <w:pPr>
        <w:spacing w:after="120" w:line="276"/>
        <w:jc w:val="both"/>
      </w:pPr>
      <w:r>
        <w:rPr>
          <w:rFonts w:ascii="Calibri" w:cs="Calibri" w:eastAsia="Calibri" w:hAnsi="Calibri"/>
        </w:rPr>
        <w:t xml:space="preserve">Las asignaturas del primer período (cálculo, álgebra, fundamentos de programación, física, comunicación y una introducción a la carrera) suponen:</w:t>
      </w:r>
    </w:p>
    <w:p>
      <w:pPr>
        <w:pStyle w:val="ListParagraph"/>
        <w:numPr>
          <w:ilvl w:val="0"/>
          <w:numId w:val="2"/>
        </w:numPr>
        <w:spacing w:after="60" w:line="276"/>
      </w:pPr>
      <w:r>
        <w:rPr>
          <w:rFonts w:ascii="Calibri" w:cs="Calibri" w:eastAsia="Calibri" w:hAnsi="Calibri"/>
          <w:b/>
          <w:bCs/>
        </w:rPr>
        <w:t xml:space="preserve">Matemática:</w:t>
      </w:r>
      <w:r>
        <w:rPr>
          <w:rFonts w:ascii="Calibri" w:cs="Calibri" w:eastAsia="Calibri" w:hAnsi="Calibri"/>
        </w:rPr>
        <w:t xml:space="preserve"> aritmética y álgebra, ecuaciones e inecuaciones, funciones, trigonometría y geometría analítica básica.</w:t>
      </w:r>
    </w:p>
    <w:p>
      <w:pPr>
        <w:pStyle w:val="ListParagraph"/>
        <w:numPr>
          <w:ilvl w:val="0"/>
          <w:numId w:val="2"/>
        </w:numPr>
        <w:spacing w:after="60" w:line="276"/>
      </w:pPr>
      <w:r>
        <w:rPr>
          <w:rFonts w:ascii="Calibri" w:cs="Calibri" w:eastAsia="Calibri" w:hAnsi="Calibri"/>
          <w:b/>
          <w:bCs/>
        </w:rPr>
        <w:t xml:space="preserve">Física:</w:t>
      </w:r>
      <w:r>
        <w:rPr>
          <w:rFonts w:ascii="Calibri" w:cs="Calibri" w:eastAsia="Calibri" w:hAnsi="Calibri"/>
        </w:rPr>
        <w:t xml:space="preserve"> magnitudes y unidades, cinemática, dinámica, energía y electricidad elemental.</w:t>
      </w:r>
    </w:p>
    <w:p>
      <w:pPr>
        <w:pStyle w:val="ListParagraph"/>
        <w:numPr>
          <w:ilvl w:val="0"/>
          <w:numId w:val="2"/>
        </w:numPr>
        <w:spacing w:after="60" w:line="276"/>
      </w:pPr>
      <w:r>
        <w:rPr>
          <w:rFonts w:ascii="Calibri" w:cs="Calibri" w:eastAsia="Calibri" w:hAnsi="Calibri"/>
          <w:b/>
          <w:bCs/>
        </w:rPr>
        <w:t xml:space="preserve">Pensamiento lógico y algorítmico:</w:t>
      </w:r>
      <w:r>
        <w:rPr>
          <w:rFonts w:ascii="Calibri" w:cs="Calibri" w:eastAsia="Calibri" w:hAnsi="Calibri"/>
        </w:rPr>
        <w:t xml:space="preserve"> secuenciar pasos, condiciones y repeticiones.</w:t>
      </w:r>
    </w:p>
    <w:p>
      <w:pPr>
        <w:pStyle w:val="ListParagraph"/>
        <w:numPr>
          <w:ilvl w:val="0"/>
          <w:numId w:val="2"/>
        </w:numPr>
        <w:spacing w:after="60" w:line="276"/>
      </w:pPr>
      <w:r>
        <w:rPr>
          <w:rFonts w:ascii="Calibri" w:cs="Calibri" w:eastAsia="Calibri" w:hAnsi="Calibri"/>
          <w:b/>
          <w:bCs/>
        </w:rPr>
        <w:t xml:space="preserve">Lectura y escritura académicas y competencia digital:</w:t>
      </w:r>
      <w:r>
        <w:rPr>
          <w:rFonts w:ascii="Calibri" w:cs="Calibri" w:eastAsia="Calibri" w:hAnsi="Calibri"/>
        </w:rPr>
        <w:t xml:space="preserve"> leer textos técnicos, redactar y usar herramientas digitales de estudio.</w:t>
      </w:r>
    </w:p>
    <w:p>
      <w:pPr>
        <w:pStyle w:val="ListParagraph"/>
        <w:numPr>
          <w:ilvl w:val="0"/>
          <w:numId w:val="2"/>
        </w:numPr>
        <w:spacing w:after="60" w:line="276"/>
      </w:pPr>
      <w:r>
        <w:rPr>
          <w:rFonts w:ascii="Calibri" w:cs="Calibri" w:eastAsia="Calibri" w:hAnsi="Calibri"/>
          <w:b/>
          <w:bCs/>
        </w:rPr>
        <w:t xml:space="preserve">Inglés técnico elemental:</w:t>
      </w:r>
      <w:r>
        <w:rPr>
          <w:rFonts w:ascii="Calibri" w:cs="Calibri" w:eastAsia="Calibri" w:hAnsi="Calibri"/>
        </w:rPr>
        <w:t xml:space="preserve"> la documentación de sensores y plataformas está en inglés.</w:t>
      </w:r>
    </w:p>
    <w:p>
      <w:pPr>
        <w:pStyle w:val="Heading3"/>
      </w:pPr>
      <w:r>
        <w:rPr>
          <w:rFonts w:ascii="Calibri" w:cs="Calibri" w:eastAsia="Calibri" w:hAnsi="Calibri"/>
        </w:rPr>
        <w:t xml:space="preserve">Propuesta de nivelación específica para la carrera</w:t>
      </w:r>
    </w:p>
    <w:p>
      <w:pPr>
        <w:spacing w:after="120" w:line="276"/>
        <w:jc w:val="both"/>
      </w:pPr>
      <w:r>
        <w:rPr>
          <w:rFonts w:ascii="Calibri" w:cs="Calibri" w:eastAsia="Calibri" w:hAnsi="Calibri"/>
        </w:rPr>
        <w:t xml:space="preserve">El Reglamento de Admisión y Nivelación de la UTEQ (2023) define el curso de nivelación de carrera como el que articula el perfil de salida de los bachilleres con el perfil de ingreso de cada carrera y homologa conocimientos y destrezas (Art. 43). Los programas analíticos de las asignaturas de nivelación los revisan las coordinaciones de carrera y los aprueban el Consejo Directivo de la Facultad y el Consejo Académico (Art. 47), por lo que una nivelación propia de la carrera cabe en la norma. Se aprueba con al menos 7 puntos en cada asignatura (Art. 53) y la matrícula en el primer nivel se hace en el período inmediato siguiente. La nivelación de la UTEQ se dicta en modalidad virtual, y los períodos académicos de 2026 duran 20 semanas. Como referencia histórica, la nivelación de la SENESCYT para el área de ingenierías dedicaba 200 horas a matemáticas, 100 a física, 100 a química y 140 a un tronco común. Para IoT se propone reemplazar química, que la carrera no usa, por pensamiento computacional e introducción a la electrónica: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626"/>
        <w:gridCol w:w="220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 de nivelación</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3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Contenidos</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Quiénes la necesitan más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N1 Matemática para ingeniería</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120</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Álgebra, ecuaciones, funciones, trigonometría, geometría analítica y vectores en el plano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Bachilleratos Técnicos, Artes, vías especiales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N2 Física básica</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80</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Magnitudes, cinemática, dinámica, energía y electricidad elemental (ley de Ohm)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Técnicos no industriales, Artes, vías especiales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N3 Pensamiento computacional y lógica</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80</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Algoritmos, pseudocódigo, estructuras de control y un primer lenguaje (Python)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Ciencias, Técnicos no informáticos, Bachillerato Internacional</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N4 Comunicación académica y competencia digital</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60</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Lectura técnica, redacción, herramientas digitales y vocabulario técnico en inglés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Todos; en especial adultos e intercultural bilingüe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N5 Introducción a la electrónica y al IoT</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60</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Circuitos simples, sensores y un primer proyecto con microcontrolador</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Ciencias, Técnicos no industriales, Bachillerato Internacional</w:t>
            </w:r>
          </w:p>
        </w:tc>
      </w:tr>
      <w:tr>
        <w:trPr>
          <w:cantSplit/>
        </w:trPr>
        <w:tc>
          <w:tcPr>
            <w:tcW w:type="dxa" w:w="24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400</w:t>
            </w:r>
          </w:p>
        </w:tc>
        <w:tc>
          <w:tcPr>
            <w:tcW w:type="dxa" w:w="36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16 semanas a 25 horas semanales, dentro de un período de 20 semanas, en modalidad virtual con sesiones sincrónicas</w:t>
            </w:r>
          </w:p>
        </w:tc>
        <w:tc>
          <w:tcPr>
            <w:tcW w:type="dxa" w:w="22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bl>
    <w:p>
      <w:pPr>
        <w:spacing w:after="120"/>
      </w:pPr>
    </w:p>
    <w:p>
      <w:pPr>
        <w:spacing w:after="120" w:line="276"/>
        <w:jc w:val="both"/>
      </w:pPr>
      <w:r>
        <w:rPr>
          <w:rFonts w:ascii="Calibri" w:cs="Calibri" w:eastAsia="Calibri" w:hAnsi="Calibri"/>
          <w:b/>
          <w:bCs/>
        </w:rPr>
        <w:t xml:space="preserve">Rutas según un diagnóstico de entrada.</w:t>
      </w:r>
      <w:r>
        <w:rPr>
          <w:rFonts w:ascii="Calibri" w:cs="Calibri" w:eastAsia="Calibri" w:hAnsi="Calibri"/>
        </w:rPr>
        <w:t xml:space="preserve"> En la primera semana se aplica una prueba diagnóstica de matemática, física y lógica. El aspirante con nota suficiente en un área queda exonerado de esa asignatura y usa las horas en tutorías. Como hipótesis inicial:</w:t>
      </w:r>
    </w:p>
    <w:p>
      <w:pPr>
        <w:pStyle w:val="ListParagraph"/>
        <w:numPr>
          <w:ilvl w:val="0"/>
          <w:numId w:val="2"/>
        </w:numPr>
        <w:spacing w:after="60" w:line="276"/>
      </w:pPr>
      <w:r>
        <w:rPr>
          <w:rFonts w:ascii="Calibri" w:cs="Calibri" w:eastAsia="Calibri" w:hAnsi="Calibri"/>
          <w:b/>
          <w:bCs/>
        </w:rPr>
        <w:t xml:space="preserve">Ruta A, Bachillerato Técnico de Tecnologías e Industrial:</w:t>
      </w:r>
      <w:r>
        <w:rPr>
          <w:rFonts w:ascii="Calibri" w:cs="Calibri" w:eastAsia="Calibri" w:hAnsi="Calibri"/>
        </w:rPr>
        <w:t xml:space="preserve"> refuerzo de N1 y N2 con tutorías adicionales; exoneración parcial de N3 y N5.</w:t>
      </w:r>
    </w:p>
    <w:p>
      <w:pPr>
        <w:pStyle w:val="ListParagraph"/>
        <w:numPr>
          <w:ilvl w:val="0"/>
          <w:numId w:val="2"/>
        </w:numPr>
        <w:spacing w:after="60" w:line="276"/>
      </w:pPr>
      <w:r>
        <w:rPr>
          <w:rFonts w:ascii="Calibri" w:cs="Calibri" w:eastAsia="Calibri" w:hAnsi="Calibri"/>
          <w:b/>
          <w:bCs/>
        </w:rPr>
        <w:t xml:space="preserve">Ruta B, Bachillerato en Ciencias y Bachillerato Internacional:</w:t>
      </w:r>
      <w:r>
        <w:rPr>
          <w:rFonts w:ascii="Calibri" w:cs="Calibri" w:eastAsia="Calibri" w:hAnsi="Calibri"/>
        </w:rPr>
        <w:t xml:space="preserve"> exoneración parcial de N1 y N2; refuerzo de N3 y N5.</w:t>
      </w:r>
    </w:p>
    <w:p>
      <w:pPr>
        <w:pStyle w:val="ListParagraph"/>
        <w:numPr>
          <w:ilvl w:val="0"/>
          <w:numId w:val="2"/>
        </w:numPr>
        <w:spacing w:after="60" w:line="276"/>
      </w:pPr>
      <w:r>
        <w:rPr>
          <w:rFonts w:ascii="Calibri" w:cs="Calibri" w:eastAsia="Calibri" w:hAnsi="Calibri"/>
          <w:b/>
          <w:bCs/>
        </w:rPr>
        <w:t xml:space="preserve">Ruta C, otros bachilleratos y vías especiales:</w:t>
      </w:r>
      <w:r>
        <w:rPr>
          <w:rFonts w:ascii="Calibri" w:cs="Calibri" w:eastAsia="Calibri" w:hAnsi="Calibri"/>
        </w:rPr>
        <w:t xml:space="preserve"> las cinco asignaturas, con tutoría personalizada.</w:t>
      </w:r>
    </w:p>
    <w:p>
      <w:pPr>
        <w:pBdr>
          <w:left w:val="single" w:color="BF9000" w:sz="12" w:space="8"/>
        </w:pBdr>
        <w:spacing w:after="120"/>
        <w:ind w:left="200"/>
      </w:pPr>
      <w:r>
        <w:rPr>
          <w:rFonts w:ascii="Calibri" w:cs="Calibri" w:eastAsia="Calibri" w:hAnsi="Calibri"/>
          <w:i/>
          <w:iCs/>
          <w:sz w:val="20"/>
          <w:szCs w:val="20"/>
        </w:rPr>
        <w:t xml:space="preserve">Los créditos de nivelación no forman parte de los 136 de la malla, y la gratuidad cubre la primera matrícula del curso (Art. 44 del reglamento de nivelación). El tiempo, la evaluación diagnóstica y la reasignación entre asignaturas se definirán con la Unidad de Admisión y Nivelación al aprobar los programas analíticos.</w:t>
      </w:r>
    </w:p>
    <w:p>
      <w:pPr>
        <w:pStyle w:val="Heading2"/>
      </w:pPr>
      <w:r>
        <w:rPr>
          <w:rFonts w:ascii="Calibri" w:cs="Calibri" w:eastAsia="Calibri" w:hAnsi="Calibri"/>
        </w:rPr>
        <w:t xml:space="preserve">3.3 Perfil de egreso</w:t>
      </w:r>
    </w:p>
    <w:p>
      <w:pPr>
        <w:spacing w:after="120" w:line="276"/>
        <w:jc w:val="both"/>
      </w:pPr>
      <w:r>
        <w:rPr>
          <w:rFonts w:ascii="Calibri" w:cs="Calibri" w:eastAsia="Calibri" w:hAnsi="Calibri"/>
        </w:rPr>
        <w:t xml:space="preserve">El egresado o egresada logra los siguientes resultados de aprendizaje. La columna de la derecha indica las asignaturas de la malla (§6) que los desarrollan.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926"/>
        <w:gridCol w:w="2200"/>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Código</w:t>
            </w:r>
          </w:p>
        </w:tc>
        <w:tc>
          <w:tcPr>
            <w:tcW w:type="dxa" w:w="59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Resultado de aprendizaje</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Asignaturas principales</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RA1</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Diseña arquitecturas IoT de extremo a extremo (percepción, red, plataforma y aplicación) a partir de requisitos del usuario y de normas técnicas.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1.6, 4.4, 5.5, 7.1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RA2</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Desarrolla hardware y firmware para dispositivos embebidos con sensores y actuadores, optimizando consumo y fiabilidad.</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2.3, 3.2, 4.1, 4.2, 6.3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RA3</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Implementa la conectividad de los dispositivos con protocolos y tecnologías de comunicación adecuados al contexto de despliegue.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3.3, 4.4, 5.1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RA4</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Integra plataformas en la nube y en el borde para almacenar, procesar y visualizar datos de dispositivos conectados.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4.3, 5.2, 5.4, 7.1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RA5</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Aplica modelos de analítica e inteligencia artificial a datos de sensores, incluida su ejecución en dispositivos de recursos limitados.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2.4, 5.4, 6.1, 7.2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RA6</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Protege sistemas IoT aplicando criterios de ciberseguridad y de privacidad, y la normativa ecuatoriana de protección de datos personales.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5.3, 8.4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RA7</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Gestiona proyectos de base tecnológica con criterios de sostenibilidad, ética profesional y emprendimiento.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3.5, 6.4, 7.5, 8.2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RA8</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Investiga e innova con método científico y comunica sus resultados de forma clara, en equipos multidisciplinarios.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1.5, 6.5, 7.6, 8.3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RA9</w:t>
            </w:r>
          </w:p>
        </w:tc>
        <w:tc>
          <w:tcPr>
            <w:tcW w:type="dxa" w:w="59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Desarrolla aplicaciones de monitoreo y mando para sistemas conectados (tableros, alertas, reglas de automatización y control remoto de sensores y actuadores), con criterios de seguridad, usabilidad y trazabilidad, sin construir software empresarial de propósito general.</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5.2, 5.5, 6.2, 7.1</w:t>
            </w:r>
          </w:p>
        </w:tc>
      </w:tr>
    </w:tbl>
    <w:p>
      <w:pPr>
        <w:spacing w:after="120"/>
      </w:pPr>
    </w:p>
    <w:p>
      <w:pPr>
        <w:pStyle w:val="Heading3"/>
      </w:pPr>
      <w:r>
        <w:rPr>
          <w:rFonts w:ascii="Calibri" w:cs="Calibri" w:eastAsia="Calibri" w:hAnsi="Calibri"/>
        </w:rPr>
        <w:t xml:space="preserve">Alcance del desarrollo de software en el perfil</w:t>
      </w:r>
    </w:p>
    <w:p>
      <w:pPr>
        <w:spacing w:after="120" w:line="276"/>
        <w:jc w:val="both"/>
      </w:pPr>
      <w:r>
        <w:rPr>
          <w:rFonts w:ascii="Calibri" w:cs="Calibri" w:eastAsia="Calibri" w:hAnsi="Calibri"/>
        </w:rPr>
        <w:t xml:space="preserve">Un sistema IoT tiene usuarios que necesitan ver datos y decidir: activar o desactivar un sensor, encender un actuador, cambiar un umbral, recibir una alerta. La pregunta es quién construye esas herramientas. La respuesta de este proyecto es que el ingeniero o ingeniera en IoT sí desarrolla las aplicaciones de monitoreo y mando de sus propios sistemas, pero con un alcance distinto del de un ingeniero de software. Por eso el perfil incluye el resultado RA9 y la asignatura 7.1 se centra en ese tipo de aplicaciones.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Aspecto</w:t>
            </w:r>
          </w:p>
        </w:tc>
        <w:tc>
          <w:tcPr>
            <w:tcW w:type="dxa" w:w="3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Ingeniería en Software (UTEQ)</w:t>
            </w:r>
          </w:p>
        </w:tc>
        <w:tc>
          <w:tcPr>
            <w:tcW w:type="dxa" w:w="3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Ingeniería en Internet de las Cosas (propuesta)</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Objeto</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de software de propósito general para procesar información y apoyar decisiones de las organizaciones</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conectados que perciben y actúan sobre el entorno físico</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Qué desarrolla</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Aplicaciones web, móviles y distribuidas, con interacción hombre-máquina, calidad, mantenimiento y arquitectura de software (malla de la UTEQ)</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Firmware y lógica en el borde; pasarelas y conexión con la nube; tableros, alertas, reglas de automatización y control remoto de sensores y actuadores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Cómo lo desarrolla</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Ciclo completo de ingeniería de software: requerimientos, diseño, pruebas, verificación y validación, gestión de la configuración</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 plataformas y componentes existentes (brokers de mensajes, plataformas IoT, tableros configurables) más código propio donde hace falta; ingeniería de requisitos y pruebas a escala del proyecto</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Lo que lo distingue</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Escala, calidad y mantenibilidad del software</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Tiempo real, consumo de energía, fiabilidad de la comunicación, seguridad de los actuadores y trazabilidad de cada orden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Límite del perfil</w:t>
            </w:r>
          </w:p>
        </w:tc>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empresariales, aplicaciones móviles nativas complejas y arquitecturas de gran escala</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 construye software empresarial de propósito general; integra sus sistemas con el que desarrolla el equipo de software</w:t>
            </w:r>
          </w:p>
        </w:tc>
      </w:tr>
    </w:tbl>
    <w:p>
      <w:pPr>
        <w:spacing w:after="120"/>
      </w:pPr>
    </w:p>
    <w:p>
      <w:pPr>
        <w:spacing w:after="120" w:line="276"/>
        <w:jc w:val="both"/>
      </w:pPr>
      <w:r>
        <w:rPr>
          <w:rFonts w:ascii="Calibri" w:cs="Calibri" w:eastAsia="Calibri" w:hAnsi="Calibri"/>
          <w:b/>
          <w:bCs/>
        </w:rPr>
        <w:t xml:space="preserve">Condiciones de diseño para las aplicaciones de mando.</w:t>
      </w:r>
      <w:r>
        <w:rPr>
          <w:rFonts w:ascii="Calibri" w:cs="Calibri" w:eastAsia="Calibri" w:hAnsi="Calibri"/>
        </w:rPr>
        <w:t xml:space="preserve"> Como una orden equivocada sobre un actuador puede dañar equipos o personas, el resultado RA9 exige control de acceso por roles, confirmación de las acciones críticas, registro de quién ordenó qué y cuándo, y un modo seguro cuando falla la comunicación. Esas condiciones se enseñan en 5.3 (ciberseguridad), 6.2 (sistemas ciberfísicos y control) y 7.1.</w:t>
      </w:r>
    </w:p>
    <w:p>
      <w:pPr>
        <w:spacing w:after="120" w:line="276"/>
        <w:jc w:val="both"/>
      </w:pPr>
      <w:r>
        <w:rPr>
          <w:rFonts w:ascii="Calibri" w:cs="Calibri" w:eastAsia="Calibri" w:hAnsi="Calibri"/>
          <w:b/>
          <w:bCs/>
        </w:rPr>
        <w:t xml:space="preserve">Campos de desempeño profesional.</w:t>
      </w:r>
      <w:r>
        <w:rPr>
          <w:rFonts w:ascii="Calibri" w:cs="Calibri" w:eastAsia="Calibri" w:hAnsi="Calibri"/>
        </w:rPr>
        <w:t xml:space="preserve"> Ingeniero o ingeniera de soluciones IoT; arquitecto o arquitecta de soluciones conectadas; desarrollador o desarrolladora de firmware, sistemas embebidos y aplicaciones de monitoreo y mando; especialista en redes de sensores y conectividad; analista de datos de dispositivos; consultor o consultora en agricultura de precisión y agroindustria; emprendedor o emprendedora de base tecnológica. La demanda por sector se analiza en las secciones 4.8 a 4.11.</w:t>
      </w:r>
    </w:p>
    <w:p>
      <w:pPr>
        <w:pStyle w:val="Heading2"/>
      </w:pPr>
      <w:r>
        <w:rPr>
          <w:rFonts w:ascii="Calibri" w:cs="Calibri" w:eastAsia="Calibri" w:hAnsi="Calibri"/>
        </w:rPr>
        <w:t xml:space="preserve">3.4 Líneas de investigación</w:t>
      </w:r>
    </w:p>
    <w:p>
      <w:pPr>
        <w:spacing w:after="120" w:line="276"/>
        <w:jc w:val="both"/>
      </w:pPr>
      <w:r>
        <w:rPr>
          <w:rFonts w:ascii="Calibri" w:cs="Calibri" w:eastAsia="Calibri" w:hAnsi="Calibri"/>
        </w:rPr>
        <w:t xml:space="preserve">El Plan de Investigación de la UTEQ (aprobado por el Consejo Universitario, con líneas aprobadas el 23 de marzo de 2018) se apoya en nueve líneas y 28 sublíneas, y en 28 grupos de investigación activos. La línea "Informática y Tecnología de la Información y Comunicación" tiene cuatro sublíneas: e1 aplicaciones de ingeniería de software, e2 innovación en sistemas telemáticos y electrónicos, e3 soft computing e inteligencia artificial y e4 seguridad de la información. El grupo de Telemática Aplicada y Telecomunicaciones Avanzadas (GITEL) trabaja en la sublínea e2. Las cinco líneas propuestas para la carrera se ubican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Línea propuesta para la carrera</w:t>
            </w:r>
          </w:p>
        </w:tc>
        <w:tc>
          <w:tcPr>
            <w:tcW w:type="dxa" w:w="5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Línea y sublínea institucional de la UTEQ</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ciberfísicos y agricultura de precisión</w:t>
            </w:r>
          </w:p>
        </w:tc>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e2 Innovación en sistemas telemáticos y electrónicos; y a2 Tecnologías de agricultura alternativa aplicables al trópico húmedo del Litoral</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Redes de sensores y comunicaciones de bajo consumo</w:t>
            </w:r>
          </w:p>
        </w:tc>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e2 Innovación en sistemas telemáticos y electrónicos (grupo GITEL)</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Inteligencia artificial en el borde y analítica de datos de sensores</w:t>
            </w:r>
          </w:p>
        </w:tc>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e3 Soft computing e inteligencia artificial</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Ciberseguridad y privacidad en sistemas conectados</w:t>
            </w:r>
          </w:p>
        </w:tc>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e4 Seguridad de la información</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IoT para la sostenibilidad ambiental, el agua y las ciudades inteligentes</w:t>
            </w:r>
          </w:p>
        </w:tc>
        <w:tc>
          <w:tcPr>
            <w:tcW w:type="dxa" w:w="5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b2 Evaluación de la calidad del agua, aire y suelo; b3 Soluciones tecnológicas para residuos y energías alternativas; i1 Energías renovables</w:t>
            </w:r>
          </w:p>
        </w:tc>
      </w:tr>
    </w:tbl>
    <w:p>
      <w:pPr>
        <w:spacing w:after="120"/>
      </w:pPr>
    </w:p>
    <w:p>
      <w:pPr>
        <w:spacing w:after="120" w:line="276"/>
        <w:jc w:val="both"/>
      </w:pPr>
      <w:r>
        <w:rPr>
          <w:rFonts w:ascii="Calibri" w:cs="Calibri" w:eastAsia="Calibri" w:hAnsi="Calibri"/>
        </w:rPr>
        <w:t xml:space="preserve">La investigación formativa se desarrolla en las asignaturas de proyecto de cada período y en la metodología de la investigación (6.5); la titulación integra los resultados (Arts. 31 y 32 del RRA). La carrera necesitará un grupo de investigación propio o asociado a GITEL, y los trabajos de integración curricular deben relacionarse con las líneas de investigación de la carrera (Art. 47 del Reglamento de la Unidad de Integración Curricular, UIC 2024). El plan de investigación consultado es anterior a 2022; el Plan Estratégico 2021-2025 prevé redefinir las líneas de investigación, y la propuesta se ajustará a la versión vigente.</w:t>
      </w:r>
    </w:p>
    <w:p>
      <w:pPr>
        <w:pStyle w:val="Heading2"/>
      </w:pPr>
      <w:r>
        <w:rPr>
          <w:rFonts w:ascii="Calibri" w:cs="Calibri" w:eastAsia="Calibri" w:hAnsi="Calibri"/>
        </w:rPr>
        <w:t xml:space="preserve">3.5 Vinculación con la sociedad</w:t>
      </w:r>
    </w:p>
    <w:p>
      <w:pPr>
        <w:spacing w:after="120" w:line="276"/>
        <w:jc w:val="both"/>
      </w:pPr>
      <w:r>
        <w:rPr>
          <w:rFonts w:ascii="Calibri" w:cs="Calibri" w:eastAsia="Calibri" w:hAnsi="Calibri"/>
        </w:rPr>
        <w:t xml:space="preserve">Se plantean tres frentes, dentro de las líneas operativas del Art. 41 del RRA:</w:t>
      </w:r>
    </w:p>
    <w:p>
      <w:pPr>
        <w:pStyle w:val="ListParagraph"/>
        <w:numPr>
          <w:ilvl w:val="0"/>
          <w:numId w:val="2"/>
        </w:numPr>
        <w:spacing w:after="60" w:line="276"/>
      </w:pPr>
      <w:r>
        <w:rPr>
          <w:rFonts w:ascii="Calibri" w:cs="Calibri" w:eastAsia="Calibri" w:hAnsi="Calibri"/>
          <w:b/>
          <w:bCs/>
        </w:rPr>
        <w:t xml:space="preserve">Educación continua:</w:t>
      </w:r>
      <w:r>
        <w:rPr>
          <w:rFonts w:ascii="Calibri" w:cs="Calibri" w:eastAsia="Calibri" w:hAnsi="Calibri"/>
        </w:rPr>
        <w:t xml:space="preserve"> cursos cortos de sensórica y monitoreo para productores agropecuarios y agroindustriales de la zona.</w:t>
      </w:r>
    </w:p>
    <w:p>
      <w:pPr>
        <w:pStyle w:val="ListParagraph"/>
        <w:numPr>
          <w:ilvl w:val="0"/>
          <w:numId w:val="2"/>
        </w:numPr>
        <w:spacing w:after="60" w:line="276"/>
      </w:pPr>
      <w:r>
        <w:rPr>
          <w:rFonts w:ascii="Calibri" w:cs="Calibri" w:eastAsia="Calibri" w:hAnsi="Calibri"/>
          <w:b/>
          <w:bCs/>
        </w:rPr>
        <w:t xml:space="preserve">Proyectos y servicios especializados:</w:t>
      </w:r>
      <w:r>
        <w:rPr>
          <w:rFonts w:ascii="Calibri" w:cs="Calibri" w:eastAsia="Calibri" w:hAnsi="Calibri"/>
        </w:rPr>
        <w:t xml:space="preserve"> pilotos de monitoreo ambiental, de riego y de cadena de frío con gremios, cooperativas y gobiernos locales.</w:t>
      </w:r>
    </w:p>
    <w:p>
      <w:pPr>
        <w:pStyle w:val="ListParagraph"/>
        <w:numPr>
          <w:ilvl w:val="0"/>
          <w:numId w:val="2"/>
        </w:numPr>
        <w:spacing w:after="60" w:line="276"/>
      </w:pPr>
      <w:r>
        <w:rPr>
          <w:rFonts w:ascii="Calibri" w:cs="Calibri" w:eastAsia="Calibri" w:hAnsi="Calibri"/>
          <w:b/>
          <w:bCs/>
        </w:rPr>
        <w:t xml:space="preserve">Prácticas preprofesionales y servicio comunitario:</w:t>
      </w:r>
      <w:r>
        <w:rPr>
          <w:rFonts w:ascii="Calibri" w:cs="Calibri" w:eastAsia="Calibri" w:hAnsi="Calibri"/>
        </w:rPr>
        <w:t xml:space="preserve"> ver §3.6.</w:t>
      </w:r>
    </w:p>
    <w:p>
      <w:pPr>
        <w:spacing w:after="120" w:line="276"/>
        <w:jc w:val="both"/>
      </w:pPr>
      <w:r>
        <w:rPr>
          <w:rFonts w:ascii="Calibri" w:cs="Calibri" w:eastAsia="Calibri" w:hAnsi="Calibri"/>
        </w:rPr>
        <w:t xml:space="preserve">Aliados posibles: la Estación Experimental Tropical Pichilingue del INIAP, en el cantón Mocache, que investiga cultivos de la zona; los gremios bananero, cacaotero y palmicultor; el Ministerio de Agricultura y Ganadería; y los gobiernos autónomos descentralizados de Los Ríos. La UTEQ reporta 94 convenios nacionales vigentes (63 con instituciones públicas y privadas, 11 con GAD municipales, 10 con universidades, 9 con unidades educativas y 1 con un GAD provincial) y 41 internacionales (informe de rendición de cuentas 2024). Las cartas de intención específicas para esta carrera se gestionan en §7.3.</w:t>
      </w:r>
    </w:p>
    <w:p>
      <w:pPr>
        <w:pStyle w:val="Heading2"/>
      </w:pPr>
      <w:r>
        <w:rPr>
          <w:rFonts w:ascii="Calibri" w:cs="Calibri" w:eastAsia="Calibri" w:hAnsi="Calibri"/>
        </w:rPr>
        <w:t xml:space="preserve">3.6 Prácticas preprofesionales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26"/>
        <w:gridCol w:w="900"/>
        <w:gridCol w:w="1000"/>
        <w:gridCol w:w="2200"/>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Componente</w:t>
            </w:r>
          </w:p>
        </w:tc>
        <w:tc>
          <w:tcPr>
            <w:tcW w:type="dxa" w:w="3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Período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Mínimo Art. 43</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Servicio comunitario</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4.5 Prácticas de servicio comunitario</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60 h</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laborales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7.5 Prácticas preprofesionales laborales I</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240 h en total</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laborales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8.2 Prácticas preprofesionales laborales II</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 la anterior</w:t>
            </w:r>
          </w:p>
        </w:tc>
      </w:tr>
      <w:tr>
        <w:trPr>
          <w:cantSplit/>
        </w:trPr>
        <w:tc>
          <w:tcPr>
            <w:tcW w:type="dxa" w:w="1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32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9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384</w:t>
            </w:r>
          </w:p>
        </w:tc>
        <w:tc>
          <w:tcPr>
            <w:tcW w:type="dxa" w:w="22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Tope: 10 % = 652 h</w:t>
            </w:r>
          </w:p>
        </w:tc>
      </w:tr>
    </w:tbl>
    <w:p>
      <w:pPr>
        <w:spacing w:after="120"/>
      </w:pPr>
    </w:p>
    <w:p>
      <w:pPr>
        <w:spacing w:after="120" w:line="276"/>
        <w:jc w:val="both"/>
      </w:pPr>
      <w:r>
        <w:rPr>
          <w:rFonts w:ascii="Calibri" w:cs="Calibri" w:eastAsia="Calibri" w:hAnsi="Calibri"/>
        </w:rPr>
        <w:t xml:space="preserve">Las prácticas se realizan en entornos empresariales, institucionales o comunitarios, con un responsable académico y un informe de la entidad receptora (Art. 44 del RRA). La UTEQ puede reconocer ayudantías de cátedra o de investigación como práctica (Art. 45). Se ubican en los períodos 7 y 8 para que el estudiante llegue con las competencias de conectividad, datos y seguridad ya cursadas.</w:t>
      </w:r>
    </w:p>
    <w:p>
      <w:pPr>
        <w:pStyle w:val="Heading2"/>
      </w:pPr>
      <w:r>
        <w:rPr>
          <w:rFonts w:ascii="Calibri" w:cs="Calibri" w:eastAsia="Calibri" w:hAnsi="Calibri"/>
        </w:rPr>
        <w:t xml:space="preserve">3.7 Itinerarios académicos</w:t>
      </w:r>
    </w:p>
    <w:p>
      <w:pPr>
        <w:spacing w:after="120" w:line="276"/>
        <w:jc w:val="both"/>
      </w:pPr>
      <w:r>
        <w:rPr>
          <w:rFonts w:ascii="Calibri" w:cs="Calibri" w:eastAsia="Calibri" w:hAnsi="Calibri"/>
          <w:b/>
          <w:bCs/>
        </w:rPr>
        <w:t xml:space="preserve">Itinerario A: IoT para agroindustria y ambiente.</w:t>
      </w:r>
      <w:r>
        <w:rPr>
          <w:rFonts w:ascii="Calibri" w:cs="Calibri" w:eastAsia="Calibri" w:hAnsi="Calibri"/>
        </w:rPr>
        <w:t xml:space="preserve"> Tres optativas, una por cada uno de los períodos 7 y 8:</w:t>
      </w:r>
    </w:p>
    <w:p>
      <w:pPr>
        <w:pStyle w:val="ListParagraph"/>
        <w:numPr>
          <w:ilvl w:val="0"/>
          <w:numId w:val="2"/>
        </w:numPr>
        <w:spacing w:after="60" w:line="276"/>
      </w:pPr>
      <w:r>
        <w:rPr>
          <w:rFonts w:ascii="Calibri" w:cs="Calibri" w:eastAsia="Calibri" w:hAnsi="Calibri"/>
        </w:rPr>
        <w:t xml:space="preserve">Optativa I: Agricultura de precisión y teledetección</w:t>
      </w:r>
    </w:p>
    <w:p>
      <w:pPr>
        <w:pStyle w:val="ListParagraph"/>
        <w:numPr>
          <w:ilvl w:val="0"/>
          <w:numId w:val="2"/>
        </w:numPr>
        <w:spacing w:after="60" w:line="276"/>
      </w:pPr>
      <w:r>
        <w:rPr>
          <w:rFonts w:ascii="Calibri" w:cs="Calibri" w:eastAsia="Calibri" w:hAnsi="Calibri"/>
        </w:rPr>
        <w:t xml:space="preserve">Optativa II: Monitoreo ambiental y gestión del agua</w:t>
      </w:r>
    </w:p>
    <w:p>
      <w:pPr>
        <w:pStyle w:val="ListParagraph"/>
        <w:numPr>
          <w:ilvl w:val="0"/>
          <w:numId w:val="2"/>
        </w:numPr>
        <w:spacing w:after="60" w:line="276"/>
      </w:pPr>
      <w:r>
        <w:rPr>
          <w:rFonts w:ascii="Calibri" w:cs="Calibri" w:eastAsia="Calibri" w:hAnsi="Calibri"/>
        </w:rPr>
        <w:t xml:space="preserve">Optativa III: Trazabilidad y cadena de frío agroindustrial</w:t>
      </w:r>
    </w:p>
    <w:p>
      <w:pPr>
        <w:spacing w:after="120" w:line="276"/>
        <w:jc w:val="both"/>
      </w:pPr>
      <w:r>
        <w:rPr>
          <w:rFonts w:ascii="Calibri" w:cs="Calibri" w:eastAsia="Calibri" w:hAnsi="Calibri"/>
          <w:b/>
          <w:bCs/>
        </w:rPr>
        <w:t xml:space="preserve">Itinerario B: IoT industrial y ciudades inteligentes.</w:t>
      </w:r>
      <w:r>
        <w:rPr>
          <w:rFonts w:ascii="Calibri" w:cs="Calibri" w:eastAsia="Calibri" w:hAnsi="Calibri"/>
        </w:rPr>
        <w:t xml:space="preserve"> Tres optativas, una por cada uno de los períodos 7 y 8:</w:t>
      </w:r>
    </w:p>
    <w:p>
      <w:pPr>
        <w:pStyle w:val="ListParagraph"/>
        <w:numPr>
          <w:ilvl w:val="0"/>
          <w:numId w:val="2"/>
        </w:numPr>
        <w:spacing w:after="60" w:line="276"/>
      </w:pPr>
      <w:r>
        <w:rPr>
          <w:rFonts w:ascii="Calibri" w:cs="Calibri" w:eastAsia="Calibri" w:hAnsi="Calibri"/>
        </w:rPr>
        <w:t xml:space="preserve">Optativa I: IoT industrial y mantenimiento predictivo</w:t>
      </w:r>
    </w:p>
    <w:p>
      <w:pPr>
        <w:pStyle w:val="ListParagraph"/>
        <w:numPr>
          <w:ilvl w:val="0"/>
          <w:numId w:val="2"/>
        </w:numPr>
        <w:spacing w:after="60" w:line="276"/>
      </w:pPr>
      <w:r>
        <w:rPr>
          <w:rFonts w:ascii="Calibri" w:cs="Calibri" w:eastAsia="Calibri" w:hAnsi="Calibri"/>
        </w:rPr>
        <w:t xml:space="preserve">Optativa II: Energía, edificios y ciudades inteligentes</w:t>
      </w:r>
    </w:p>
    <w:p>
      <w:pPr>
        <w:pStyle w:val="ListParagraph"/>
        <w:numPr>
          <w:ilvl w:val="0"/>
          <w:numId w:val="2"/>
        </w:numPr>
        <w:spacing w:after="60" w:line="276"/>
      </w:pPr>
      <w:r>
        <w:rPr>
          <w:rFonts w:ascii="Calibri" w:cs="Calibri" w:eastAsia="Calibri" w:hAnsi="Calibri"/>
        </w:rPr>
        <w:t xml:space="preserve">Optativa III: Redes privadas 5G y sistemas de misión crítica</w:t>
      </w:r>
    </w:p>
    <w:p>
      <w:pPr>
        <w:spacing w:after="120" w:line="276"/>
        <w:jc w:val="both"/>
      </w:pPr>
      <w:r>
        <w:rPr>
          <w:rFonts w:ascii="Calibri" w:cs="Calibri" w:eastAsia="Calibri" w:hAnsi="Calibri"/>
        </w:rPr>
        <w:t xml:space="preserve">El itinerario cursado puede constar en el título (Art. 8 del RANT y Art. 16 del RRA).</w:t>
      </w:r>
    </w:p>
    <w:p>
      <w:pPr>
        <w:pStyle w:val="Heading2"/>
      </w:pPr>
      <w:r>
        <w:rPr>
          <w:rFonts w:ascii="Calibri" w:cs="Calibri" w:eastAsia="Calibri" w:hAnsi="Calibri"/>
        </w:rPr>
        <w:t xml:space="preserve">3.8 Metodología, evaluación y titulación</w:t>
      </w:r>
    </w:p>
    <w:p>
      <w:pPr>
        <w:pStyle w:val="Heading3"/>
      </w:pPr>
      <w:r>
        <w:rPr>
          <w:rFonts w:ascii="Calibri" w:cs="Calibri" w:eastAsia="Calibri" w:hAnsi="Calibri"/>
        </w:rPr>
        <w:t xml:space="preserve">Modelo educativo de la UTEQ</w:t>
      </w:r>
    </w:p>
    <w:p>
      <w:pPr>
        <w:spacing w:after="120" w:line="276"/>
        <w:jc w:val="both"/>
      </w:pPr>
      <w:r>
        <w:rPr>
          <w:rFonts w:ascii="Calibri" w:cs="Calibri" w:eastAsia="Calibri" w:hAnsi="Calibri"/>
        </w:rPr>
        <w:t xml:space="preserve">El Modelo Educativo y Pedagógico de la UTEQ (aprobado por el Consejo Universitario, 61.ª sesión, 28 de diciembre de 2023) es el documento vigente, posterior al Reglamento de Semestralización y Créditos de 2013 y a la actualización de 2024 del PEDI 2021-2025. Lo funda un enfoque pedagógico centrado en el aprendizaje y en el estudiante, con tres componentes: aprendizaje significativo, aprendizaje autónomo y aprendizaje cooperativo, sobre una base filosófica, axiológica, epistemológica, sociológica y de sostenibilidad (perspectiva ecológica). El modelo no describe la formación como "por competencias" a secas, aunque sí define un perfil de egreso institucional por competencias (aprendizaje a lo largo de la vida, comunicación efectiva, trabajo colaborativo y multidisciplinario, emprendimiento e innovación, ciudadanía activa y compromiso con la sostenibilidad).</w:t>
      </w:r>
    </w:p>
    <w:p>
      <w:pPr>
        <w:spacing w:after="120" w:line="276"/>
        <w:jc w:val="both"/>
      </w:pPr>
      <w:r>
        <w:rPr>
          <w:rFonts w:ascii="Calibri" w:cs="Calibri" w:eastAsia="Calibri" w:hAnsi="Calibri"/>
          <w:b/>
          <w:bCs/>
        </w:rPr>
        <w:t xml:space="preserve">Metodología de la carrera.</w:t>
      </w:r>
      <w:r>
        <w:rPr>
          <w:rFonts w:ascii="Calibri" w:cs="Calibri" w:eastAsia="Calibri" w:hAnsi="Calibri"/>
        </w:rPr>
        <w:t xml:space="preserve"> El modelo concibe el ambiente de aprendizaje sobre una base constructivista, combinada con la enseñanza tradicional, en espacios presenciales, virtuales y digitales, y pide del docente una "docencia metacognitiva" que oriente al estudiante sobre cómo aprende y cómo mejorar su desempeño. No describe un dispositivo curricular como el "Proyecto Integrador" del reglamento de 2013 —tampoco lo hace el Reglamento de Régimen Académico Interno de 2021 (RRAI)—, así que esta carrera no lo adopta: la integración de los aprendizajes de cada período queda en manos del proyecto curricular de la carrera, que la mantiene como un entregable de cierre de período sin llamarlo "Proyecto Integrador" ni asignarle el peso de calificación aparte que tenía en 2013. Las asignaturas de laboratorio dedican cerca de un tercio de sus horas al componente práctico-experimental, coherente con el Art. 62 del RRAI.</w:t>
      </w:r>
    </w:p>
    <w:p>
      <w:pPr>
        <w:pStyle w:val="Heading3"/>
      </w:pPr>
      <w:r>
        <w:rPr>
          <w:rFonts w:ascii="Calibri" w:cs="Calibri" w:eastAsia="Calibri" w:hAnsi="Calibri"/>
        </w:rPr>
        <w:t xml:space="preserve">Sistema de evaluación de los aprendizajes</w:t>
      </w:r>
    </w:p>
    <w:p>
      <w:pPr>
        <w:spacing w:after="120" w:line="276"/>
        <w:jc w:val="both"/>
      </w:pPr>
      <w:r>
        <w:rPr>
          <w:rFonts w:ascii="Calibri" w:cs="Calibri" w:eastAsia="Calibri" w:hAnsi="Calibri"/>
        </w:rPr>
        <w:t xml:space="preserve">El sistema de evaluación vigente es el del Título VII del RRAI (Arts. 61 a 66), no el del Reglamento de Semestralización y Créditos de 2013. Sus reglas principales son:</w:t>
      </w:r>
    </w:p>
    <w:p>
      <w:pPr>
        <w:pStyle w:val="ListParagraph"/>
        <w:numPr>
          <w:ilvl w:val="0"/>
          <w:numId w:val="2"/>
        </w:numPr>
        <w:spacing w:after="60" w:line="276"/>
      </w:pPr>
      <w:r>
        <w:rPr>
          <w:rFonts w:ascii="Calibri" w:cs="Calibri" w:eastAsia="Calibri" w:hAnsi="Calibri"/>
        </w:rPr>
        <w:t xml:space="preserve">La evaluación combina un componente formativo, aplicado al menos dos veces por período, y uno sumativo, aplicado al menos una vez (Art. 61).</w:t>
      </w:r>
    </w:p>
    <w:p>
      <w:pPr>
        <w:pStyle w:val="ListParagraph"/>
        <w:numPr>
          <w:ilvl w:val="0"/>
          <w:numId w:val="2"/>
        </w:numPr>
        <w:spacing w:after="60" w:line="276"/>
      </w:pPr>
      <w:r>
        <w:rPr>
          <w:rFonts w:ascii="Calibri" w:cs="Calibri" w:eastAsia="Calibri" w:hAnsi="Calibri"/>
        </w:rPr>
        <w:t xml:space="preserve">Se evalúan por separado el aprendizaje en contacto con el docente, el autónomo y el práctico-experimental (Art. 62), coherente con la distribución de horas de cada asignatura de la malla (§6).</w:t>
      </w:r>
    </w:p>
    <w:p>
      <w:pPr>
        <w:pStyle w:val="ListParagraph"/>
        <w:numPr>
          <w:ilvl w:val="0"/>
          <w:numId w:val="2"/>
        </w:numPr>
        <w:spacing w:after="60" w:line="276"/>
      </w:pPr>
      <w:r>
        <w:rPr>
          <w:rFonts w:ascii="Calibri" w:cs="Calibri" w:eastAsia="Calibri" w:hAnsi="Calibri"/>
        </w:rPr>
        <w:t xml:space="preserve">Ningún componente de evaluación puede pesar más del 35 % de la nota final, y la evaluación de recuperación (supletorio) no puede superar el 50 % (Art. 63.i). El modelo evaluativo que aplica la UTEQ en la práctica distribuye la nota en primer corte (35 %, 3,5 puntos), segundo corte (35 %, 3,5 puntos) y examen final (30 %, 3,0 puntos), dentro de ese límite.</w:t>
      </w:r>
    </w:p>
    <w:p>
      <w:pPr>
        <w:pStyle w:val="ListParagraph"/>
        <w:numPr>
          <w:ilvl w:val="0"/>
          <w:numId w:val="2"/>
        </w:numPr>
        <w:spacing w:after="60" w:line="276"/>
      </w:pPr>
      <w:r>
        <w:rPr>
          <w:rFonts w:ascii="Calibri" w:cs="Calibri" w:eastAsia="Calibri" w:hAnsi="Calibri"/>
        </w:rPr>
        <w:t xml:space="preserve">Cada asignatura se califica sobre 10 puntos, con un decimal, y se aprueba con al menos 7 (escala institucional equivalente a Excelente, Muy bueno, Bueno, Aprobado y Reprobado, Art. 63.c).</w:t>
      </w:r>
    </w:p>
    <w:p>
      <w:pPr>
        <w:pStyle w:val="ListParagraph"/>
        <w:numPr>
          <w:ilvl w:val="0"/>
          <w:numId w:val="2"/>
        </w:numPr>
        <w:spacing w:after="60" w:line="276"/>
      </w:pPr>
      <w:r>
        <w:rPr>
          <w:rFonts w:ascii="Calibri" w:cs="Calibri" w:eastAsia="Calibri" w:hAnsi="Calibri"/>
        </w:rPr>
        <w:t xml:space="preserve">Quien no alcanza la nota mínima tiene derecho a una evaluación de recuperación, por una sola vez en el período (Art. 63.g).</w:t>
      </w:r>
    </w:p>
    <w:p>
      <w:pPr>
        <w:pStyle w:val="ListParagraph"/>
        <w:numPr>
          <w:ilvl w:val="0"/>
          <w:numId w:val="2"/>
        </w:numPr>
        <w:spacing w:after="60" w:line="276"/>
      </w:pPr>
      <w:r>
        <w:rPr>
          <w:rFonts w:ascii="Calibri" w:cs="Calibri" w:eastAsia="Calibri" w:hAnsi="Calibri"/>
        </w:rPr>
        <w:t xml:space="preserve">Las prácticas preprofesionales y el servicio comunitario se evalúan con su reglamento e instructivo propios, y el Instructivo Académico para el Desarrollo de Actividades, Prácticas y Evaluaciones Formativas (Resolución 8.ª del OCS, 16 de febrero de 2024) fija cómo se planifican y evalúan las prácticas de cada asignatura.</w:t>
      </w:r>
    </w:p>
    <w:p>
      <w:pPr>
        <w:pStyle w:val="ListParagraph"/>
        <w:numPr>
          <w:ilvl w:val="0"/>
          <w:numId w:val="2"/>
        </w:numPr>
        <w:spacing w:after="60" w:line="276"/>
      </w:pPr>
      <w:r>
        <w:rPr>
          <w:rFonts w:ascii="Calibri" w:cs="Calibri" w:eastAsia="Calibri" w:hAnsi="Calibri"/>
        </w:rPr>
        <w:t xml:space="preserve">El Modelo Educativo y Pedagógico (2023) añade, sobre esa base reglamentaria, que la evaluación debe ser diagnóstica, formativa y sumativa, con auto, hetero y coevaluación, mediante rúbricas, matrices y listas de verificación construidas con la participación de pares académicos y estudiantes.</w:t>
      </w:r>
    </w:p>
    <w:p>
      <w:pPr>
        <w:pBdr>
          <w:left w:val="single" w:color="BF9000" w:sz="12" w:space="8"/>
        </w:pBdr>
        <w:spacing w:after="120"/>
        <w:ind w:left="200"/>
      </w:pPr>
      <w:r>
        <w:rPr>
          <w:rFonts w:ascii="Calibri" w:cs="Calibri" w:eastAsia="Calibri" w:hAnsi="Calibri"/>
          <w:i/>
          <w:iCs/>
          <w:sz w:val="20"/>
          <w:szCs w:val="20"/>
        </w:rPr>
        <w:t xml:space="preserve">El RRAI fija el límite máximo del 35 % por componente (Art. 63.i) y remite el detalle operativo —los tres momentos de corte y su peso exacto— al "modelo evaluativo" que la UTEQ debe determinar y divulgar (Art. 63.a); no se encontró ese modelo evaluativo publicado como documento aparte, así que la distribución 35 %/35 %/30 % se toma de la práctica institucional vigente, consistente con el tope del reglamento. La asistencia mínima del 80 % para rendir el examen final, del reglamento de 2013, no se encontró repetida en el RRAI de 2021. </w:t>
      </w:r>
      <w:r>
        <w:rPr>
          <w:rFonts w:ascii="Calibri" w:cs="Calibri" w:eastAsia="Calibri" w:hAnsi="Calibri"/>
          <w:i/>
          <w:iCs/>
          <w:sz w:val="20"/>
          <w:szCs w:val="20"/>
          <w:highlight w:val="yellow"/>
          <w:highlightCs w:val="yellow"/>
        </w:rPr>
        <w:t xml:space="preserve">[Confirmar con la Dirección Académica si el requisito de asistencia mínima del 80 % sigue vigente y el modelo evaluativo publicado con el peso exacto de cada corte]</w:t>
      </w:r>
    </w:p>
    <w:p>
      <w:pPr>
        <w:pStyle w:val="Heading3"/>
      </w:pPr>
      <w:r>
        <w:rPr>
          <w:rFonts w:ascii="Calibri" w:cs="Calibri" w:eastAsia="Calibri" w:hAnsi="Calibri"/>
        </w:rPr>
        <w:t xml:space="preserve">Titulación</w:t>
      </w:r>
    </w:p>
    <w:p>
      <w:pPr>
        <w:spacing w:after="120" w:line="276"/>
        <w:jc w:val="both"/>
      </w:pPr>
      <w:r>
        <w:rPr>
          <w:rFonts w:ascii="Calibri" w:cs="Calibri" w:eastAsia="Calibri" w:hAnsi="Calibri"/>
        </w:rPr>
        <w:t xml:space="preserve">La titulación se rige por el Reglamento de la Unidad de Integración Curricular de 2024 (UIC 2024), que reformó y reemplazó por completo al de 2021 (renumeró casi todo el articulado; las referencias de esta sección usan la numeración de 2024). La unidad se cursa en dos asignaturas de los dos últimos niveles, Desarrollo de Titulación I y II (7.6 y 8.3 de la malla), y sus créditos forman parte de los de la carrera (Art. 26 del RRA). El reglamento reconoce el examen complexivo y el trabajo de integración curricular, este último en cuatro tipos: proyecto de investigación, artículo científico, casos de estudio y proyecto tecnológico (Art. 41). Cada carrera define cuáles ofrece. Para Ingeniería en Internet de las Cosas se proponen 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Opción</w:t>
            </w:r>
          </w:p>
        </w:tc>
        <w:tc>
          <w:tcPr>
            <w:tcW w:type="dxa" w:w="3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Qué es según el reglamento (Arts. 44 a 46)</w:t>
            </w:r>
          </w:p>
        </w:tc>
        <w:tc>
          <w:tcPr>
            <w:tcW w:type="dxa" w:w="3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Encaje en IoT</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Proyecto tecnológico</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Diseño de una innovación tecnológica acorde a un proceso productivo, educativo, industrial, empresarial, informático, agrícola, investigativo, social o ecológico, relacionado con las áreas de formación de la carrera</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Opción principal: prototipo o piloto de un sistema conectado para un usuario real, con sensores, comunicación y tablero</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Proyecto de investigación</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Propuesta innovadora con investigación descriptiva, exploratoria, bibliográfica y diagnóstica, base conceptual, metodología, resultados y discusión, con argumentación coherente con el campo del conocimiento</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Estudios experimentales: rendimiento de protocolos de bajo consumo, calibración de sensores, modelos de aprendizaje en el borde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Artículo científico</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Informe de investigación redactado con la normativa de revistas científicas, dirigido a una comunidad académica</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Para estudiantes vinculados a un grupo de investigación (por ejemplo GITEL) con resultados publicables</w:t>
            </w:r>
          </w:p>
        </w:tc>
      </w:tr>
    </w:tbl>
    <w:p>
      <w:pPr>
        <w:spacing w:after="120"/>
      </w:pPr>
    </w:p>
    <w:p>
      <w:pPr>
        <w:spacing w:after="120" w:line="276"/>
        <w:jc w:val="both"/>
      </w:pPr>
      <w:r>
        <w:rPr>
          <w:rFonts w:ascii="Calibri" w:cs="Calibri" w:eastAsia="Calibri" w:hAnsi="Calibri"/>
        </w:rPr>
        <w:t xml:space="preserve">No se ofrecerán los casos de estudio ni el examen complexivo, aunque el reglamento los prevé; la carrera puede habilitarlos después con una resolución del Consejo Académico. Reglas comunes (numeración del UIC 2024):</w:t>
      </w:r>
    </w:p>
    <w:p>
      <w:pPr>
        <w:pStyle w:val="ListParagraph"/>
        <w:numPr>
          <w:ilvl w:val="0"/>
          <w:numId w:val="2"/>
        </w:numPr>
        <w:spacing w:after="60" w:line="276"/>
      </w:pPr>
      <w:r>
        <w:rPr>
          <w:rFonts w:ascii="Calibri" w:cs="Calibri" w:eastAsia="Calibri" w:hAnsi="Calibri"/>
        </w:rPr>
        <w:t xml:space="preserve">Requisitos previos: aprobar el examen complexivo o sustentar el trabajo (Art. 10) y no tener deudas con ninguna instancia administrativa o unidad académica de la UTEQ (Art. 11). El requisito de segunda lengua lo fija el Art. 64 del RRA: nivel B1 para grado.</w:t>
      </w:r>
    </w:p>
    <w:p>
      <w:pPr>
        <w:pStyle w:val="ListParagraph"/>
        <w:numPr>
          <w:ilvl w:val="0"/>
          <w:numId w:val="2"/>
        </w:numPr>
        <w:spacing w:after="60" w:line="276"/>
      </w:pPr>
      <w:r>
        <w:rPr>
          <w:rFonts w:ascii="Calibri" w:cs="Calibri" w:eastAsia="Calibri" w:hAnsi="Calibri"/>
        </w:rPr>
        <w:t xml:space="preserve">Propuesta o anteproyecto con portada, tema, planteamiento del problema, objetivos, justificación, síntesis de la metodología y al menos 10 referencias bibliográficas, el 60 % de los últimos 5 años (Art. 49.c); se presenta entre las semanas 1 y 4 del penúltimo nivel.</w:t>
      </w:r>
    </w:p>
    <w:p>
      <w:pPr>
        <w:pStyle w:val="ListParagraph"/>
        <w:numPr>
          <w:ilvl w:val="0"/>
          <w:numId w:val="2"/>
        </w:numPr>
        <w:spacing w:after="60" w:line="276"/>
      </w:pPr>
      <w:r>
        <w:rPr>
          <w:rFonts w:ascii="Calibri" w:cs="Calibri" w:eastAsia="Calibri" w:hAnsi="Calibri"/>
        </w:rPr>
        <w:t xml:space="preserve">La Comisión de Investigación Formativa de la carrera traslada la propuesta al Consejo Directivo de la Facultad en 5 días hábiles; este la analiza y aprueba en 10 días hábiles y designa director y tribunal (Art. 49.a-b). El director debe pertenecer a la planta docente de la UTEQ y tener título de magíster o PhD afín al tema (Art. 52); realiza al menos cinco asesorías por corte evaluativo (Art. 57).</w:t>
      </w:r>
    </w:p>
    <w:p>
      <w:pPr>
        <w:pStyle w:val="ListParagraph"/>
        <w:numPr>
          <w:ilvl w:val="0"/>
          <w:numId w:val="2"/>
        </w:numPr>
        <w:spacing w:after="60" w:line="276"/>
      </w:pPr>
      <w:r>
        <w:rPr>
          <w:rFonts w:ascii="Calibri" w:cs="Calibri" w:eastAsia="Calibri" w:hAnsi="Calibri"/>
        </w:rPr>
        <w:t xml:space="preserve">Los trabajos se evalúan de forma individual, aunque pueden hacerlos hasta tres estudiantes (Art. 39, sin renumerar en 2024). Informe antiplagio con la herramienta institucional COMPILATIO (reemplazó a URKUND), con tolerancia máxima del 10 % (Art. 59.c). Sustentación de 30 minutos y 15 de preguntas, con calificación mínima de 7/10 por promedio del tribunal, inapelable (Arts. 63 a 65).</w:t>
      </w:r>
    </w:p>
    <w:p>
      <w:pPr>
        <w:pStyle w:val="ListParagraph"/>
        <w:numPr>
          <w:ilvl w:val="0"/>
          <w:numId w:val="2"/>
        </w:numPr>
        <w:spacing w:after="60" w:line="276"/>
      </w:pPr>
      <w:r>
        <w:rPr>
          <w:rFonts w:ascii="Calibri" w:cs="Calibri" w:eastAsia="Calibri" w:hAnsi="Calibri"/>
        </w:rPr>
        <w:t xml:space="preserve">Nota de grado: el UIC 2024 simplificó la fórmula de 2021 (que sumaba 70 % de récord académico, 10 % de las asignaturas de la unidad y 20 % de la sustentación) a solo dos componentes: 80 % del promedio del récord académico de toda la malla aprobada y 20 % de la calificación del examen complexivo o de la sustentación (Art. 69).</w:t>
      </w:r>
    </w:p>
    <w:p>
      <w:pPr>
        <w:pStyle w:val="Heading2"/>
      </w:pPr>
      <w:r>
        <w:rPr>
          <w:rFonts w:ascii="Calibri" w:cs="Calibri" w:eastAsia="Calibri" w:hAnsi="Calibri"/>
        </w:rPr>
        <w:t xml:space="preserve">3.9 Cumplimiento de los criterios y estándares del CACES</w:t>
      </w:r>
    </w:p>
    <w:p>
      <w:pPr>
        <w:spacing w:after="120" w:line="276"/>
        <w:jc w:val="both"/>
      </w:pPr>
      <w:r>
        <w:rPr>
          <w:rFonts w:ascii="Calibri" w:cs="Calibri" w:eastAsia="Calibri" w:hAnsi="Calibri"/>
        </w:rPr>
        <w:t xml:space="preserve">El CACES acredita las carreras con dos componentes: la evaluación del entorno de aprendizaje y la de los resultados de aprendizaje, esta última mediante un examen a los estudiantes del último período. Para el entorno de aprendizaje de las carreras de grado, el CACES publicó en 2023 el Modelo genérico, con 5 criterios, 8 subcriterios y 31 indicadores, y en 2025 empezó a publicar modelos por campo amplio, el primero con 34 indicadores (Administración de Empresas y Derecho, marzo de 2025). Para el campo de Tecnologías de la información y la comunicación en grado solo se encontró publicado un modelo de posgrado; se toma entonces el modelo genérico. Los umbrales de los indicadores cuantitativos los fijan los modelos por campo, así que los de esta carrera todavía no existen.</w:t>
      </w:r>
    </w:p>
    <w:p>
      <w:pPr>
        <w:spacing w:after="120" w:line="276"/>
        <w:jc w:val="both"/>
      </w:pPr>
      <w:r>
        <w:rPr>
          <w:rFonts w:ascii="Calibri" w:cs="Calibri" w:eastAsia="Calibri" w:hAnsi="Calibri"/>
          <w:b/>
          <w:bCs/>
        </w:rPr>
        <w:t xml:space="preserve">Regla de aprobación</w:t>
      </w:r>
      <w:r>
        <w:rPr>
          <w:rFonts w:ascii="Calibri" w:cs="Calibri" w:eastAsia="Calibri" w:hAnsi="Calibri"/>
        </w:rPr>
        <w:t xml:space="preserve"> (Art. 28 del Reglamento de Evaluación Externa con fines de acreditación de carreras, Resolución 172-SO-37-CACES-2023): la carrera debe cumplir todos los criterios; un criterio se cumple cuando al menos el 80 % de sus indicadores queda en "satisfactorio" o "cuasi satisfactorio". Los indicadores cualitativos se valoran según cuánto cumple la carrera los elementos fundamentales del estándar. La UTEQ está acreditada por el CACES (Resolución 169-SE-33-CACES-2020, cinco años), por lo que el informe académico sigue el Anexo 1 de la Guía del CES. La tabla resume cada indicador y dónde se atiende en este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00"/>
        <w:gridCol w:w="2726"/>
      </w:tblGrid>
      <w:tr>
        <w:trPr>
          <w:tblHeader/>
        </w:trPr>
        <w:tc>
          <w:tcPr>
            <w:tcW w:type="dxa" w:w="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N.º</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Indicador (tipo)</w:t>
            </w:r>
          </w:p>
        </w:tc>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Qué exige el estándar, en síntesis</w:t>
            </w:r>
          </w:p>
        </w:tc>
        <w:tc>
          <w:tcPr>
            <w:tcW w:type="dxa" w:w="2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Cómo lo atiende el proyecto</w:t>
            </w:r>
          </w:p>
        </w:tc>
      </w:tr>
      <w:tr>
        <w:trPr>
          <w:cantSplit/>
        </w:trPr>
        <w:tc>
          <w:tcPr>
            <w:tcW w:type="dxa" w:w="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Criterio 1. Currículo</w:t>
            </w:r>
          </w:p>
        </w:tc>
        <w:tc>
          <w:tcPr>
            <w:tcW w:type="dxa" w:w="3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7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Perfil de egreso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Resultados de aprendizaje claros, coherentes con el modelo educativo y elaborados con expertos externos, empleadores y graduados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§3.3. Falta la participación documentada de empleadores y graduados (§4.12)</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Proyecto curricular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Diseño coherente con el modelo educativo y la misión, con metodologías, ambientes y recursos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Este documento y §3.8</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Malla curricular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Asignaturas coherentes con los resultados de aprendizaje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 con la matriz de resultados en §3.3</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Syllabus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Sílabos con resultados, contenidos, metodologías, bibliografía actualizada y evaluación</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Por elaborar por la coordinación de carrera</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Metodología y recursos de aprendizaje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Solo se evalúa en modalidades en línea o a distancia</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No aplica: la carrera es presencial</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Escenarios de prácticas formativas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Ambientes prácticos coherentes con el currículo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§7.1 (laboratorios) y §7.3 (convenios)</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Tecnologías para el aprendizaje y conocimiento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Uso de tecnologías propias de la profesión</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Asignaturas 5.2, 6.1 y 7.1: plataformas, borde y tableros</w:t>
            </w:r>
          </w:p>
        </w:tc>
      </w:tr>
      <w:tr>
        <w:trPr>
          <w:cantSplit/>
        </w:trPr>
        <w:tc>
          <w:tcPr>
            <w:tcW w:type="dxa" w:w="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Criterio 2. Docencia, personal académico</w:t>
            </w:r>
          </w:p>
        </w:tc>
        <w:tc>
          <w:tcPr>
            <w:tcW w:type="dxa" w:w="3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7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Afinidad del personal académico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Porcentaje de asignaturas dictadas por profesores con posgrado y experiencia afín al campo detallado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§7.2</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9</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Personal académico titular permanente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Tasa de titulares que permita investigar y vincular</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 UTEQ tiene 45 % de titulares (§7.2)</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10</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Evaluación integral del desempeño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 de evaluación docente con uso de resultados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 institucional de la UTEQ</w:t>
            </w:r>
          </w:p>
        </w:tc>
      </w:tr>
      <w:tr>
        <w:trPr>
          <w:cantSplit/>
        </w:trPr>
        <w:tc>
          <w:tcPr>
            <w:tcW w:type="dxa" w:w="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Criterio 2. Docencia, estudiantes</w:t>
            </w:r>
          </w:p>
        </w:tc>
        <w:tc>
          <w:tcPr>
            <w:tcW w:type="dxa" w:w="3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7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11</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 de tutorías académicas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Acompañamiento desde el ingreso hasta la titulación</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Nivelación por carrera (§3.2) y coordinador de tutorías y titulación (§3.8)</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Habilidades blandas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Actividades de formación integral</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Asignaturas 1.5, 3.5, 6.4 y 6.5</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Seguimiento al cumplimiento de los resultados de aprendizaje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 de seguimiento y evaluación</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Matriz de resultados (§3.3) y evaluación (§3.8)</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Tasa de deserción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Estrategias de retención efectivas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Nivelación diferenciada por tipo de bachillerato (§3.2)</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15</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Tasa de titulación de grado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Estudiantes que se titulan en los tiempos del plan de estudios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Línea base de la UTEQ: 60,96 % en la cohorte 2018-2019 (§4.10)</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Seguimiento a graduados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 que recoja campos ocupacionales, satisfacción y empleabilidad</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 UTEQ encuestó a 2.004 de 3.266 graduados en 2024</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Éxito de los graduados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Graduados con empleo adecuado, emprendimiento o estudios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Línea base: 67,32 % de los graduados de la UTEQ trabaja en su área</w:t>
            </w:r>
          </w:p>
        </w:tc>
      </w:tr>
      <w:tr>
        <w:trPr>
          <w:cantSplit/>
        </w:trPr>
        <w:tc>
          <w:tcPr>
            <w:tcW w:type="dxa" w:w="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Criterio 3. Investigación e innovación</w:t>
            </w:r>
          </w:p>
        </w:tc>
        <w:tc>
          <w:tcPr>
            <w:tcW w:type="dxa" w:w="3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7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Gestión de la investigación e innovación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Programas y proyectos coherentes con el currículo y las líneas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§3.4</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19</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Producción académica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Producción per cápita adecuada</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Grupo GITEL y grupos de la Facultad; falta la meta de la carrera</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20</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Interdisciplinariedad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Proyectos que articulan las funciones sustantivas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Proyectos integradores de cada período y vinculación con Agronomía y Agroindustria</w:t>
            </w:r>
          </w:p>
        </w:tc>
      </w:tr>
      <w:tr>
        <w:trPr>
          <w:cantSplit/>
        </w:trPr>
        <w:tc>
          <w:tcPr>
            <w:tcW w:type="dxa" w:w="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Criterio 4. Vinculación con la sociedad</w:t>
            </w:r>
          </w:p>
        </w:tc>
        <w:tc>
          <w:tcPr>
            <w:tcW w:type="dxa" w:w="3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7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21</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Planificación y gestión de la vinculación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Programas coherentes con el currículo y el presupuesto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§3.5</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22</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Transferencia de tecnología y de conocimiento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Actividades de transferencia a la colectividad</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Pilotos de monitoreo con aliados (§3.5)</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23</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preprofesionales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en entornos reales, con seguimiento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§3.6</w:t>
            </w:r>
          </w:p>
        </w:tc>
      </w:tr>
      <w:tr>
        <w:trPr>
          <w:cantSplit/>
        </w:trPr>
        <w:tc>
          <w:tcPr>
            <w:tcW w:type="dxa" w:w="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5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Criterio 5. Funciones estratégicas y de soporte</w:t>
            </w:r>
          </w:p>
        </w:tc>
        <w:tc>
          <w:tcPr>
            <w:tcW w:type="dxa" w:w="3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27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Planificación académica y administrativa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Planificación articulada al PEDI y al modelo educativo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PEDI 2021-2025 y plan de la Facultad</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25</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Aseguramiento de la calidad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Mecanismo de autoevaluación de la carrera</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Comisión General de Evaluación Interna de la UTEQ</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26</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Ética, transparencia e integridad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Código de conducta ética aplicado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Asignatura 3.5 y código de ética institucional</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Internacionalización y movilidad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Cooperación para movilidad de profesores y estudiantes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Convenios internacionales de la UTEQ (informe 2024)</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28</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Infraestructura física y tecnológica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Infraestructura accesible y coherente con el área</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§7.1</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29</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Ambientes de aprendizaje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Aulas, laboratorios y talleres suficientes, equipados y accesibles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§7.1</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30</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Herramientas pedagógicas (cuantitativo)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Herramientas adecuadas y disponibles</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Plataformas de la UTEQ y licencias en §7.1</w:t>
            </w:r>
          </w:p>
        </w:tc>
      </w:tr>
      <w:tr>
        <w:trPr>
          <w:cantSplit/>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31</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Acervo y recursos bibliográficos (cualitativo)</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Acervo físico y digital pertinente y actualizado</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Bibliotecas de la UTEQ; falta lista de títulos de IoT</w:t>
            </w:r>
          </w:p>
        </w:tc>
      </w:tr>
    </w:tbl>
    <w:p>
      <w:pPr>
        <w:spacing w:after="120"/>
      </w:pPr>
    </w:p>
    <w:p>
      <w:pPr>
        <w:pStyle w:val="Heading1"/>
        <w:pageBreakBefore/>
      </w:pPr>
      <w:r>
        <w:rPr>
          <w:rFonts w:ascii="Calibri" w:cs="Calibri" w:eastAsia="Calibri" w:hAnsi="Calibri"/>
        </w:rPr>
        <w:t xml:space="preserve">4. Estudio de pertinencia</w:t>
      </w:r>
    </w:p>
    <w:p>
      <w:pPr>
        <w:pBdr>
          <w:left w:val="single" w:color="BF9000" w:sz="12" w:space="8"/>
        </w:pBdr>
        <w:spacing w:after="120"/>
        <w:ind w:left="200"/>
      </w:pPr>
      <w:r>
        <w:rPr>
          <w:rFonts w:ascii="Calibri" w:cs="Calibri" w:eastAsia="Calibri" w:hAnsi="Calibri"/>
          <w:i/>
          <w:iCs/>
          <w:sz w:val="20"/>
          <w:szCs w:val="20"/>
        </w:rPr>
        <w:t xml:space="preserve">Este estudio combina estadísticas oficiales verificadas (4.2 a 4.8), un ejercicio de dimensionamiento de la demanda con supuestos de trabajo (4.9 a 4.11) y el plan del trabajo de campo (4.12), que todavía no se hizo. Las estadísticas dan contexto y muestran brechas; la demanda de ingenieros IoT depende de supuestos que solo las encuestas del 4.12 pueden confirmar.</w:t>
      </w:r>
    </w:p>
    <w:p>
      <w:pPr>
        <w:pStyle w:val="Heading2"/>
      </w:pPr>
      <w:r>
        <w:rPr>
          <w:rFonts w:ascii="Calibri" w:cs="Calibri" w:eastAsia="Calibri" w:hAnsi="Calibri"/>
        </w:rPr>
        <w:t xml:space="preserve">4.1 Marco</w:t>
      </w:r>
    </w:p>
    <w:p>
      <w:pPr>
        <w:spacing w:after="120" w:line="276"/>
        <w:jc w:val="both"/>
      </w:pPr>
      <w:r>
        <w:rPr>
          <w:rFonts w:ascii="Calibri" w:cs="Calibri" w:eastAsia="Calibri" w:hAnsi="Calibri"/>
        </w:rPr>
        <w:t xml:space="preserve">El Art. 107 de la LOES define la pertinencia como la respuesta de la educación superior a las necesidades de la sociedad, a la planificación nacional y a la prospectiva de desarrollo científico y tecnológico, y exige articular la oferta con las necesidades locales y regionales, las tendencias del mercado ocupacional y la estructura productiva de la provincia y la región. La Guía Metodológica pide sustentar la demanda estudiantil y la ocupacional con fuentes primarias y secundarias oficiales.</w:t>
      </w:r>
    </w:p>
    <w:p>
      <w:pPr>
        <w:pStyle w:val="Heading2"/>
      </w:pPr>
      <w:r>
        <w:rPr>
          <w:rFonts w:ascii="Calibri" w:cs="Calibri" w:eastAsia="Calibri" w:hAnsi="Calibri"/>
        </w:rPr>
        <w:t xml:space="preserve">4.2 Transformación digital y talento</w:t>
      </w:r>
    </w:p>
    <w:p>
      <w:pPr>
        <w:spacing w:after="120" w:line="276"/>
        <w:jc w:val="both"/>
      </w:pPr>
      <w:r>
        <w:rPr>
          <w:rFonts w:ascii="Calibri" w:cs="Calibri" w:eastAsia="Calibri" w:hAnsi="Calibri"/>
        </w:rPr>
        <w:t xml:space="preserve">La Política Pública para la Transformación Digital del Ecuador 2025-2030, del Ministerio de Telecomunicaciones y de la Sociedad de la Información (MINTEL), incluye el Internet de las Cosas entre las tendencias de transformación digital (p. 46) y señala que las tecnologías emergentes, entre ellas el IoT, pueden aplicarse al desarrollo sostenible en áreas como la salud, la energía y la agricultura (p. 82).</w:t>
      </w:r>
    </w:p>
    <w:p>
      <w:pPr>
        <w:spacing w:after="120" w:line="276"/>
        <w:jc w:val="both"/>
      </w:pPr>
      <w:r>
        <w:rPr>
          <w:rFonts w:ascii="Calibri" w:cs="Calibri" w:eastAsia="Calibri" w:hAnsi="Calibri"/>
        </w:rPr>
        <w:t xml:space="preserve">El mismo documento afirma que Ecuador sufre un déficit de talento digital y que muchos graduados en áreas TIC carecen de experiencia y de actualización en nuevas herramientas (pp. 51 y 52). Recoge además que solo el 15,27 % de la población tenía en 2019 habilidades avanzadas para instalar y configurar software, según el INEC (p. 55).</w:t>
      </w:r>
    </w:p>
    <w:p>
      <w:pPr>
        <w:pStyle w:val="Heading2"/>
      </w:pPr>
      <w:r>
        <w:rPr>
          <w:rFonts w:ascii="Calibri" w:cs="Calibri" w:eastAsia="Calibri" w:hAnsi="Calibri"/>
        </w:rPr>
        <w:t xml:space="preserve">4.3 Oferta nacional de carreras TIC</w:t>
      </w:r>
    </w:p>
    <w:p>
      <w:pPr>
        <w:spacing w:after="120" w:line="276"/>
        <w:jc w:val="both"/>
      </w:pPr>
      <w:r>
        <w:rPr>
          <w:rFonts w:ascii="Calibri" w:cs="Calibri" w:eastAsia="Calibri" w:hAnsi="Calibri"/>
        </w:rPr>
        <w:t xml:space="preserve">Según los datos de la SENESCYT recogidos en la política del MINTEL (Tabla 7, pp. 52 y 53), en 2024 había 197 carreras TIC en el país. La oferta se concentra en software y es muy escasa en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Carrera TIC (SENESCYT, 2024)</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Carreras ofertadas por universidades</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Desarrollo de software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62</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Tecnología superior en desarrollo de software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36</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Tecnología superior en redes y telecomunicaciones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14</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Ciberseguridad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Internet de las cosas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w:t>
            </w:r>
          </w:p>
        </w:tc>
      </w:tr>
      <w:tr>
        <w:trPr>
          <w:cantSplit/>
        </w:trPr>
        <w:tc>
          <w:tcPr>
            <w:tcW w:type="dxa" w:w="6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Técnico superior en internet de las cosas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w:t>
            </w:r>
          </w:p>
        </w:tc>
      </w:tr>
    </w:tbl>
    <w:p>
      <w:pPr>
        <w:spacing w:after="120"/>
      </w:pPr>
    </w:p>
    <w:p>
      <w:pPr>
        <w:spacing w:after="120" w:line="276"/>
        <w:jc w:val="both"/>
      </w:pPr>
      <w:r>
        <w:rPr>
          <w:rFonts w:ascii="Calibri" w:cs="Calibri" w:eastAsia="Calibri" w:hAnsi="Calibri"/>
        </w:rPr>
        <w:t xml:space="preserve">El mismo informe cita 7.476 graduados en carreras TIC en 2021, frente a 5.079 en 2020 (texto de la p. 53); su Tabla 8 consigna 7.485 para 2021, una discrepancia menor en la fuente. Para la matrícula y los graduados de las provincias con las que se compara Los Ríos, se consultaron los tableros públicos de la SENESCYT (Registro de matrícula UEP y Títulos nacionales, 26 de septiembre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400"/>
        <w:gridCol w:w="900"/>
        <w:gridCol w:w="1200"/>
        <w:gridCol w:w="8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Provincia</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Matrícula UEP 2022 (todos los campos)</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Matrícula TIC UEP 2022</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TIC</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Títulos registrados 2024 (todos los campos)</w:t>
            </w:r>
          </w:p>
        </w:tc>
        <w:tc>
          <w:tcPr>
            <w:tcW w:type="dxa" w:w="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Títulos TIC 2024</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Los Ríos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26.653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1.005</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3,8 %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3.205</w:t>
            </w:r>
          </w:p>
        </w:tc>
        <w:tc>
          <w:tcPr>
            <w:tcW w:type="dxa" w:w="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69</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Guayas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207.192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9.708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4,7 %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38.212</w:t>
            </w:r>
          </w:p>
        </w:tc>
        <w:tc>
          <w:tcPr>
            <w:tcW w:type="dxa" w:w="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1.390</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Bolívar</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7.529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183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1.265</w:t>
            </w:r>
          </w:p>
        </w:tc>
        <w:tc>
          <w:tcPr>
            <w:tcW w:type="dxa" w:w="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44</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Santo Domingo de los Tsáchilas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6.752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389</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5,8 %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1.438</w:t>
            </w:r>
          </w:p>
        </w:tc>
        <w:tc>
          <w:tcPr>
            <w:tcW w:type="dxa" w:w="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80</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Nacional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792.530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33.220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4,2 %</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123.378</w:t>
            </w:r>
          </w:p>
        </w:tc>
        <w:tc>
          <w:tcPr>
            <w:tcW w:type="dxa" w:w="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4.224</w:t>
            </w:r>
          </w:p>
        </w:tc>
      </w:tr>
    </w:tbl>
    <w:p>
      <w:pPr>
        <w:spacing w:after="120"/>
      </w:pPr>
    </w:p>
    <w:p>
      <w:pPr>
        <w:pBdr>
          <w:left w:val="single" w:color="BF9000" w:sz="12" w:space="8"/>
        </w:pBdr>
        <w:spacing w:after="120"/>
        <w:ind w:left="200"/>
      </w:pPr>
      <w:r>
        <w:rPr>
          <w:rFonts w:ascii="Calibri" w:cs="Calibri" w:eastAsia="Calibri" w:hAnsi="Calibri"/>
          <w:i/>
          <w:iCs/>
          <w:sz w:val="20"/>
          <w:szCs w:val="20"/>
        </w:rPr>
        <w:t xml:space="preserve">Guayas concentra la matrícula y los títulos TIC de la región, con una participación (4,7 %) por debajo de su peso poblacional. Los Ríos gradúa pocos títulos TIC (69 en 2024) frente a su matrícula (1.005 en 2022), lo que sugiere una duración larga de las carreras TIC de la zona o un rezago de cohortes. Bolívar es la provincia con menos oferta TIC de las cuatro. Serie histórica de matrícula y títulos, y detalle metodológico, en 06_modelo_demanda/Modelo_demanda_oferta_IoT_LosRios.xlsx, hoja SENESCYT_TIC.</w:t>
      </w:r>
    </w:p>
    <w:p>
      <w:pPr>
        <w:pBdr>
          <w:left w:val="single" w:color="BF9000" w:sz="12" w:space="8"/>
        </w:pBdr>
        <w:spacing w:after="120"/>
        <w:ind w:left="200"/>
      </w:pPr>
      <w:r>
        <w:rPr>
          <w:rFonts w:ascii="Calibri" w:cs="Calibri" w:eastAsia="Calibri" w:hAnsi="Calibri"/>
          <w:i/>
          <w:iCs/>
          <w:sz w:val="20"/>
          <w:szCs w:val="20"/>
        </w:rPr>
        <w:t xml:space="preserve">Límite: los tableros públicos de la SENESCYT no permiten descargar la serie completa de matrícula y graduados por provincia y año; se leyeron los valores de 2022 (matrícula) y 2024 (títulos), que son los más recientes con desagregación provincial disponible al consultarlos. La base de datos abiertos 2015-2023 de la SENESCYT no respondió al intentar descargarla.</w:t>
      </w:r>
    </w:p>
    <w:p>
      <w:pPr>
        <w:pStyle w:val="Heading2"/>
      </w:pPr>
      <w:r>
        <w:rPr>
          <w:rFonts w:ascii="Calibri" w:cs="Calibri" w:eastAsia="Calibri" w:hAnsi="Calibri"/>
        </w:rPr>
        <w:t xml:space="preserve">4.4 Sector productivo de Los Ríos</w:t>
      </w:r>
    </w:p>
    <w:p>
      <w:pPr>
        <w:spacing w:after="120" w:line="276"/>
        <w:jc w:val="both"/>
      </w:pPr>
      <w:r>
        <w:rPr>
          <w:rFonts w:ascii="Calibri" w:cs="Calibri" w:eastAsia="Calibri" w:hAnsi="Calibri"/>
        </w:rPr>
        <w:t xml:space="preserve">La provincia de Los Ríos, donde funciona el Campus Central de la UTEQ, concentra una parte central de la producción agrícola del país. Según la Encuesta de Superficie y Producción Agropecuaria Continua (ESPAC) 2024 del INEC, publicada en abril 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Cultivo (ESPAC 2024)</w:t>
            </w:r>
          </w:p>
        </w:tc>
        <w:tc>
          <w:tcPr>
            <w:tcW w:type="dxa" w:w="44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Participación de Los Ríos en la producción nacional</w:t>
            </w:r>
          </w:p>
        </w:tc>
      </w:tr>
      <w:tr>
        <w:trPr>
          <w:cantSplit/>
        </w:trPr>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Banano</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39,8 %</w:t>
            </w:r>
          </w:p>
        </w:tc>
      </w:tr>
      <w:tr>
        <w:trPr>
          <w:cantSplit/>
        </w:trPr>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Maíz duro seco</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43,8 %</w:t>
            </w:r>
          </w:p>
        </w:tc>
      </w:tr>
      <w:tr>
        <w:trPr>
          <w:cantSplit/>
        </w:trPr>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Palma africana</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28,6 %</w:t>
            </w:r>
          </w:p>
        </w:tc>
      </w:tr>
      <w:tr>
        <w:trPr>
          <w:cantSplit/>
        </w:trPr>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Arroz en cáscara</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27,3 % (segunda provincia, tras Guayas)</w:t>
            </w:r>
          </w:p>
        </w:tc>
      </w:tr>
    </w:tbl>
    <w:p>
      <w:pPr>
        <w:spacing w:after="120"/>
      </w:pPr>
    </w:p>
    <w:p>
      <w:pPr>
        <w:spacing w:after="120" w:line="276"/>
        <w:jc w:val="both"/>
      </w:pPr>
      <w:r>
        <w:rPr>
          <w:rFonts w:ascii="Calibri" w:cs="Calibri" w:eastAsia="Calibri" w:hAnsi="Calibri"/>
        </w:rPr>
        <w:t xml:space="preserve">El Módulo de Información Ambiental y Tecnificación Agropecuaria (MIATA) de la ESPAC 2024 muestra, a nivel nacional, cuánto margen hay para incorporar medición y datos al campo:</w:t>
      </w:r>
    </w:p>
    <w:p>
      <w:pPr>
        <w:pStyle w:val="ListParagraph"/>
        <w:numPr>
          <w:ilvl w:val="0"/>
          <w:numId w:val="2"/>
        </w:numPr>
        <w:spacing w:after="60" w:line="276"/>
      </w:pPr>
      <w:r>
        <w:rPr>
          <w:rFonts w:ascii="Calibri" w:cs="Calibri" w:eastAsia="Calibri" w:hAnsi="Calibri"/>
        </w:rPr>
        <w:t xml:space="preserve">Solo el 28,2 % de la superficie cultivada del país se regó en 2024 (1,30 millones de hectáreas), y el 40,9 % de la superficie de cultivos permanentes está bajo riego.</w:t>
      </w:r>
    </w:p>
    <w:p>
      <w:pPr>
        <w:pStyle w:val="ListParagraph"/>
        <w:numPr>
          <w:ilvl w:val="0"/>
          <w:numId w:val="2"/>
        </w:numPr>
        <w:spacing w:after="60" w:line="276"/>
      </w:pPr>
      <w:r>
        <w:rPr>
          <w:rFonts w:ascii="Calibri" w:cs="Calibri" w:eastAsia="Calibri" w:hAnsi="Calibri"/>
        </w:rPr>
        <w:t xml:space="preserve">El 88,9 % de las unidades de producción nunca ha hecho un análisis de suelo; el 43,0 % dice que no percibe la necesidad y el 35,1 % que no conoce sus beneficios.</w:t>
      </w:r>
    </w:p>
    <w:p>
      <w:pPr>
        <w:pStyle w:val="ListParagraph"/>
        <w:numPr>
          <w:ilvl w:val="0"/>
          <w:numId w:val="2"/>
        </w:numPr>
        <w:spacing w:after="60" w:line="276"/>
      </w:pPr>
      <w:r>
        <w:rPr>
          <w:rFonts w:ascii="Calibri" w:cs="Calibri" w:eastAsia="Calibri" w:hAnsi="Calibri"/>
        </w:rPr>
        <w:t xml:space="preserve">Solo el 12,5 % de las unidades de producción recibió capacitación o asistencia técnica agrícola en 2024, y quienes no la recibieron citan, entre otras razones, que las sedes están lejos (19,5 %) y que los técnicos no están disponibles (15,3 %).</w:t>
      </w:r>
    </w:p>
    <w:p>
      <w:pPr>
        <w:pBdr>
          <w:left w:val="single" w:color="BF9000" w:sz="12" w:space="8"/>
        </w:pBdr>
        <w:spacing w:after="120"/>
        <w:ind w:left="200"/>
      </w:pPr>
      <w:r>
        <w:rPr>
          <w:rFonts w:ascii="Calibri" w:cs="Calibri" w:eastAsia="Calibri" w:hAnsi="Calibri"/>
          <w:i/>
          <w:iCs/>
          <w:sz w:val="20"/>
          <w:szCs w:val="20"/>
        </w:rPr>
        <w:t xml:space="preserve">Lectura provisional: la sensórica de suelo, agua y clima, y la trazabilidad, son brechas medibles en el sector que más pesa en la provincia. Falta desagregar el MIATA para Los Ríos, si el INEC publica las bases, y confirmar cuántas empresas agroindustriales de la zona ya usan monitoreo.</w:t>
      </w:r>
    </w:p>
    <w:p>
      <w:pPr>
        <w:pStyle w:val="Heading2"/>
      </w:pPr>
      <w:r>
        <w:rPr>
          <w:rFonts w:ascii="Calibri" w:cs="Calibri" w:eastAsia="Calibri" w:hAnsi="Calibri"/>
        </w:rPr>
        <w:t xml:space="preserve">4.5 Mercado laboral</w:t>
      </w:r>
    </w:p>
    <w:p>
      <w:pPr>
        <w:spacing w:after="120" w:line="276"/>
        <w:jc w:val="both"/>
      </w:pPr>
      <w:r>
        <w:rPr>
          <w:rFonts w:ascii="Calibri" w:cs="Calibri" w:eastAsia="Calibri" w:hAnsi="Calibri"/>
        </w:rPr>
        <w:t xml:space="preserve">La Encuesta Nacional de Empleo, Desempleo y Subempleo (ENEMDU) anual 2025 del INEC ofrece este contexto para Los Ríos frente al país: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226"/>
      </w:tblGrid>
      <w:tr>
        <w:trPr>
          <w:tblHeader/>
        </w:trPr>
        <w:tc>
          <w:tcPr>
            <w:tcW w:type="dxa" w:w="3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Indicador (ENEMDU anual 2025)</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Los Ríos</w:t>
            </w:r>
          </w:p>
        </w:tc>
        <w:tc>
          <w:tcPr>
            <w:tcW w:type="dxa" w:w="2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Nacional</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empleo adecuado o pleno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32,5 % (36,3 % en 2024)</w:t>
            </w:r>
          </w:p>
        </w:tc>
        <w:tc>
          <w:tcPr>
            <w:tcW w:type="dxa" w:w="2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37,1 %</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subempleo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28,4 % (24,0 % en 2024; la más alta del país tras Manabí)</w:t>
            </w:r>
          </w:p>
        </w:tc>
        <w:tc>
          <w:tcPr>
            <w:tcW w:type="dxa" w:w="2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19,4 % (21,0 % en 2024)</w:t>
            </w:r>
          </w:p>
        </w:tc>
      </w:tr>
      <w:tr>
        <w:trPr>
          <w:cantSplit/>
        </w:trPr>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desempleo</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1,7 %</w:t>
            </w:r>
          </w:p>
        </w:tc>
        <w:tc>
          <w:tcPr>
            <w:tcW w:type="dxa" w:w="2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3,6 %</w:t>
            </w:r>
          </w:p>
        </w:tc>
      </w:tr>
    </w:tbl>
    <w:p>
      <w:pPr>
        <w:spacing w:after="120"/>
      </w:pPr>
    </w:p>
    <w:p>
      <w:pPr>
        <w:spacing w:after="120" w:line="276"/>
        <w:jc w:val="both"/>
      </w:pPr>
      <w:r>
        <w:rPr>
          <w:rFonts w:ascii="Calibri" w:cs="Calibri" w:eastAsia="Calibri" w:hAnsi="Calibri"/>
        </w:rPr>
        <w:t xml:space="preserve">En Los Ríos casi no hay desempleo abierto, pero el empleo adecuado está por debajo del promedio nacional y el subempleo, además de subir en 2025, es 9 puntos más alto que el nacional. Es un contexto de baja productividad del trabajo, en el que la tecnificación puede aportar; no prueba por sí solo demanda de ingenieros IoT.</w:t>
      </w:r>
    </w:p>
    <w:p>
      <w:pPr>
        <w:pStyle w:val="Heading3"/>
      </w:pPr>
      <w:r>
        <w:rPr>
          <w:rFonts w:ascii="Calibri" w:cs="Calibri" w:eastAsia="Calibri" w:hAnsi="Calibri"/>
        </w:rPr>
        <w:t xml:space="preserve">Marco laboral por rama de actividad en Los Ríos</w:t>
      </w:r>
    </w:p>
    <w:p>
      <w:pPr>
        <w:spacing w:after="120" w:line="276"/>
        <w:jc w:val="both"/>
      </w:pPr>
      <w:r>
        <w:rPr>
          <w:rFonts w:ascii="Calibri" w:cs="Calibri" w:eastAsia="Calibri" w:hAnsi="Calibri"/>
        </w:rPr>
        <w:t xml:space="preserve">Con los microdatos de la ENEMDU anual 2025 (personas ocupadas de Los Ríos, 15 años y más), la agricultura concentra a casi la mitad de los ocupados de la provincia, pero es la rama con menor proporción de personal con instrucción superior. La rama de información y comunicación, donde se ubicarían los perfiles IoT, es pequeña en la provincia: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700"/>
        <w:gridCol w:w="1900"/>
        <w:gridCol w:w="1800"/>
      </w:tblGrid>
      <w:tr>
        <w:trPr>
          <w:tblHeader/>
        </w:trPr>
        <w:tc>
          <w:tcPr>
            <w:tcW w:type="dxa" w:w="3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Rama de actividad (CIIU)</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de los ocupados de Los Ríos</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con instrucción superior dentro de la rama</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de todos los ocupados con instrucción superior de Los Ríos</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 Agricultura, ganadería, silvicultura y pesca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48,8 %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6,0 %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18,5 %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 Comercio; reparación de vehículos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16,5 %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19,1 %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19,9 %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 Alojamiento y servicios de comida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6,6 %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9,2 %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3,9 %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 Industrias manufactureras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4,8 %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16,1 %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4,8 %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H Transporte y almacenamiento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4,4 %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13,7 %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3,8 %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 Enseñanza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96,8 %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19,4 %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 Administración pública y defensa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2,6 %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50,2 %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8,3 %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 Construcción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9,8 %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1,5 %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Q Salud y asistencia social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1,5 %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58,9 %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5,6 %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 Actividades profesionales, científicas y técnicas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1,4 %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44,9 %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4,0 %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J Información y comunicación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0,6 %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68,4 %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2,5 %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K Actividades financieras y de seguros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0,4 %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77,6 %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2,2 %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Otras ramas (D, E, N, R, S, 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6,8 %</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Entre 0 % y 23,5 %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6,0 %</w:t>
            </w:r>
          </w:p>
        </w:tc>
      </w:tr>
    </w:tbl>
    <w:p>
      <w:pPr>
        <w:spacing w:after="120"/>
      </w:pPr>
    </w:p>
    <w:p>
      <w:pPr>
        <w:spacing w:after="120" w:line="276"/>
        <w:jc w:val="both"/>
      </w:pPr>
      <w:r>
        <w:rPr>
          <w:rFonts w:ascii="Calibri" w:cs="Calibri" w:eastAsia="Calibri" w:hAnsi="Calibri"/>
        </w:rPr>
        <w:t xml:space="preserve">El resultado es coherente con el diagnóstico del §4.4: la rama con más ocupados (agricultura) es también la de menor calificación formal, y el sector con más profesionales de tercer nivel por rama (enseñanza, información y comunicación, finanzas) pesa poco en el empleo total de la provincia. Serie completa en `05_estadisticas` y en `06_modelo_demanda/datos/` (microdatos ENEMDU 2025, INEC).</w:t>
      </w:r>
    </w:p>
    <w:p>
      <w:pPr>
        <w:pStyle w:val="Heading3"/>
      </w:pPr>
      <w:r>
        <w:rPr>
          <w:rFonts w:ascii="Calibri" w:cs="Calibri" w:eastAsia="Calibri" w:hAnsi="Calibri"/>
        </w:rPr>
        <w:t xml:space="preserve">Mercado laboral de la población con instrucción superior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Indicador (ENEMDU anual 2025, población de 15 años y más con instrucción superior)</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Los Ríos</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Nacional</w:t>
            </w:r>
          </w:p>
        </w:tc>
      </w:tr>
      <w:tr>
        <w:trPr>
          <w:cantSplit/>
        </w:trPr>
        <w:tc>
          <w:tcPr>
            <w:tcW w:type="dxa" w:w="5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empleo adecuado o pleno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56,8 %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63,0 %</w:t>
            </w:r>
          </w:p>
        </w:tc>
      </w:tr>
      <w:tr>
        <w:trPr>
          <w:cantSplit/>
        </w:trPr>
        <w:tc>
          <w:tcPr>
            <w:tcW w:type="dxa" w:w="5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subempleo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20,5 %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11,8 %</w:t>
            </w:r>
          </w:p>
        </w:tc>
      </w:tr>
      <w:tr>
        <w:trPr>
          <w:cantSplit/>
        </w:trPr>
        <w:tc>
          <w:tcPr>
            <w:tcW w:type="dxa" w:w="5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otro empleo no pleno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17,0 %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14,5 %</w:t>
            </w:r>
          </w:p>
        </w:tc>
      </w:tr>
      <w:tr>
        <w:trPr>
          <w:cantSplit/>
        </w:trPr>
        <w:tc>
          <w:tcPr>
            <w:tcW w:type="dxa" w:w="5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Tasa de desempleo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4,5 %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6,3 %</w:t>
            </w:r>
          </w:p>
        </w:tc>
      </w:tr>
    </w:tbl>
    <w:p>
      <w:pPr>
        <w:spacing w:after="120"/>
      </w:pPr>
    </w:p>
    <w:p>
      <w:pPr>
        <w:spacing w:after="120" w:line="276"/>
        <w:jc w:val="both"/>
      </w:pPr>
      <w:r>
        <w:rPr>
          <w:rFonts w:ascii="Calibri" w:cs="Calibri" w:eastAsia="Calibri" w:hAnsi="Calibri"/>
        </w:rPr>
        <w:t xml:space="preserve">Aun con título de tercer nivel, en Los Ríos el subempleo casi duplica al nacional y el empleo adecuado es siete puntos menor: la sola credencial universitaria no basta en la provincia. Es un argumento para que la carrera tenga un perfil ocupacional claro y demanda verificada (§4.9 a §4.12), y no solo un título más en la oferta de la zona.</w:t>
      </w:r>
    </w:p>
    <w:p>
      <w:pPr>
        <w:pStyle w:val="Heading2"/>
      </w:pPr>
      <w:r>
        <w:rPr>
          <w:rFonts w:ascii="Calibri" w:cs="Calibri" w:eastAsia="Calibri" w:hAnsi="Calibri"/>
        </w:rPr>
        <w:t xml:space="preserve">4.6 Conectividad</w:t>
      </w:r>
    </w:p>
    <w:p>
      <w:pPr>
        <w:spacing w:after="120" w:line="276"/>
        <w:jc w:val="both"/>
      </w:pPr>
      <w:r>
        <w:rPr>
          <w:rFonts w:ascii="Calibri" w:cs="Calibri" w:eastAsia="Calibri" w:hAnsi="Calibri"/>
        </w:rPr>
        <w:t xml:space="preserve">Un despliegue IoT depende de la conectividad. Según el INEC (ENEMDU, julio de 2025), el 71,3 % de los hogares del país tiene acceso a internet: 76,6 % en el área urbana y 58,7 % en la rural, frente a 38,0 % en la rural en 2022. La ARCOTEL informa, para el cuarto trimestre de 2024, una penetración de internet fijo de 17,48 % y de internet móvil de 65,6 %, y ubica a Los Ríos entre las cinco provincias con más radiobases instaladas (Guayas, Pichincha, Manabí, Azuay y Los Ríos).</w:t>
      </w:r>
    </w:p>
    <w:p>
      <w:pPr>
        <w:spacing w:after="120" w:line="276"/>
        <w:jc w:val="both"/>
      </w:pPr>
      <w:r>
        <w:rPr>
          <w:rFonts w:ascii="Calibri" w:cs="Calibri" w:eastAsia="Calibri" w:hAnsi="Calibri"/>
        </w:rPr>
        <w:t xml:space="preserve">Dos lecturas se derivan: la conectividad rural mejora, lo que amplía el mercado de soluciones IoT; y una brecha persiste, lo que exige formar profesionales capaces de diseñar con redes de bajo consumo y conectividad intermitente. </w:t>
      </w:r>
      <w:r>
        <w:rPr>
          <w:rFonts w:ascii="Calibri" w:cs="Calibri" w:eastAsia="Calibri" w:hAnsi="Calibri"/>
          <w:highlight w:val="yellow"/>
          <w:highlightCs w:val="yellow"/>
        </w:rPr>
        <w:t xml:space="preserve">[Agregar cobertura móvil y de fibra por parroquia rural de Los Ríos desde los mapas de cobertura de la ARCOTEL y las metas del MINTEL]</w:t>
      </w:r>
    </w:p>
    <w:p>
      <w:pPr>
        <w:pStyle w:val="Heading2"/>
      </w:pPr>
      <w:r>
        <w:rPr>
          <w:rFonts w:ascii="Calibri" w:cs="Calibri" w:eastAsia="Calibri" w:hAnsi="Calibri"/>
        </w:rPr>
        <w:t xml:space="preserve">4.7 Oferta de la UTEQ y análisis de traslape</w:t>
      </w:r>
    </w:p>
    <w:p>
      <w:pPr>
        <w:spacing w:after="120" w:line="276"/>
        <w:jc w:val="both"/>
      </w:pPr>
      <w:r>
        <w:rPr>
          <w:rFonts w:ascii="Calibri" w:cs="Calibri" w:eastAsia="Calibri" w:hAnsi="Calibri"/>
        </w:rPr>
        <w:t xml:space="preserve">En 2022 la UTEQ reestructuró sus facultades; según el Plan Estratégico de Desarrollo Institucional 2026-2029, la Universidad tenía a 2025 35 carreras de grado vigentes en 9 facultades académicas y 1 de posgrado, con 12.082 estudiantes matriculados al cierre de 2024. Con esa reestructuración nació la </w:t>
      </w:r>
      <w:r>
        <w:rPr>
          <w:rFonts w:ascii="Calibri" w:cs="Calibri" w:eastAsia="Calibri" w:hAnsi="Calibri"/>
          <w:b/>
          <w:bCs/>
        </w:rPr>
        <w:t xml:space="preserve">Facultad de Ciencias de la Computación (FCC)</w:t>
      </w:r>
      <w:r>
        <w:rPr>
          <w:rFonts w:ascii="Calibri" w:cs="Calibri" w:eastAsia="Calibri" w:hAnsi="Calibri"/>
        </w:rPr>
        <w:t xml:space="preserve">, que agrupa hoy a Software, Telemática, Sistemas de Información y Tecnologías de la Información —y al grupo de investigación GITEL—, separada de la Facultad de Ciencias de la Ingeniería (FCI), que ahora agrupa a Electricidad, Arquitectura, Ingeniería Ambiental, Ingeniería Civil y Mecánica. Por su núcleo de software, redes y datos, esta carrera se adscribe a la FCC, no a la FCI. Entre las carreras de la FCC, según sus fichas públicas: Software, aprobada el 13 de septiembre de 2017 (RPC-SO-33-No.612-2017); y Telemática, aprobada el 23 de mayo de 2018 (RPC-SO-20-No.290-2018). La carrera más cercana a IoT es Telemática. Hay que demostrar en qué se diferencia.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Aspecto</w:t>
            </w:r>
          </w:p>
        </w:tc>
        <w:tc>
          <w:tcPr>
            <w:tcW w:type="dxa" w:w="346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Telemática (vigente, 10 semestres)</w:t>
            </w:r>
          </w:p>
        </w:tc>
        <w:tc>
          <w:tcPr>
            <w:tcW w:type="dxa" w:w="3463"/>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Ingeniería en IoT (propuesta, 8 períodos)</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Misión (ficha pública de la carrera)</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Formar ingenieros en Telemática con conocimientos de TI y telecomunicaciones, para investigar, desarrollar e implementar soluciones tecnológicas con ética y liderazgo</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Formar ingenieros en IoT que diseñen, implementen, operen y aseguren soluciones que integren electrónica embebida, comunicaciones, nube y datos (§3.1)</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Núcleo de la malla</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Redes LAN/MAN/WAN, administración y seguridad de redes, sistemas embebidos, redes escalables y definidas por software, antenas y propagación, hacking ético, comunicaciones móviles</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Electrónica embebida y placas propias, sensores y actuadores, comunicaciones de bajo consumo, plataformas en la nube y en el borde, ciencia de datos, ciberseguridad IoT (§6)</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Campo ocupacional (ficha pública de la carrera)</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Empresas de telecomunicaciones, entidades públicas, redes privadas, consultoría; dirección de infraestructura tecnológica y de redes</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Ver §3.3: soluciones IoT, firmware, redes de sensores, datos de dispositivos, con énfasis agroindustrial e industrial</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con contenido afín</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embebidos (V), redes de ordenadores (IV), aplicaciones telemáticas basadas en Web (III)</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Sistemas embebidos y firmware (4.1), protocolos IoT (4.4), aplicaciones de monitoreo y mando (7.1)</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Lo que no cubre Telemática</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 incluye sensores ni actuadores, ni el diseño de hardware propio, ni la analítica en el borde (TinyML)</w:t>
            </w:r>
          </w:p>
        </w:tc>
        <w:tc>
          <w:tcPr>
            <w:tcW w:type="dxa" w:w="3463"/>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RA2 (hardware y firmware con sensores/actuadores) y RA5 (analítica en el borde) no tienen equivalente en la malla de Telemática</w:t>
            </w:r>
          </w:p>
        </w:tc>
      </w:tr>
    </w:tbl>
    <w:p>
      <w:pPr>
        <w:spacing w:after="120"/>
      </w:pPr>
    </w:p>
    <w:p>
      <w:pPr>
        <w:spacing w:after="120" w:line="276"/>
        <w:jc w:val="both"/>
      </w:pPr>
      <w:r>
        <w:rPr>
          <w:rFonts w:ascii="Calibri" w:cs="Calibri" w:eastAsia="Calibri" w:hAnsi="Calibri"/>
        </w:rPr>
        <w:t xml:space="preserve">El traslape mayor está en las redes y en los sistemas embebidos (una asignatura de Telemática). El núcleo que distingue a IoT —diseño de hardware, sensores y actuadores, y analítica en el borde— no tiene equivalente en la malla vigente de Telemática, lo que respalda una carrera distinta y no un ajuste curricular. Falta comparar asignatura por asignatura para definir tablas de convalidación. Fuera de la UTEQ, la UEES Online oferta en línea la carrera "Ingeniero en Internet de las Cosas" con la Resolución RPC-SO-26-No.428-2023.</w:t>
      </w:r>
    </w:p>
    <w:p>
      <w:pPr>
        <w:pStyle w:val="Heading2"/>
      </w:pPr>
      <w:r>
        <w:rPr>
          <w:rFonts w:ascii="Calibri" w:cs="Calibri" w:eastAsia="Calibri" w:hAnsi="Calibri"/>
        </w:rPr>
        <w:t xml:space="preserve">4.8 Empresas de la zona</w:t>
      </w:r>
    </w:p>
    <w:p>
      <w:pPr>
        <w:spacing w:after="120" w:line="276"/>
        <w:jc w:val="both"/>
      </w:pPr>
      <w:r>
        <w:rPr>
          <w:rFonts w:ascii="Calibri" w:cs="Calibri" w:eastAsia="Calibri" w:hAnsi="Calibri"/>
        </w:rPr>
        <w:t xml:space="preserve">El Registro Estadístico de Empresas 2025 del INEC, construido con registros del SRI y del IESS, contabiliza en Los Ríos 32.993 empresas, la undécima provincia del país. De ellas, 1.968 registran ventas y empleo en el IESS (octava provincia) y el empleo registrado equivalente suma 66.742 puestos (séptima provincia).</w:t>
      </w:r>
    </w:p>
    <w:p>
      <w:pPr>
        <w:spacing w:after="120" w:line="276"/>
        <w:jc w:val="both"/>
      </w:pPr>
      <w:r>
        <w:rPr>
          <w:rFonts w:ascii="Calibri" w:cs="Calibri" w:eastAsia="Calibri" w:hAnsi="Calibri"/>
        </w:rPr>
        <w:t xml:space="preserve">El catastro de contribuyentes del SRI, actualizado el 1 de septiembre de 2026, permite ver los sectores. Se cuentan 276.712 RUC registrados en Los Ríos, de los cuales 112.164 están activos. Como el catastro no trae el tamaño, se toma como empresa formal a la sociedad o a la persona natural obligada a llevar contabilidad: son 6.957 (5.332 sociedades y 1.625 personas naturales). Por actividad económica: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400"/>
        <w:gridCol w:w="1700"/>
        <w:gridCol w:w="1300"/>
      </w:tblGrid>
      <w:tr>
        <w:trPr>
          <w:tblHeader/>
        </w:trPr>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Grupo de actividad (CIIU Rev. 4.1)</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Sociedades</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Personas naturales obligadas</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Empresas formales</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G1 Agricultura, ganadería y silvicultura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851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546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1.397</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G2 Pesca y acuicultura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13</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G3 Alimentos y bebidas (agroindustria)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93</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G4 Otras manufacturas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133</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163</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G5 Energía, agua y saneamiento</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97</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97</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G6 Transporte y almacenamiento</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507</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G7 Comercio al por mayor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406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1.067</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G8 Administración pública (GAD y entidades)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G9 Proveedores tecnológicos (TIC, ingeniería, I+D)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229</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257</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G10 Construcción</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570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587</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G11 Salud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186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201</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Otros sectores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1.959</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519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2.478</w:t>
            </w:r>
          </w:p>
        </w:tc>
      </w:tr>
      <w:tr>
        <w:trPr>
          <w:cantSplit/>
        </w:trPr>
        <w:tc>
          <w:tcPr>
            <w:tcW w:type="dxa" w:w="46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14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5.332</w:t>
            </w:r>
          </w:p>
        </w:tc>
        <w:tc>
          <w:tcPr>
            <w:tcW w:type="dxa" w:w="1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1.625</w:t>
            </w:r>
          </w:p>
        </w:tc>
        <w:tc>
          <w:tcPr>
            <w:tcW w:type="dxa" w:w="13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6.957</w:t>
            </w:r>
          </w:p>
        </w:tc>
      </w:tr>
    </w:tbl>
    <w:p>
      <w:pPr>
        <w:spacing w:after="120"/>
      </w:pPr>
    </w:p>
    <w:p>
      <w:pPr>
        <w:spacing w:after="120" w:line="276"/>
        <w:jc w:val="both"/>
      </w:pPr>
      <w:r>
        <w:rPr>
          <w:rFonts w:ascii="Calibri" w:cs="Calibri" w:eastAsia="Calibri" w:hAnsi="Calibri"/>
        </w:rPr>
        <w:t xml:space="preserve">Los grupos G1 a G9 suman 3.691 empresas formales y son el universo donde puede haber demanda de perfiles IoT. Se concentran en los cantones de Quevedo (845), Babahoyo (724), Ventanas (353), Buena Fe (316), Vinces (247). Además, las altas de sociedades que siguen activas pasaron de 263 en 2019 a 536 en 2025, lo que indica un tejido empresarial que se amplía. Los datos de la sección 4.4 muestran que el sector agropecuario es el mayor grupo, con 1.397 empresas formales.</w:t>
      </w:r>
    </w:p>
    <w:p>
      <w:pPr>
        <w:pStyle w:val="Heading2"/>
      </w:pPr>
      <w:r>
        <w:rPr>
          <w:rFonts w:ascii="Calibri" w:cs="Calibri" w:eastAsia="Calibri" w:hAnsi="Calibri"/>
        </w:rPr>
        <w:t xml:space="preserve">4.9 Estimación de la demanda a 4 y 5 años</w:t>
      </w:r>
    </w:p>
    <w:p>
      <w:pPr>
        <w:pBdr>
          <w:left w:val="single" w:color="BF9000" w:sz="12" w:space="8"/>
        </w:pBdr>
        <w:spacing w:after="120"/>
        <w:ind w:left="200"/>
      </w:pPr>
      <w:r>
        <w:rPr>
          <w:rFonts w:ascii="Calibri" w:cs="Calibri" w:eastAsia="Calibri" w:hAnsi="Calibri"/>
          <w:i/>
          <w:iCs/>
          <w:sz w:val="20"/>
          <w:szCs w:val="20"/>
        </w:rPr>
        <w:t xml:space="preserve">Ninguna fuente oficial publica cuántas empresas ecuatorianas adoptan IoT ni cuántos profesionales de ese perfil contratan. Por eso los porcentajes de adopción de esta sección son supuestos de trabajo, no datos. El ejercicio sirve para dimensionar y para ver qué supuestos pesan más; la encuesta del 4.12 debe reemplazarlos. El modelo completo, con todas las fórmulas, está en 06_modelo_demanda/Modelo_demanda_oferta_IoT_LosRios.xlsx.</w:t>
      </w:r>
    </w:p>
    <w:p>
      <w:pPr>
        <w:spacing w:after="120" w:line="276"/>
        <w:jc w:val="both"/>
      </w:pPr>
      <w:r>
        <w:rPr>
          <w:rFonts w:ascii="Calibri" w:cs="Calibri" w:eastAsia="Calibri" w:hAnsi="Calibri"/>
          <w:b/>
          <w:bCs/>
        </w:rPr>
        <w:t xml:space="preserve">Método.</w:t>
      </w:r>
      <w:r>
        <w:rPr>
          <w:rFonts w:ascii="Calibri" w:cs="Calibri" w:eastAsia="Calibri" w:hAnsi="Calibri"/>
        </w:rPr>
        <w:t xml:space="preserve"> Para cada grupo de actividad, los puestos de perfil IoT en 2030 y 2031 son: empresas formales del SRI, por un factor de empresas operativas, por el porcentaje que adopta, por los profesionales que contrata cada empresa adoptante.</w:t>
      </w:r>
    </w:p>
    <w:p>
      <w:pPr>
        <w:pStyle w:val="ListParagraph"/>
        <w:numPr>
          <w:ilvl w:val="0"/>
          <w:numId w:val="2"/>
        </w:numPr>
        <w:spacing w:after="60" w:line="276"/>
      </w:pPr>
      <w:r>
        <w:rPr>
          <w:rFonts w:ascii="Calibri" w:cs="Calibri" w:eastAsia="Calibri" w:hAnsi="Calibri"/>
          <w:b/>
          <w:bCs/>
        </w:rPr>
        <w:t xml:space="preserve">Factor de empresas operativas: 30 %.</w:t>
      </w:r>
      <w:r>
        <w:rPr>
          <w:rFonts w:ascii="Calibri" w:cs="Calibri" w:eastAsia="Calibri" w:hAnsi="Calibri"/>
        </w:rPr>
        <w:t xml:space="preserve"> Es el cociente entre las 1.968 empresas del INEC con ventas y empleo en el IESS y las 6.541 empresas formales del SRI sin administración pública, enseñanza y salud. Se aplica a todos los grupos salvo el sector público, donde los gobiernos autónomos descentralizados se toman todos como operativos.</w:t>
      </w:r>
    </w:p>
    <w:p>
      <w:pPr>
        <w:pStyle w:val="ListParagraph"/>
        <w:numPr>
          <w:ilvl w:val="0"/>
          <w:numId w:val="2"/>
        </w:numPr>
        <w:spacing w:after="60" w:line="276"/>
      </w:pPr>
      <w:r>
        <w:rPr>
          <w:rFonts w:ascii="Calibri" w:cs="Calibri" w:eastAsia="Calibri" w:hAnsi="Calibri"/>
          <w:b/>
          <w:bCs/>
        </w:rPr>
        <w:t xml:space="preserve">Adopción.</w:t>
      </w:r>
      <w:r>
        <w:rPr>
          <w:rFonts w:ascii="Calibri" w:cs="Calibri" w:eastAsia="Calibri" w:hAnsi="Calibri"/>
        </w:rPr>
        <w:t xml:space="preserve"> Porcentaje de empresas operativas que emplea al menos un perfil IoT. Se usan tres escenarios: conservador (por ejemplo, 1 % en 2030 y 1,5 % en 2031 en agricultura), base (2,5 % y 3,5 %) y optimista (5 % y 7 %). Los proveedores tecnológicos y el sector público tienen porcentajes mayores.</w:t>
      </w:r>
    </w:p>
    <w:p>
      <w:pPr>
        <w:pStyle w:val="ListParagraph"/>
        <w:numPr>
          <w:ilvl w:val="0"/>
          <w:numId w:val="2"/>
        </w:numPr>
        <w:spacing w:after="60" w:line="276"/>
      </w:pPr>
      <w:r>
        <w:rPr>
          <w:rFonts w:ascii="Calibri" w:cs="Calibri" w:eastAsia="Calibri" w:hAnsi="Calibri"/>
          <w:b/>
          <w:bCs/>
        </w:rPr>
        <w:t xml:space="preserve">Profesionales por empresa adoptante:</w:t>
      </w:r>
      <w:r>
        <w:rPr>
          <w:rFonts w:ascii="Calibri" w:cs="Calibri" w:eastAsia="Calibri" w:hAnsi="Calibri"/>
        </w:rPr>
        <w:t xml:space="preserve"> 1 en el escenario conservador, 1,5 en el base y 2 en el optimista.</w:t>
      </w:r>
    </w:p>
    <w:p>
      <w:pPr>
        <w:pStyle w:val="ListParagraph"/>
        <w:numPr>
          <w:ilvl w:val="0"/>
          <w:numId w:val="2"/>
        </w:numPr>
        <w:spacing w:after="60" w:line="276"/>
      </w:pPr>
      <w:r>
        <w:rPr>
          <w:rFonts w:ascii="Calibri" w:cs="Calibri" w:eastAsia="Calibri" w:hAnsi="Calibri"/>
          <w:b/>
          <w:bCs/>
        </w:rPr>
        <w:t xml:space="preserve">Profesionales que ya trabajan en las empresas:</w:t>
      </w:r>
      <w:r>
        <w:rPr>
          <w:rFonts w:ascii="Calibri" w:cs="Calibri" w:eastAsia="Calibri" w:hAnsi="Calibri"/>
        </w:rPr>
        <w:t xml:space="preserve"> 0, porque no hay carrera IoT en la zona. </w:t>
      </w:r>
      <w:r>
        <w:rPr>
          <w:rFonts w:ascii="Calibri" w:cs="Calibri" w:eastAsia="Calibri" w:hAnsi="Calibri"/>
          <w:highlight w:val="yellow"/>
          <w:highlightCs w:val="yellow"/>
        </w:rPr>
        <w:t xml:space="preserve">[Verificar en la encuesta]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Escenario</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Puestos a 4 años (2030)</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Puestos a 5 años (2031)</w:t>
            </w:r>
          </w:p>
        </w:tc>
        <w:tc>
          <w:tcPr>
            <w:tcW w:type="dxa" w:w="2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Puestos nuevos por año, 2027-2031</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Conservador</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50</w:t>
            </w:r>
          </w:p>
        </w:tc>
        <w:tc>
          <w:tcPr>
            <w:tcW w:type="dxa" w:w="2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9,9</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120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165</w:t>
            </w:r>
          </w:p>
        </w:tc>
        <w:tc>
          <w:tcPr>
            <w:tcW w:type="dxa" w:w="2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32,9</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Optimista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283</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374</w:t>
            </w:r>
          </w:p>
        </w:tc>
        <w:tc>
          <w:tcPr>
            <w:tcW w:type="dxa" w:w="22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74,8</w:t>
            </w:r>
          </w:p>
        </w:tc>
      </w:tr>
    </w:tbl>
    <w:p>
      <w:pPr>
        <w:spacing w:after="120"/>
      </w:pPr>
    </w:p>
    <w:p>
      <w:pPr>
        <w:spacing w:after="120" w:line="276"/>
        <w:jc w:val="both"/>
      </w:pPr>
      <w:r>
        <w:rPr>
          <w:rFonts w:ascii="Calibri" w:cs="Calibri" w:eastAsia="Calibri" w:hAnsi="Calibri"/>
          <w:b/>
          <w:bCs/>
        </w:rPr>
        <w:t xml:space="preserve">Dónde está la demanda en el escenario base.</w:t>
      </w:r>
      <w:r>
        <w:rPr>
          <w:rFonts w:ascii="Calibri" w:cs="Calibri" w:eastAsia="Calibri" w:hAnsi="Calibri"/>
        </w:rPr>
        <w:t xml:space="preserve"> La agricultura aporta pocos puestos aunque sea el sector más grande, porque la adopción supuesta es baja. Los dos grupos que más pesan son el sector público y los proveedores tecnológicos: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00"/>
        <w:gridCol w:w="1400"/>
        <w:gridCol w:w="1400"/>
        <w:gridCol w:w="1300"/>
      </w:tblGrid>
      <w:tr>
        <w:trPr>
          <w:tblHeader/>
        </w:trPr>
        <w:tc>
          <w:tcPr>
            <w:tcW w:type="dxa" w:w="3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Grupo</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Empresas formales</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Empresas operativas</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Puestos base 2031</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del total</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G1 Agricultura, ganadería y silvicultura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1.397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419,1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22,0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13 %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G2 Pesca y acuicultura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0,4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0 %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G3 Alimentos y bebidas (agroindustria)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27,9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5,9</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G4 Otras manufacturas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163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48,9</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G5 Energía, agua y saneamiento</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29,1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G6 Transporte y almacenamiento</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507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152,1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16,0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10 %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G7 Comercio al por mayor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1.067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320,1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G8 Administración pública (GAD y entidades)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96,0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50,4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31 %</w:t>
            </w:r>
          </w:p>
        </w:tc>
      </w:tr>
      <w:tr>
        <w:trPr>
          <w:cantSplit/>
        </w:trPr>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G9 Proveedores tecnológicos (TIC, ingeniería, I+D)</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257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77,1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46,3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28 %</w:t>
            </w:r>
          </w:p>
        </w:tc>
      </w:tr>
    </w:tbl>
    <w:p>
      <w:pPr>
        <w:spacing w:after="120"/>
      </w:pPr>
    </w:p>
    <w:p>
      <w:pPr>
        <w:pBdr>
          <w:left w:val="single" w:color="BF9000" w:sz="12" w:space="8"/>
        </w:pBdr>
        <w:spacing w:after="120"/>
        <w:ind w:left="200"/>
      </w:pPr>
      <w:r>
        <w:rPr>
          <w:rFonts w:ascii="Calibri" w:cs="Calibri" w:eastAsia="Calibri" w:hAnsi="Calibri"/>
          <w:i/>
          <w:iCs/>
          <w:sz w:val="20"/>
          <w:szCs w:val="20"/>
        </w:rPr>
        <w:t xml:space="preserve">Consecuencia para el proyecto: la tesis agroindustrial de la carrera no se sostiene con estos supuestos por sí sola. El resultado depende de que los gobiernos locales y los proveedores tecnológicos contraten perfiles IoT, o de que la adopción agrícola supere lo supuesto. La encuesta debe medir ambos frentes.</w:t>
      </w:r>
    </w:p>
    <w:p>
      <w:pPr>
        <w:pStyle w:val="Heading2"/>
      </w:pPr>
      <w:r>
        <w:rPr>
          <w:rFonts w:ascii="Calibri" w:cs="Calibri" w:eastAsia="Calibri" w:hAnsi="Calibri"/>
        </w:rPr>
        <w:t xml:space="preserve">4.10 Oferta de graduados TIC</w:t>
      </w:r>
    </w:p>
    <w:p>
      <w:pPr>
        <w:spacing w:after="120" w:line="276"/>
        <w:jc w:val="both"/>
      </w:pPr>
      <w:r>
        <w:rPr>
          <w:rFonts w:ascii="Calibri" w:cs="Calibri" w:eastAsia="Calibri" w:hAnsi="Calibri"/>
          <w:b/>
          <w:bCs/>
        </w:rPr>
        <w:t xml:space="preserve">Nacional.</w:t>
      </w:r>
      <w:r>
        <w:rPr>
          <w:rFonts w:ascii="Calibri" w:cs="Calibri" w:eastAsia="Calibri" w:hAnsi="Calibri"/>
        </w:rPr>
        <w:t xml:space="preserve"> Según la SENESCYT, recogida en la política del MINTEL, se graduaron 5.079 personas en carreras TIC en 2020 y 7.476 en 2021.</w:t>
      </w:r>
    </w:p>
    <w:p>
      <w:pPr>
        <w:spacing w:after="120" w:line="276"/>
        <w:jc w:val="both"/>
      </w:pPr>
      <w:r>
        <w:rPr>
          <w:rFonts w:ascii="Calibri" w:cs="Calibri" w:eastAsia="Calibri" w:hAnsi="Calibri"/>
          <w:b/>
          <w:bCs/>
        </w:rPr>
        <w:t xml:space="preserve">UTEQ.</w:t>
      </w:r>
      <w:r>
        <w:rPr>
          <w:rFonts w:ascii="Calibri" w:cs="Calibri" w:eastAsia="Calibri" w:hAnsi="Calibri"/>
        </w:rPr>
        <w:t xml:space="preserve"> El informe de rendición de cuentas 2024 reporta 1.620 graduados de grado en el año (669 en el segundo período 2023-2024 y 951 en el primero de 2024-2025), con una tasa de titulación del 60,96 % para la cohorte 2018-2019. Para las carreras TIC, agrupadas en ese informe bajo la entonces Facultad de Ciencias de la Ingeniería (anterior a la reestructuración de facultades de 2022 que creó la actual Facultad de Ciencias de la Computación, ver §4.7), esa cohorte tiene estos graduados: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300"/>
        <w:gridCol w:w="1700"/>
        <w:gridCol w:w="1400"/>
      </w:tblGrid>
      <w:tr>
        <w:trPr>
          <w:tblHeader/>
        </w:trPr>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Carrera (cohorte 2018-2019)</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Graduados</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Estudiantes de la cohorte</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Tasa de titulación</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Ingeniería en Telemática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34,0 %</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Telemática (rediseño)</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19</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47,5 %</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Software (rediseño)</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12,4 %</w:t>
            </w:r>
          </w:p>
        </w:tc>
      </w:tr>
      <w:tr>
        <w:trPr>
          <w:cantSplit/>
        </w:trPr>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Fila sin nombre de carrera en el informe, bajo la Facultad de Ciencias de la Ingeniería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31,2 %</w:t>
            </w:r>
          </w:p>
        </w:tc>
      </w:tr>
    </w:tbl>
    <w:p>
      <w:pPr>
        <w:spacing w:after="120"/>
      </w:pPr>
    </w:p>
    <w:p>
      <w:pPr>
        <w:spacing w:after="120" w:line="276"/>
        <w:jc w:val="both"/>
      </w:pPr>
      <w:r>
        <w:rPr>
          <w:rFonts w:ascii="Calibri" w:cs="Calibri" w:eastAsia="Calibri" w:hAnsi="Calibri"/>
        </w:rPr>
        <w:t xml:space="preserve">Las tres carreras identificadas suman 45 graduados y, con la fila sin nombre, 69. Además, el 67,32 % de los graduados de la UTEQ que respondió el seguimiento trabaja en un puesto relacionado con su formación, y el 32,68 % no tiene empleo.</w:t>
      </w:r>
    </w:p>
    <w:p>
      <w:pPr>
        <w:pBdr>
          <w:left w:val="single" w:color="BF9000" w:sz="12" w:space="8"/>
        </w:pBdr>
        <w:spacing w:after="120"/>
        <w:ind w:left="200"/>
      </w:pPr>
      <w:r>
        <w:rPr>
          <w:rFonts w:ascii="Calibri" w:cs="Calibri" w:eastAsia="Calibri" w:hAnsi="Calibri"/>
          <w:i/>
          <w:iCs/>
          <w:sz w:val="20"/>
          <w:szCs w:val="20"/>
        </w:rPr>
        <w:t xml:space="preserve">Límite: la SENESCYT publica una base de matrícula de universidades y escuelas politécnicas 2015-2023 con provincia de la sede y campo del conocimiento, pero el servidor donde está alojada no respondió al consultarla, y no se encontró una serie de graduados por provincia. La oferta de la zona se estima entonces con dos referencias y un intervalo. Cuando se descargue la base, se filtra el campo amplio 06 y la provincia Los Ríos, y se reemplazan los supuestos de la hoja Supuestos del modelo. </w:t>
      </w:r>
      <w:r>
        <w:rPr>
          <w:rFonts w:ascii="Calibri" w:cs="Calibri" w:eastAsia="Calibri" w:hAnsi="Calibri"/>
          <w:i/>
          <w:iCs/>
          <w:sz w:val="20"/>
          <w:szCs w:val="20"/>
          <w:highlight w:val="yellow"/>
          <w:highlightCs w:val="yellow"/>
        </w:rPr>
        <w:t xml:space="preserve">[Descargar la base de matrícula TIC de Los Ríos y de las IES de la zona (Universidad Técnica de Babahoyo y otras)]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47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Oferta de graduados TIC por año en IES de Los Ríos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Valor</w:t>
            </w:r>
          </w:p>
        </w:tc>
        <w:tc>
          <w:tcPr>
            <w:tcW w:type="dxa" w:w="4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Base del cálculo</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Baja</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69</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Máximo identificado en las carreras TIC de la UTEQ, cohorte 2018-2019</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Base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187</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2,5 % de los 7.476 graduados TIC del país en 2021</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Alta</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397</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Participación de la población de Los Ríos en el país (5,3 %, Censo 2022)</w:t>
            </w:r>
          </w:p>
        </w:tc>
      </w:tr>
    </w:tbl>
    <w:p>
      <w:pPr>
        <w:spacing w:after="120"/>
      </w:pPr>
    </w:p>
    <w:p>
      <w:pPr>
        <w:spacing w:after="120" w:line="276"/>
        <w:jc w:val="both"/>
      </w:pPr>
      <w:r>
        <w:rPr>
          <w:rFonts w:ascii="Calibri" w:cs="Calibri" w:eastAsia="Calibri" w:hAnsi="Calibri"/>
        </w:rPr>
        <w:t xml:space="preserve">No todos esos graduados tienen competencias IoT: la mayoría viene de software y sistemas. Se supone que tienen perfil útil para IoT el 2 % en la oferta baja, el 5 % en la base y el 10 % en la alta. Con eso, los graduados con perfil IoT por año son 1,4, 9,3 y 39,7.</w:t>
      </w:r>
    </w:p>
    <w:p>
      <w:pPr>
        <w:pStyle w:val="Heading2"/>
      </w:pPr>
      <w:r>
        <w:rPr>
          <w:rFonts w:ascii="Calibri" w:cs="Calibri" w:eastAsia="Calibri" w:hAnsi="Calibri"/>
        </w:rPr>
        <w:t xml:space="preserve">4.11 Brecha entre oferta y demanda</w:t>
      </w:r>
    </w:p>
    <w:p>
      <w:pPr>
        <w:spacing w:after="120" w:line="276"/>
        <w:jc w:val="both"/>
      </w:pPr>
      <w:r>
        <w:rPr>
          <w:rFonts w:ascii="Calibri" w:cs="Calibri" w:eastAsia="Calibri" w:hAnsi="Calibri"/>
        </w:rPr>
        <w:t xml:space="preserve">La primera promoción de la carrera se gradúa en 2031, si el primer ingreso es en 2027 y dura ocho períodos. Con 40 estudiantes por cohorte y la tasa de titulación de la UTEQ (60,96 %), cada promoción sería de unos 24 graduados. La brecha es la demanda menos los graduados con perfil IoT disponibles; un valor positivo indica falta de profesionales y uno negativo, exceso.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Brecha en puestos, con oferta base</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 4 años (2030), sin la carrera</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 5 años (2031), sin la carrera</w:t>
            </w:r>
          </w:p>
        </w:tc>
        <w:tc>
          <w:tcPr>
            <w:tcW w:type="dxa" w:w="2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 5 años (2031), con la carrera</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Demanda conservadora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−22</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Demanda base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82</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118</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94</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Demanda optimista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328</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303</w:t>
            </w:r>
          </w:p>
        </w:tc>
      </w:tr>
    </w:tbl>
    <w:p>
      <w:pPr>
        <w:spacing w:after="120"/>
      </w:pPr>
    </w:p>
    <w:p>
      <w:pPr>
        <w:spacing w:after="120" w:line="276"/>
        <w:jc w:val="both"/>
      </w:pPr>
      <w:r>
        <w:rPr>
          <w:rFonts w:ascii="Calibri" w:cs="Calibri" w:eastAsia="Calibri" w:hAnsi="Calibri"/>
        </w:rPr>
        <w:t xml:space="preserve">En régimen, a partir de 2032, la comparación anual es más útil: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500"/>
        <w:gridCol w:w="1500"/>
        <w:gridCol w:w="14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Escenario</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Puestos nuevos por año</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Graduados IoT sin la carrera</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Graduados de la carrera</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Cobertura sin la carrera</w:t>
            </w:r>
          </w:p>
        </w:tc>
        <w:tc>
          <w:tcPr>
            <w:tcW w:type="dxa" w:w="14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Cobertura con la carrera</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Conservador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9,9</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94 %</w:t>
            </w:r>
          </w:p>
        </w:tc>
        <w:tc>
          <w:tcPr>
            <w:tcW w:type="dxa" w:w="1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340 %</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Base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32,9</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28 %</w:t>
            </w:r>
          </w:p>
        </w:tc>
        <w:tc>
          <w:tcPr>
            <w:tcW w:type="dxa" w:w="1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102 %</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Optimista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74,8</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9,3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24,4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12 %</w:t>
            </w:r>
          </w:p>
        </w:tc>
        <w:tc>
          <w:tcPr>
            <w:tcW w:type="dxa" w:w="14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45 %</w:t>
            </w:r>
          </w:p>
        </w:tc>
      </w:tr>
    </w:tbl>
    <w:p>
      <w:pPr>
        <w:spacing w:after="120"/>
      </w:pPr>
    </w:p>
    <w:p>
      <w:pPr>
        <w:pStyle w:val="ListParagraph"/>
        <w:numPr>
          <w:ilvl w:val="0"/>
          <w:numId w:val="2"/>
        </w:numPr>
        <w:spacing w:after="60" w:line="276"/>
      </w:pPr>
      <w:r>
        <w:rPr>
          <w:rFonts w:ascii="Calibri" w:cs="Calibri" w:eastAsia="Calibri" w:hAnsi="Calibri"/>
          <w:b/>
          <w:bCs/>
        </w:rPr>
        <w:t xml:space="preserve">Sin la carrera</w:t>
      </w:r>
      <w:r>
        <w:rPr>
          <w:rFonts w:ascii="Calibri" w:cs="Calibri" w:eastAsia="Calibri" w:hAnsi="Calibri"/>
        </w:rPr>
        <w:t xml:space="preserve">, la oferta con perfil IoT cubre el 28 % de los puestos nuevos del escenario base y el 12 % del optimista.</w:t>
      </w:r>
    </w:p>
    <w:p>
      <w:pPr>
        <w:pStyle w:val="ListParagraph"/>
        <w:numPr>
          <w:ilvl w:val="0"/>
          <w:numId w:val="2"/>
        </w:numPr>
        <w:spacing w:after="60" w:line="276"/>
      </w:pPr>
      <w:r>
        <w:rPr>
          <w:rFonts w:ascii="Calibri" w:cs="Calibri" w:eastAsia="Calibri" w:hAnsi="Calibri"/>
          <w:b/>
          <w:bCs/>
        </w:rPr>
        <w:t xml:space="preserve">Con la carrera</w:t>
      </w:r>
      <w:r>
        <w:rPr>
          <w:rFonts w:ascii="Calibri" w:cs="Calibri" w:eastAsia="Calibri" w:hAnsi="Calibri"/>
        </w:rPr>
        <w:t xml:space="preserve">, una cohorte de 40 estudiantes cubre casi exactamente la demanda del escenario base. Es el tamaño adecuado si la adopción se acerca a los supuestos base.</w:t>
      </w:r>
    </w:p>
    <w:p>
      <w:pPr>
        <w:pStyle w:val="ListParagraph"/>
        <w:numPr>
          <w:ilvl w:val="0"/>
          <w:numId w:val="2"/>
        </w:numPr>
        <w:spacing w:after="60" w:line="276"/>
      </w:pPr>
      <w:r>
        <w:rPr>
          <w:rFonts w:ascii="Calibri" w:cs="Calibri" w:eastAsia="Calibri" w:hAnsi="Calibri"/>
        </w:rPr>
        <w:t xml:space="preserve">En el </w:t>
      </w:r>
      <w:r>
        <w:rPr>
          <w:rFonts w:ascii="Calibri" w:cs="Calibri" w:eastAsia="Calibri" w:hAnsi="Calibri"/>
          <w:b/>
          <w:bCs/>
        </w:rPr>
        <w:t xml:space="preserve">escenario conservador</w:t>
      </w:r>
      <w:r>
        <w:rPr>
          <w:rFonts w:ascii="Calibri" w:cs="Calibri" w:eastAsia="Calibri" w:hAnsi="Calibri"/>
        </w:rPr>
        <w:t xml:space="preserve"> habría sobreoferta: la carrera y la oferta actual triplicarían los puestos nuevos. En el </w:t>
      </w:r>
      <w:r>
        <w:rPr>
          <w:rFonts w:ascii="Calibri" w:cs="Calibri" w:eastAsia="Calibri" w:hAnsi="Calibri"/>
          <w:b/>
          <w:bCs/>
        </w:rPr>
        <w:t xml:space="preserve">optimista</w:t>
      </w:r>
      <w:r>
        <w:rPr>
          <w:rFonts w:ascii="Calibri" w:cs="Calibri" w:eastAsia="Calibri" w:hAnsi="Calibri"/>
        </w:rPr>
        <w:t xml:space="preserve"> faltarían profesionales aun con la carrera; se podría abrir un segundo paralelo más adelante.</w:t>
      </w:r>
    </w:p>
    <w:p>
      <w:pPr>
        <w:pStyle w:val="ListParagraph"/>
        <w:numPr>
          <w:ilvl w:val="0"/>
          <w:numId w:val="2"/>
        </w:numPr>
        <w:spacing w:after="60" w:line="276"/>
      </w:pPr>
      <w:r>
        <w:rPr>
          <w:rFonts w:ascii="Calibri" w:cs="Calibri" w:eastAsia="Calibri" w:hAnsi="Calibri"/>
        </w:rPr>
        <w:t xml:space="preserve">La demanda es muy sensible a la adopción: si la adopción base se duplica y cada empresa contrata dos profesionales, los puestos a 5 años pasan de unos 165 a unos 440 (hoja Sensibilidad del modelo).</w:t>
      </w:r>
    </w:p>
    <w:p>
      <w:pPr>
        <w:pBdr>
          <w:left w:val="single" w:color="BF9000" w:sz="12" w:space="8"/>
        </w:pBdr>
        <w:spacing w:after="120"/>
        <w:ind w:left="200"/>
      </w:pPr>
      <w:r>
        <w:rPr>
          <w:rFonts w:ascii="Calibri" w:cs="Calibri" w:eastAsia="Calibri" w:hAnsi="Calibri"/>
          <w:i/>
          <w:iCs/>
          <w:sz w:val="20"/>
          <w:szCs w:val="20"/>
        </w:rPr>
        <w:t xml:space="preserve">Lectura provisional: la carrera se justifica en el escenario base y se arriesga en el conservador. El tamaño de la cohorte y la decisión de abrir un segundo paralelo deben tomarse con los resultados de la encuesta, no con este ejercicio.</w:t>
      </w:r>
    </w:p>
    <w:p>
      <w:pPr>
        <w:pStyle w:val="Heading2"/>
      </w:pPr>
      <w:r>
        <w:rPr>
          <w:rFonts w:ascii="Calibri" w:cs="Calibri" w:eastAsia="Calibri" w:hAnsi="Calibri"/>
        </w:rPr>
        <w:t xml:space="preserve">4.12 Trabajo de campo pendiente</w:t>
      </w:r>
    </w:p>
    <w:p>
      <w:pPr>
        <w:spacing w:after="120" w:line="276"/>
        <w:jc w:val="both"/>
      </w:pPr>
      <w:r>
        <w:rPr>
          <w:rFonts w:ascii="Calibri" w:cs="Calibri" w:eastAsia="Calibri" w:hAnsi="Calibri"/>
        </w:rPr>
        <w:t xml:space="preserve">Lo que las estadísticas oficiales no dan, y debe levantarse para reemplazar los supuestos:</w:t>
      </w:r>
    </w:p>
    <w:p>
      <w:pPr>
        <w:pStyle w:val="ListParagraph"/>
        <w:numPr>
          <w:ilvl w:val="0"/>
          <w:numId w:val="2"/>
        </w:numPr>
        <w:spacing w:after="60" w:line="276"/>
      </w:pPr>
      <w:r>
        <w:rPr>
          <w:rFonts w:ascii="Calibri" w:cs="Calibri" w:eastAsia="Calibri" w:hAnsi="Calibri"/>
        </w:rPr>
        <w:t xml:space="preserve">Encuesta a empleadores de los grupos G1 a G9, con énfasis en agroindustria, gobiernos locales y proveedores tecnológicos: ¿tiene o piensa tener perfiles IoT?, ¿cuántos y en qué plazo?, competencias más demandadas y salarios de referencia.</w:t>
      </w:r>
    </w:p>
    <w:p>
      <w:pPr>
        <w:pStyle w:val="ListParagraph"/>
        <w:numPr>
          <w:ilvl w:val="0"/>
          <w:numId w:val="2"/>
        </w:numPr>
        <w:spacing w:after="60" w:line="276"/>
      </w:pPr>
      <w:r>
        <w:rPr>
          <w:rFonts w:ascii="Calibri" w:cs="Calibri" w:eastAsia="Calibri" w:hAnsi="Calibri"/>
        </w:rPr>
        <w:t xml:space="preserve">Encuesta a estudiantes de último año de bachillerato de la zona: interés en la carrera y tipo de bachillerato. La UTEQ puede sumar el dato de postulaciones por carrera de su Unidad de Admisión.</w:t>
      </w:r>
    </w:p>
    <w:p>
      <w:pPr>
        <w:pStyle w:val="ListParagraph"/>
        <w:numPr>
          <w:ilvl w:val="0"/>
          <w:numId w:val="2"/>
        </w:numPr>
        <w:spacing w:after="60" w:line="276"/>
      </w:pPr>
      <w:r>
        <w:rPr>
          <w:rFonts w:ascii="Calibri" w:cs="Calibri" w:eastAsia="Calibri" w:hAnsi="Calibri"/>
        </w:rPr>
        <w:t xml:space="preserve">Entrevistas a expertos y a graduados de Software, Telemática y Electricidad de la UTEQ.</w:t>
      </w:r>
    </w:p>
    <w:p>
      <w:pPr>
        <w:pStyle w:val="ListParagraph"/>
        <w:numPr>
          <w:ilvl w:val="0"/>
          <w:numId w:val="2"/>
        </w:numPr>
        <w:spacing w:after="60" w:line="276"/>
      </w:pPr>
      <w:r>
        <w:rPr>
          <w:rFonts w:ascii="Calibri" w:cs="Calibri" w:eastAsia="Calibri" w:hAnsi="Calibri"/>
        </w:rPr>
        <w:t xml:space="preserve">Revisión de ofertas de empleo publicadas para perfiles IoT, con fecha y fuente.</w:t>
      </w:r>
    </w:p>
    <w:p>
      <w:pPr>
        <w:spacing w:after="120" w:line="276"/>
        <w:jc w:val="both"/>
      </w:pPr>
      <w:r>
        <w:rPr>
          <w:rFonts w:ascii="Calibri" w:cs="Calibri" w:eastAsia="Calibri" w:hAnsi="Calibri"/>
          <w:b/>
          <w:bCs/>
        </w:rPr>
        <w:t xml:space="preserve">Muestra.</w:t>
      </w:r>
      <w:r>
        <w:rPr>
          <w:rFonts w:ascii="Calibri" w:cs="Calibri" w:eastAsia="Calibri" w:hAnsi="Calibri"/>
        </w:rPr>
        <w:t xml:space="preserve"> Para poblaciones finitas se propone n = N·z²·p·q / (e²·(N−1) + z²·p·q), con z = 1,96, p = q = 0,5 y error e entre 5 % y 8 %. Con las 3.691 empresas formales de G1 a G9 como población, el tamaño de muestra estaría entre unas 145 y 350 empresas. </w:t>
      </w:r>
      <w:r>
        <w:rPr>
          <w:rFonts w:ascii="Calibri" w:cs="Calibri" w:eastAsia="Calibri" w:hAnsi="Calibri"/>
          <w:highlight w:val="yellow"/>
          <w:highlightCs w:val="yellow"/>
        </w:rPr>
        <w:t xml:space="preserve">[Definir el marco muestral con el SRI y estratificar por grupo y cantón]</w:t>
      </w:r>
    </w:p>
    <w:p>
      <w:pPr>
        <w:pStyle w:val="Heading2"/>
      </w:pPr>
      <w:r>
        <w:rPr>
          <w:rFonts w:ascii="Calibri" w:cs="Calibri" w:eastAsia="Calibri" w:hAnsi="Calibri"/>
        </w:rPr>
        <w:t xml:space="preserve">4.13 Conclusión provisional</w:t>
      </w:r>
    </w:p>
    <w:p>
      <w:pPr>
        <w:spacing w:after="120" w:line="276"/>
        <w:jc w:val="both"/>
      </w:pPr>
      <w:r>
        <w:rPr>
          <w:rFonts w:ascii="Calibri" w:cs="Calibri" w:eastAsia="Calibri" w:hAnsi="Calibri"/>
        </w:rPr>
        <w:t xml:space="preserve">Con la evidencia disponible, la carrera es coherente con la política de transformación digital, llena un vacío en la oferta nacional y responde a brechas medibles de tecnificación en el sector que más pesa en Los Ríos. El dimensionamiento sugiere que una cohorte de 40 estudiantes equilibra la oferta y la demanda en el escenario base, con riesgo de sobreoferta si la adopción es baja. Su aprobación depende de tres cosas que este borrador no resuelve: la demanda ocupacional medida en el territorio, la oferta real de graduados TIC de la zona y la diferenciación frente a Telemática. </w:t>
      </w:r>
      <w:r>
        <w:rPr>
          <w:rFonts w:ascii="Calibri" w:cs="Calibri" w:eastAsia="Calibri" w:hAnsi="Calibri"/>
          <w:highlight w:val="yellow"/>
          <w:highlightCs w:val="yellow"/>
        </w:rPr>
        <w:t xml:space="preserve">[Reescribir esta sección cuando exista el trabajo de campo]</w:t>
      </w:r>
    </w:p>
    <w:p>
      <w:pPr>
        <w:pStyle w:val="Heading1"/>
        <w:pageBreakBefore/>
      </w:pPr>
      <w:r>
        <w:rPr>
          <w:rFonts w:ascii="Calibri" w:cs="Calibri" w:eastAsia="Calibri" w:hAnsi="Calibri"/>
        </w:rPr>
        <w:t xml:space="preserve">5. Justificación epistemológica</w:t>
      </w:r>
    </w:p>
    <w:p>
      <w:pPr>
        <w:pBdr>
          <w:left w:val="single" w:color="BF9000" w:sz="12" w:space="8"/>
        </w:pBdr>
        <w:spacing w:after="120"/>
        <w:ind w:left="200"/>
      </w:pPr>
      <w:r>
        <w:rPr>
          <w:rFonts w:ascii="Calibri" w:cs="Calibri" w:eastAsia="Calibri" w:hAnsi="Calibri"/>
          <w:i/>
          <w:iCs/>
          <w:sz w:val="20"/>
          <w:szCs w:val="20"/>
        </w:rPr>
        <w:t xml:space="preserve">El Art. 25 del RANT exige esta justificación solo si la denominación o la titulación no constan en el Anexo II vigente, y debe presentarse en el formato del Anexo III 2023, que no se pudo consultar. El contenido de abajo está listo para transponerse a ese formato.</w:t>
      </w:r>
    </w:p>
    <w:p>
      <w:pPr>
        <w:pStyle w:val="Heading2"/>
      </w:pPr>
      <w:r>
        <w:rPr>
          <w:rFonts w:ascii="Calibri" w:cs="Calibri" w:eastAsia="Calibri" w:hAnsi="Calibri"/>
        </w:rPr>
        <w:t xml:space="preserve">5.1 Objeto de estudio</w:t>
      </w:r>
    </w:p>
    <w:p>
      <w:pPr>
        <w:spacing w:after="120" w:line="276"/>
        <w:jc w:val="both"/>
      </w:pPr>
      <w:r>
        <w:rPr>
          <w:rFonts w:ascii="Calibri" w:cs="Calibri" w:eastAsia="Calibri" w:hAnsi="Calibri"/>
        </w:rPr>
        <w:t xml:space="preserve">El objeto de estudio es el diseño, la operación y el aseguramiento de sistemas donde objetos físicos, dotados de sensores, actuadores y capacidad de comunicación, se conectan entre sí y con plataformas de cómputo para observar y modificar el entorno. La Unión Internacional de Telecomunicaciones lo define como una infraestructura global que interconecta objetos físicos y virtuales mediante tecnologías de información y comunicación interoperables (Recomendación UIT-T Y.2060, 2012).</w:t>
      </w:r>
    </w:p>
    <w:p>
      <w:pPr>
        <w:pStyle w:val="Heading2"/>
      </w:pPr>
      <w:r>
        <w:rPr>
          <w:rFonts w:ascii="Calibri" w:cs="Calibri" w:eastAsia="Calibri" w:hAnsi="Calibri"/>
        </w:rPr>
        <w:t xml:space="preserve">5.2 Fundamentos teóricos y metodológicos</w:t>
      </w:r>
    </w:p>
    <w:p>
      <w:pPr>
        <w:pStyle w:val="ListParagraph"/>
        <w:numPr>
          <w:ilvl w:val="0"/>
          <w:numId w:val="2"/>
        </w:numPr>
        <w:spacing w:after="60" w:line="276"/>
      </w:pPr>
      <w:r>
        <w:rPr>
          <w:rFonts w:ascii="Calibri" w:cs="Calibri" w:eastAsia="Calibri" w:hAnsi="Calibri"/>
          <w:b/>
          <w:bCs/>
        </w:rPr>
        <w:t xml:space="preserve">Cibernética y teoría de sistemas.</w:t>
      </w:r>
      <w:r>
        <w:rPr>
          <w:rFonts w:ascii="Calibri" w:cs="Calibri" w:eastAsia="Calibri" w:hAnsi="Calibri"/>
        </w:rPr>
        <w:t xml:space="preserve"> El control y la comunicación en máquinas y organismos (Wiener, 1948) y la teoría general de sistemas (von Bertalanffy, 1968) explican los lazos de medición, decisión y actuación que gobiernan un sistema IoT.</w:t>
      </w:r>
    </w:p>
    <w:p>
      <w:pPr>
        <w:pStyle w:val="ListParagraph"/>
        <w:numPr>
          <w:ilvl w:val="0"/>
          <w:numId w:val="2"/>
        </w:numPr>
        <w:spacing w:after="60" w:line="276"/>
      </w:pPr>
      <w:r>
        <w:rPr>
          <w:rFonts w:ascii="Calibri" w:cs="Calibri" w:eastAsia="Calibri" w:hAnsi="Calibri"/>
          <w:b/>
          <w:bCs/>
        </w:rPr>
        <w:t xml:space="preserve">Computación ubicua.</w:t>
      </w:r>
      <w:r>
        <w:rPr>
          <w:rFonts w:ascii="Calibri" w:cs="Calibri" w:eastAsia="Calibri" w:hAnsi="Calibri"/>
        </w:rPr>
        <w:t xml:space="preserve"> La visión de una computación integrada en el entorno cotidiano (Weiser, 1991) es el antecedente conceptual directo del IoT. El término "Internet of Things" se atribuye a Kevin Ashton, en 1999 (Ashton, 2009).</w:t>
      </w:r>
    </w:p>
    <w:p>
      <w:pPr>
        <w:pStyle w:val="ListParagraph"/>
        <w:numPr>
          <w:ilvl w:val="0"/>
          <w:numId w:val="2"/>
        </w:numPr>
        <w:spacing w:after="60" w:line="276"/>
      </w:pPr>
      <w:r>
        <w:rPr>
          <w:rFonts w:ascii="Calibri" w:cs="Calibri" w:eastAsia="Calibri" w:hAnsi="Calibri"/>
          <w:b/>
          <w:bCs/>
        </w:rPr>
        <w:t xml:space="preserve">Sistemas ciberfísicos.</w:t>
      </w:r>
      <w:r>
        <w:rPr>
          <w:rFonts w:ascii="Calibri" w:cs="Calibri" w:eastAsia="Calibri" w:hAnsi="Calibri"/>
        </w:rPr>
        <w:t xml:space="preserve"> La integración de cómputo, redes y procesos físicos, con sus problemas de tiempo real y fiabilidad (Lee, 2008), aporta la base de ingeniería del diseño de dispositivos y control.</w:t>
      </w:r>
    </w:p>
    <w:p>
      <w:pPr>
        <w:pStyle w:val="ListParagraph"/>
        <w:numPr>
          <w:ilvl w:val="0"/>
          <w:numId w:val="2"/>
        </w:numPr>
        <w:spacing w:after="60" w:line="276"/>
      </w:pPr>
      <w:r>
        <w:rPr>
          <w:rFonts w:ascii="Calibri" w:cs="Calibri" w:eastAsia="Calibri" w:hAnsi="Calibri"/>
          <w:b/>
          <w:bCs/>
        </w:rPr>
        <w:t xml:space="preserve">Ingeniería de sistemas y de requisitos.</w:t>
      </w:r>
      <w:r>
        <w:rPr>
          <w:rFonts w:ascii="Calibri" w:cs="Calibri" w:eastAsia="Calibri" w:hAnsi="Calibri"/>
        </w:rPr>
        <w:t xml:space="preserve"> El diseño por capas (percepción, red, plataforma, aplicación) y la ingeniería de requisitos ordenan el trabajo de un proyecto IoT completo.</w:t>
      </w:r>
    </w:p>
    <w:p>
      <w:pPr>
        <w:pStyle w:val="ListParagraph"/>
        <w:numPr>
          <w:ilvl w:val="0"/>
          <w:numId w:val="2"/>
        </w:numPr>
        <w:spacing w:after="60" w:line="276"/>
      </w:pPr>
      <w:r>
        <w:rPr>
          <w:rFonts w:ascii="Calibri" w:cs="Calibri" w:eastAsia="Calibri" w:hAnsi="Calibri"/>
          <w:b/>
          <w:bCs/>
        </w:rPr>
        <w:t xml:space="preserve">Ciencia de datos.</w:t>
      </w:r>
      <w:r>
        <w:rPr>
          <w:rFonts w:ascii="Calibri" w:cs="Calibri" w:eastAsia="Calibri" w:hAnsi="Calibri"/>
        </w:rPr>
        <w:t xml:space="preserve"> El tratamiento de series temporales y el aprendizaje automático, incluso en dispositivos de recursos limitados, convierten los datos de sensores en decisiones.</w:t>
      </w:r>
    </w:p>
    <w:p>
      <w:pPr>
        <w:pStyle w:val="Heading2"/>
      </w:pPr>
      <w:r>
        <w:rPr>
          <w:rFonts w:ascii="Calibri" w:cs="Calibri" w:eastAsia="Calibri" w:hAnsi="Calibri"/>
        </w:rPr>
        <w:t xml:space="preserve">5.3 Ubicación en los campos del conocimiento</w:t>
      </w:r>
    </w:p>
    <w:p>
      <w:pPr>
        <w:spacing w:after="120" w:line="276"/>
        <w:jc w:val="both"/>
      </w:pPr>
      <w:r>
        <w:rPr>
          <w:rFonts w:ascii="Calibri" w:cs="Calibri" w:eastAsia="Calibri" w:hAnsi="Calibri"/>
        </w:rPr>
        <w:t xml:space="preserve">El RANT toma como referencia la Clasificación Internacional Normalizada de la Educación (CINE 2013). Su Anexo I 2023 define, entre otros, estos campos detallados relevantes para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 amplio</w:t>
            </w:r>
          </w:p>
        </w:tc>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 específico</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 detallado (código)</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06 Tecnologías de la información y la comunicación (TIC)</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 Tecnologías de la información y la comunicación</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 Ciencias computacionales (0611); 2 Diseño y administración de redes y bases de datos (0612); 3 Desarrollo y análisis de software y aplicaciones (0613); 81 Sistemas de información; 82 Auditoría de tecnologías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07 Ingeniería, industria y construcción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 Ingeniería y profesiones afines</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4 Electrónica, automatización y sonido (0714); 82 Mecatrónica (0782); 84 Telecomunicaciones (0784)</w:t>
            </w:r>
          </w:p>
        </w:tc>
      </w:tr>
    </w:tbl>
    <w:p>
      <w:pPr>
        <w:spacing w:after="120"/>
      </w:pPr>
    </w:p>
    <w:p>
      <w:pPr>
        <w:spacing w:after="120" w:line="276"/>
        <w:jc w:val="both"/>
      </w:pPr>
      <w:r>
        <w:rPr>
          <w:rFonts w:ascii="Calibri" w:cs="Calibri" w:eastAsia="Calibri" w:hAnsi="Calibri"/>
        </w:rPr>
        <w:t xml:space="preserve">El Art. 17 del RANT dice que en una carrera interdisciplinaria el campo amplio lo determina el tema principal, medido por créditos. El Art. 20 dice que si una carrera cubre dos o más campos detallados se clasifica en el de mayor número de créditos. Con la malla propuesta, los créditos disciplinares se reparten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26"/>
        <w:gridCol w:w="1400"/>
        <w:gridCol w:w="2000"/>
      </w:tblGrid>
      <w:tr>
        <w:trPr>
          <w:tblHeader/>
        </w:trPr>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Código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Campo detallado</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Créditos</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 de los créditos disciplinares</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0611</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Ciencias computacionales (06/1/1)</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26,3 %</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0612</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Diseño y administración de redes y bases de datos (06/1/2)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22,5 %</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0613</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Desarrollo y análisis de software y aplicaciones (06/1/3)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13,8 %</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0714</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Electrónica, automatización y sonido (07/1/4)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37,5 %</w:t>
            </w:r>
          </w:p>
        </w:tc>
      </w:tr>
      <w:tr>
        <w:trPr>
          <w:cantSplit/>
        </w:trPr>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06</w:t>
            </w:r>
          </w:p>
        </w:tc>
        <w:tc>
          <w:tcPr>
            <w:tcW w:type="dxa" w:w="46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Subtotal TIC (0611 + 0612 + 0613)</w:t>
            </w:r>
          </w:p>
        </w:tc>
        <w:tc>
          <w:tcPr>
            <w:tcW w:type="dxa" w:w="14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50</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62,5 %</w:t>
            </w:r>
          </w:p>
        </w:tc>
      </w:tr>
    </w:tbl>
    <w:p>
      <w:pPr>
        <w:spacing w:after="120"/>
      </w:pPr>
    </w:p>
    <w:p>
      <w:pPr>
        <w:spacing w:after="120" w:line="276"/>
        <w:jc w:val="both"/>
      </w:pPr>
      <w:r>
        <w:rPr>
          <w:rFonts w:ascii="Calibri" w:cs="Calibri" w:eastAsia="Calibri" w:hAnsi="Calibri"/>
        </w:rPr>
        <w:t xml:space="preserve">Se cuentan solo las asignaturas con contenido disciplinar (80 de 136 créditos); quedan fuera las ciencias básicas, la gestión, las optativas, las prácticas y la titulación.</w:t>
      </w:r>
    </w:p>
    <w:p>
      <w:pPr>
        <w:spacing w:after="120" w:line="276"/>
        <w:jc w:val="both"/>
      </w:pPr>
      <w:r>
        <w:rPr>
          <w:rFonts w:ascii="Calibri" w:cs="Calibri" w:eastAsia="Calibri" w:hAnsi="Calibri"/>
          <w:b/>
          <w:bCs/>
        </w:rPr>
        <w:t xml:space="preserve">Propuesta.</w:t>
      </w:r>
      <w:r>
        <w:rPr>
          <w:rFonts w:ascii="Calibri" w:cs="Calibri" w:eastAsia="Calibri" w:hAnsi="Calibri"/>
        </w:rPr>
        <w:t xml:space="preserve"> Clasificar la carrera en el campo amplio 06 (TIC), campo específico 1 y campo detallado 1, Ciencias computacionales (0611). Tres razones: el subtotal TIC (50 créditos) supera a la electrónica (30), por lo que la regla del tema principal del Art. 17 lleva al campo amplio 06; dentro de TIC, 0611 es el detallado con más créditos (21); y el Anexo II del RANT que se pudo consultar ya ubica el título de Técnico/a Superior en Internet de las Cosas en el campo detallado de Ciencias computacionales.</w:t>
      </w:r>
    </w:p>
    <w:p>
      <w:pPr>
        <w:pBdr>
          <w:left w:val="single" w:color="BF9000" w:sz="12" w:space="8"/>
        </w:pBdr>
        <w:spacing w:after="120"/>
        <w:ind w:left="200"/>
      </w:pPr>
      <w:r>
        <w:rPr>
          <w:rFonts w:ascii="Calibri" w:cs="Calibri" w:eastAsia="Calibri" w:hAnsi="Calibri"/>
          <w:b/>
          <w:bCs/>
          <w:i/>
          <w:iCs/>
          <w:sz w:val="20"/>
          <w:szCs w:val="20"/>
        </w:rPr>
        <w:t xml:space="preserve">Riesgo.</w:t>
      </w:r>
      <w:r>
        <w:rPr>
          <w:rFonts w:ascii="Calibri" w:cs="Calibri" w:eastAsia="Calibri" w:hAnsi="Calibri"/>
          <w:i/>
          <w:iCs/>
          <w:sz w:val="20"/>
          <w:szCs w:val="20"/>
        </w:rPr>
        <w:t xml:space="preserve"> Si el CES lee el Art. 20 solo, sin pasar antes por el Art. 17, el detallado con más créditos de la malla es Electrónica, automatización y sonido (0714, 30 créditos), que cae en el campo amplio 07. Hay tres salidas: consultar por escrito a la Coordinación de Planificación Académica del CES antes de presentar; reequilibrar la malla para que 0611 iguale o supere a 0714; o clasificar en 0714 y aceptar el campo amplio de ingeniería. </w:t>
      </w:r>
      <w:r>
        <w:rPr>
          <w:rFonts w:ascii="Calibri" w:cs="Calibri" w:eastAsia="Calibri" w:hAnsi="Calibri"/>
          <w:i/>
          <w:iCs/>
          <w:sz w:val="20"/>
          <w:szCs w:val="20"/>
          <w:highlight w:val="yellow"/>
          <w:highlightCs w:val="yellow"/>
        </w:rPr>
        <w:t xml:space="preserve">[Decidir con el equipo de diseño y el CES]</w:t>
      </w:r>
    </w:p>
    <w:p>
      <w:pPr>
        <w:pStyle w:val="Heading2"/>
      </w:pPr>
      <w:r>
        <w:rPr>
          <w:rFonts w:ascii="Calibri" w:cs="Calibri" w:eastAsia="Calibri" w:hAnsi="Calibri"/>
        </w:rPr>
        <w:t xml:space="preserve">5.4 Diferenciación frente a carreras cercanas</w:t>
      </w:r>
    </w:p>
    <w:p>
      <w:pPr>
        <w:spacing w:after="120" w:line="276"/>
        <w:jc w:val="both"/>
      </w:pPr>
      <w:r>
        <w:rPr>
          <w:rFonts w:ascii="Calibri" w:cs="Calibri" w:eastAsia="Calibri" w:hAnsi="Calibri"/>
        </w:rPr>
        <w:t xml:space="preserve">Frente a Software, IoT añade el hardware, la conectividad y la operación sobre el mundo físico (§3.3). Frente a Telemática, añade el diseño de dispositivos, los sistemas embebidos propios y la analítica en el borde, sin equivalente en su malla vigente (comparación en §4.7). Frente a Electricidad, se centra en la comunicación y el cómputo, no en la energía.</w:t>
      </w:r>
    </w:p>
    <w:p>
      <w:pPr>
        <w:pStyle w:val="Heading2"/>
      </w:pPr>
      <w:r>
        <w:rPr>
          <w:rFonts w:ascii="Calibri" w:cs="Calibri" w:eastAsia="Calibri" w:hAnsi="Calibri"/>
        </w:rPr>
        <w:t xml:space="preserve">5.5 Denominación y título</w:t>
      </w:r>
    </w:p>
    <w:p>
      <w:pPr>
        <w:spacing w:after="120" w:line="276"/>
        <w:jc w:val="both"/>
      </w:pPr>
      <w:r>
        <w:rPr>
          <w:rFonts w:ascii="Calibri" w:cs="Calibri" w:eastAsia="Calibri" w:hAnsi="Calibri"/>
        </w:rPr>
        <w:t xml:space="preserve">Se propone "Ingeniería en Internet de las Cosas" con el título de "Ingeniero/a en Internet de las Cosas" (Art. 7 del RANT). Se evita la sigla inglesa IoT en la denominación oficial. El RANT permite anglicismos reconocidos en castellano (Disposición General Cuarta), pero la forma en castellano no exige argumentar ese punto.</w:t>
      </w:r>
    </w:p>
    <w:p>
      <w:pPr>
        <w:spacing w:after="120" w:line="276"/>
        <w:jc w:val="both"/>
      </w:pPr>
      <w:r>
        <w:rPr>
          <w:rFonts w:ascii="Calibri" w:cs="Calibri" w:eastAsia="Calibri" w:hAnsi="Calibri"/>
          <w:b/>
          <w:bCs/>
        </w:rPr>
        <w:t xml:space="preserve">Estado en el Anexo II.</w:t>
      </w:r>
      <w:r>
        <w:rPr>
          <w:rFonts w:ascii="Calibri" w:cs="Calibri" w:eastAsia="Calibri" w:hAnsi="Calibri"/>
        </w:rPr>
        <w:t xml:space="preserve"> La copia del Anexo II 2023 que se pudo consultar, actualizada hasta el 15 de marzo de 2023, incluye "Técnico/a Superior en Internet de las Cosas" pero no un título de ingeniería de grado con ese nombre. La UEES Online cita una aprobación posterior (RPC-SO-26-No.428-2023) para "Ingeniero en Internet de las Cosas", lo que sugiere que el título se incorporó después de esa fecha, ya que el CES actualiza el anexo cuando aprueba nuevas denominaciones (Disposición General Quinta del RANT). Se debe verificar el Anexo II vigente:</w:t>
      </w:r>
    </w:p>
    <w:p>
      <w:pPr>
        <w:pStyle w:val="ListParagraph"/>
        <w:numPr>
          <w:ilvl w:val="0"/>
          <w:numId w:val="2"/>
        </w:numPr>
        <w:spacing w:after="60" w:line="276"/>
      </w:pPr>
      <w:r>
        <w:rPr>
          <w:rFonts w:ascii="Calibri" w:cs="Calibri" w:eastAsia="Calibri" w:hAnsi="Calibri"/>
        </w:rPr>
        <w:t xml:space="preserve">Si el título ya consta, se adopta con esa redacción exacta y no hace falta justificación epistemológica.</w:t>
      </w:r>
    </w:p>
    <w:p>
      <w:pPr>
        <w:pStyle w:val="ListParagraph"/>
        <w:numPr>
          <w:ilvl w:val="0"/>
          <w:numId w:val="2"/>
        </w:numPr>
        <w:spacing w:after="60" w:line="276"/>
      </w:pPr>
      <w:r>
        <w:rPr>
          <w:rFonts w:ascii="Calibri" w:cs="Calibri" w:eastAsia="Calibri" w:hAnsi="Calibri"/>
        </w:rPr>
        <w:t xml:space="preserve">Si no consta, se presenta esta justificación (5.1 a 5.4) en el formato del Anexo III 2023.</w:t>
      </w:r>
    </w:p>
    <w:p>
      <w:pPr>
        <w:pStyle w:val="Heading2"/>
      </w:pPr>
      <w:r>
        <w:rPr>
          <w:rFonts w:ascii="Calibri" w:cs="Calibri" w:eastAsia="Calibri" w:hAnsi="Calibri"/>
        </w:rPr>
        <w:t xml:space="preserve">5.6 Referencias de esta sección</w:t>
      </w:r>
    </w:p>
    <w:p>
      <w:pPr>
        <w:pStyle w:val="ListParagraph"/>
        <w:numPr>
          <w:ilvl w:val="0"/>
          <w:numId w:val="2"/>
        </w:numPr>
        <w:spacing w:after="60" w:line="276"/>
      </w:pPr>
      <w:r>
        <w:rPr>
          <w:rFonts w:ascii="Calibri" w:cs="Calibri" w:eastAsia="Calibri" w:hAnsi="Calibri"/>
        </w:rPr>
        <w:t xml:space="preserve">Ashton, K. (2009). That "Internet of Things" thing. RFID Journal.</w:t>
      </w:r>
    </w:p>
    <w:p>
      <w:pPr>
        <w:pStyle w:val="ListParagraph"/>
        <w:numPr>
          <w:ilvl w:val="0"/>
          <w:numId w:val="2"/>
        </w:numPr>
        <w:spacing w:after="60" w:line="276"/>
      </w:pPr>
      <w:r>
        <w:rPr>
          <w:rFonts w:ascii="Calibri" w:cs="Calibri" w:eastAsia="Calibri" w:hAnsi="Calibri"/>
        </w:rPr>
        <w:t xml:space="preserve">Lee, E. A. (2008). Cyber physical systems: design challenges. 11th IEEE International Symposium on Object and Component-Oriented Real-Time Distributed Computing.</w:t>
      </w:r>
    </w:p>
    <w:p>
      <w:pPr>
        <w:pStyle w:val="ListParagraph"/>
        <w:numPr>
          <w:ilvl w:val="0"/>
          <w:numId w:val="2"/>
        </w:numPr>
        <w:spacing w:after="60" w:line="276"/>
      </w:pPr>
      <w:r>
        <w:rPr>
          <w:rFonts w:ascii="Calibri" w:cs="Calibri" w:eastAsia="Calibri" w:hAnsi="Calibri"/>
        </w:rPr>
        <w:t xml:space="preserve">UIT-T (2012). Recomendación Y.2060: Visión general de la Internet de las cosas.</w:t>
      </w:r>
    </w:p>
    <w:p>
      <w:pPr>
        <w:pStyle w:val="ListParagraph"/>
        <w:numPr>
          <w:ilvl w:val="0"/>
          <w:numId w:val="2"/>
        </w:numPr>
        <w:spacing w:after="60" w:line="276"/>
      </w:pPr>
      <w:r>
        <w:rPr>
          <w:rFonts w:ascii="Calibri" w:cs="Calibri" w:eastAsia="Calibri" w:hAnsi="Calibri"/>
        </w:rPr>
        <w:t xml:space="preserve">von Bertalanffy, L. (1968). General System Theory: Foundations, Development, Applications. New York: George Braziller.</w:t>
      </w:r>
    </w:p>
    <w:p>
      <w:pPr>
        <w:pStyle w:val="ListParagraph"/>
        <w:numPr>
          <w:ilvl w:val="0"/>
          <w:numId w:val="2"/>
        </w:numPr>
        <w:spacing w:after="60" w:line="276"/>
      </w:pPr>
      <w:r>
        <w:rPr>
          <w:rFonts w:ascii="Calibri" w:cs="Calibri" w:eastAsia="Calibri" w:hAnsi="Calibri"/>
        </w:rPr>
        <w:t xml:space="preserve">Weiser, M. (1991). The computer for the 21st century. Scientific American, 265(3).</w:t>
      </w:r>
    </w:p>
    <w:p>
      <w:pPr>
        <w:pStyle w:val="ListParagraph"/>
        <w:numPr>
          <w:ilvl w:val="0"/>
          <w:numId w:val="2"/>
        </w:numPr>
        <w:spacing w:after="60" w:line="276"/>
      </w:pPr>
      <w:r>
        <w:rPr>
          <w:rFonts w:ascii="Calibri" w:cs="Calibri" w:eastAsia="Calibri" w:hAnsi="Calibri"/>
        </w:rPr>
        <w:t xml:space="preserve">Wiener, N. (1948). Cybernetics: Or Control and Communication in the Animal and the Machine. New York: John Wiley &amp; Sons.</w:t>
      </w:r>
    </w:p>
    <w:p>
      <w:pPr>
        <w:pBdr>
          <w:left w:val="single" w:color="BF9000" w:sz="12" w:space="8"/>
        </w:pBdr>
        <w:spacing w:after="120"/>
        <w:ind w:left="200"/>
      </w:pPr>
      <w:r>
        <w:rPr>
          <w:rFonts w:ascii="Calibri" w:cs="Calibri" w:eastAsia="Calibri" w:hAnsi="Calibri"/>
          <w:i/>
          <w:iCs/>
          <w:sz w:val="20"/>
          <w:szCs w:val="20"/>
        </w:rPr>
        <w:t xml:space="preserve">Las referencias de Ashton, Lee, UIT-T, von Bertalanffy, Weiser y Wiener corresponden a las ediciones y datos bibliográficos de uso más común citados en la literatura sobre IoT y cibernética; no se verificó cada una contra su edición física u original.</w:t>
      </w:r>
    </w:p>
    <w:p>
      <w:pPr>
        <w:pStyle w:val="Heading1"/>
        <w:pageBreakBefore/>
      </w:pPr>
      <w:r>
        <w:rPr>
          <w:rFonts w:ascii="Calibri" w:cs="Calibri" w:eastAsia="Calibri" w:hAnsi="Calibri"/>
        </w:rPr>
        <w:t xml:space="preserve">6. Malla curricular</w:t>
      </w:r>
    </w:p>
    <w:p>
      <w:pPr>
        <w:pStyle w:val="Heading2"/>
      </w:pPr>
      <w:r>
        <w:rPr>
          <w:rFonts w:ascii="Calibri" w:cs="Calibri" w:eastAsia="Calibri" w:hAnsi="Calibri"/>
        </w:rPr>
        <w:t xml:space="preserve">6.1 Verificación de parámetros normativos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626"/>
        <w:gridCol w:w="1700"/>
      </w:tblGrid>
      <w:tr>
        <w:trPr>
          <w:tblHeader/>
        </w:trPr>
        <w:tc>
          <w:tcPr>
            <w:tcW w:type="dxa" w:w="2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Parámetro</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Exigencia</w:t>
            </w:r>
          </w:p>
        </w:tc>
        <w:tc>
          <w:tcPr>
            <w:tcW w:type="dxa" w:w="2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Malla propuesta</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Cumple</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totales (Art. 15 RRA)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120 a 150</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136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Equivalencia (Art. 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 crédito = 48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6.528 h en total</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Períodos por año (Art. 10)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 menos 2</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 (8 períodos en 4 años)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Dedicación semanal (Art. 10)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Promedio de 45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816 h por período = 18,1 semanas a 45 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 cabe en el período de 20 semanas que la UTEQ aplicará desde 2026, con margen para evaluaciones</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Prácticas laborales (Art.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 240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288 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Servicio comunitario (Art.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 60 h</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96 h</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Tope de prácticas (Art. 43)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Máximo 10 % de las horas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5,9 %</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Contacto con el docente (Arts. 55 y 56)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 menos 16 h por crédito</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Mínimo 16,3 h por crédito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Interacción directa en modalidad presencial (Art. 55)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Al menos 51 % de los créditos</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58,0 % (contacto más práctico-experimental, sin prácticas preprofesionales)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titulación (Art. 26)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Incluidos en el total</w:t>
            </w:r>
          </w:p>
        </w:tc>
        <w:tc>
          <w:tcPr>
            <w:tcW w:type="dxa" w:w="2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10 créditos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Sí</w:t>
            </w:r>
          </w:p>
        </w:tc>
      </w:tr>
    </w:tbl>
    <w:p>
      <w:pPr>
        <w:spacing w:after="120"/>
      </w:pPr>
    </w:p>
    <w:p>
      <w:pPr>
        <w:pBdr>
          <w:left w:val="single" w:color="BF9000" w:sz="12" w:space="8"/>
        </w:pBdr>
        <w:spacing w:after="120"/>
        <w:ind w:left="200"/>
      </w:pPr>
      <w:r>
        <w:rPr>
          <w:rFonts w:ascii="Calibri" w:cs="Calibri" w:eastAsia="Calibri" w:hAnsi="Calibri"/>
          <w:i/>
          <w:iCs/>
          <w:sz w:val="20"/>
          <w:szCs w:val="20"/>
        </w:rPr>
        <w:t xml:space="preserve">La distribución de horas por componente es una hipótesis de diseño: 40 % contacto y 15 % práctico en asignaturas teóricas; 34 % y 32 % en las de laboratorio; 100 % práctico en las prácticas preprofesionales. Debe ajustarse asignatura por asignatura con el cuerpo docente.</w:t>
      </w:r>
    </w:p>
    <w:p>
      <w:pPr>
        <w:pStyle w:val="Heading2"/>
      </w:pPr>
      <w:r>
        <w:rPr>
          <w:rFonts w:ascii="Calibri" w:cs="Calibri" w:eastAsia="Calibri" w:hAnsi="Calibri"/>
        </w:rPr>
        <w:t xml:space="preserve">6.2 Malla por período</w:t>
      </w:r>
    </w:p>
    <w:p>
      <w:pPr>
        <w:pStyle w:val="Heading3"/>
      </w:pPr>
      <w:r>
        <w:rPr>
          <w:rFonts w:ascii="Calibri" w:cs="Calibri" w:eastAsia="Calibri" w:hAnsi="Calibri"/>
        </w:rPr>
        <w:t xml:space="preserve">Período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Cálculo diferencial e integral</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Álgebra lineal y matemática discreta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Fundamentos de programación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Física para ingeniería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Comunicación académica y técnicas de estudio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1.6</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Introducción a la ingeniería del Internet de las Cosas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315</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155</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346</w:t>
            </w:r>
          </w:p>
        </w:tc>
      </w:tr>
    </w:tbl>
    <w:p>
      <w:pPr>
        <w:spacing w:after="120"/>
      </w:pPr>
    </w:p>
    <w:p>
      <w:pPr>
        <w:pStyle w:val="Heading3"/>
      </w:pPr>
      <w:r>
        <w:rPr>
          <w:rFonts w:ascii="Calibri" w:cs="Calibri" w:eastAsia="Calibri" w:hAnsi="Calibri"/>
        </w:rPr>
        <w:t xml:space="preserve">Período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Cálculo multivariable y ecuaciones diferenciales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Programación orientada a objetos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Circuitos eléctricos y electrónica analógica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Probabilidad y estadística</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Sistemas digitales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295</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212</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309</w:t>
            </w:r>
          </w:p>
        </w:tc>
      </w:tr>
    </w:tbl>
    <w:p>
      <w:pPr>
        <w:spacing w:after="120"/>
      </w:pPr>
    </w:p>
    <w:p>
      <w:pPr>
        <w:pStyle w:val="Heading3"/>
      </w:pPr>
      <w:r>
        <w:rPr>
          <w:rFonts w:ascii="Calibri" w:cs="Calibri" w:eastAsia="Calibri" w:hAnsi="Calibri"/>
        </w:rPr>
        <w:t xml:space="preserve">Período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Estructuras de datos y algoritmos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Electrónica digital y microcontroladores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Redes de computadoras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Señales y sistemas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Ética profesional y responsabilidad social</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291</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219</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306</w:t>
            </w:r>
          </w:p>
        </w:tc>
      </w:tr>
    </w:tbl>
    <w:p>
      <w:pPr>
        <w:spacing w:after="120"/>
      </w:pPr>
    </w:p>
    <w:p>
      <w:pPr>
        <w:pStyle w:val="Heading3"/>
      </w:pPr>
      <w:r>
        <w:rPr>
          <w:rFonts w:ascii="Calibri" w:cs="Calibri" w:eastAsia="Calibri" w:hAnsi="Calibri"/>
        </w:rPr>
        <w:t xml:space="preserve">Período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Sistemas embebidos y programación de firmware</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Sensores, actuadores e instrumentación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Bases de datos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Protocolos y arquitecturas de IoT</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4.5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de servicio comunitario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244</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325</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247</w:t>
            </w:r>
          </w:p>
        </w:tc>
      </w:tr>
    </w:tbl>
    <w:p>
      <w:pPr>
        <w:spacing w:after="120"/>
      </w:pPr>
    </w:p>
    <w:p>
      <w:pPr>
        <w:pStyle w:val="Heading3"/>
      </w:pPr>
      <w:r>
        <w:rPr>
          <w:rFonts w:ascii="Calibri" w:cs="Calibri" w:eastAsia="Calibri" w:hAnsi="Calibri"/>
        </w:rPr>
        <w:t xml:space="preserve">Período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Comunicaciones inalámbricas y redes de sensores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Plataformas en la nube y computación en el borde</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Ciberseguridad y privacidad en IoT</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Ciencia de datos y series temporales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5.5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Ingeniería de software y de requisitos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286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236</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294</w:t>
            </w:r>
          </w:p>
        </w:tc>
      </w:tr>
    </w:tbl>
    <w:p>
      <w:pPr>
        <w:spacing w:after="120"/>
      </w:pPr>
    </w:p>
    <w:p>
      <w:pPr>
        <w:pStyle w:val="Heading3"/>
      </w:pPr>
      <w:r>
        <w:rPr>
          <w:rFonts w:ascii="Calibri" w:cs="Calibri" w:eastAsia="Calibri" w:hAnsi="Calibri"/>
        </w:rPr>
        <w:t xml:space="preserve">Período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Inteligencia artificial en el borde (TinyML)</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Sistemas ciberfísicos, control y automatización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Diseño de hardware y placas de circuito impreso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66</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Gestión de proyectos y emprendimiento tecnológico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6.5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Metodología de la investigación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291</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219</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306</w:t>
            </w:r>
          </w:p>
        </w:tc>
      </w:tr>
    </w:tbl>
    <w:p>
      <w:pPr>
        <w:spacing w:after="120"/>
      </w:pPr>
    </w:p>
    <w:p>
      <w:pPr>
        <w:pStyle w:val="Heading3"/>
      </w:pPr>
      <w:r>
        <w:rPr>
          <w:rFonts w:ascii="Calibri" w:cs="Calibri" w:eastAsia="Calibri" w:hAnsi="Calibri"/>
        </w:rPr>
        <w:t xml:space="preserve">Período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Aplicaciones de monitoreo y mando IoT, arquitectura y despliegue</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Gemelos digitales y simulación</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 I (itinerario)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 II (itinerario)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7.5</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preprofesionales laborales I</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7.6</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Desarrollo de titulación I</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15</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48</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229</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343</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244</w:t>
            </w:r>
          </w:p>
        </w:tc>
      </w:tr>
    </w:tbl>
    <w:p>
      <w:pPr>
        <w:spacing w:after="120"/>
      </w:pPr>
    </w:p>
    <w:p>
      <w:pPr>
        <w:pStyle w:val="Heading3"/>
      </w:pPr>
      <w:r>
        <w:rPr>
          <w:rFonts w:ascii="Calibri" w:cs="Calibri" w:eastAsia="Calibri" w:hAnsi="Calibri"/>
        </w:rPr>
        <w:t xml:space="preserve">Período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26"/>
        <w:gridCol w:w="700"/>
        <w:gridCol w:w="800"/>
        <w:gridCol w:w="1000"/>
        <w:gridCol w:w="1000"/>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Cód.</w:t>
            </w:r>
          </w:p>
        </w:tc>
        <w:tc>
          <w:tcPr>
            <w:tcW w:type="dxa" w:w="3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Asignatura</w:t>
            </w:r>
          </w:p>
        </w:tc>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Contacto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Práctico</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Autónomo</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8.1</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Optativa III (itinerario)</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46</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8.2</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Prácticas preprofesionales laborales II</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0</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8.3</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Desarrollo de titulación II (trabajo de integración curricular)</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8</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384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131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192</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8.4</w:t>
            </w:r>
          </w:p>
        </w:tc>
        <w:tc>
          <w:tcPr>
            <w:tcW w:type="dxa" w:w="3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Legislación TIC y protección de datos personales</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3</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144</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58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64</w:t>
            </w:r>
          </w:p>
        </w:tc>
      </w:tr>
      <w:tr>
        <w:trPr>
          <w:cantSplit/>
        </w:trPr>
        <w:tc>
          <w:tcPr>
            <w:tcW w:type="dxa" w:w="6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p>
        </w:tc>
        <w:tc>
          <w:tcPr>
            <w:tcW w:type="dxa" w:w="38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 del período</w:t>
            </w:r>
          </w:p>
        </w:tc>
        <w:tc>
          <w:tcPr>
            <w:tcW w:type="dxa" w:w="7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17</w:t>
            </w:r>
          </w:p>
        </w:tc>
        <w:tc>
          <w:tcPr>
            <w:tcW w:type="dxa" w:w="8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816</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238</w:t>
            </w:r>
          </w:p>
        </w:tc>
        <w:tc>
          <w:tcPr>
            <w:tcW w:type="dxa" w:w="1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273</w:t>
            </w:r>
          </w:p>
        </w:tc>
        <w:tc>
          <w:tcPr>
            <w:tcW w:type="dxa" w:w="11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305</w:t>
            </w:r>
          </w:p>
        </w:tc>
      </w:tr>
    </w:tbl>
    <w:p>
      <w:pPr>
        <w:spacing w:after="120"/>
      </w:pPr>
    </w:p>
    <w:p>
      <w:pPr>
        <w:pStyle w:val="Heading3"/>
      </w:pPr>
      <w:r>
        <w:rPr>
          <w:rFonts w:ascii="Calibri" w:cs="Calibri" w:eastAsia="Calibri" w:hAnsi="Calibri"/>
        </w:rPr>
        <w:t xml:space="preserve">Total de la carrera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Créditos</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Horas</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Aprendizaje en contacto con el docente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45,6</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2.189</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Aprendizaje práctico-experimental</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41,3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1.982</w:t>
            </w:r>
          </w:p>
        </w:tc>
      </w:tr>
      <w:tr>
        <w:trPr>
          <w:cantSplit/>
        </w:trPr>
        <w:tc>
          <w:tcPr>
            <w:tcW w:type="dxa" w:w="50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Aprendizaje autónomo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49,1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b w:val="false"/>
                <w:bCs w:val="false"/>
                <w:sz w:val="19"/>
                <w:szCs w:val="19"/>
              </w:rPr>
              <w:t xml:space="preserve">2.357</w:t>
            </w:r>
          </w:p>
        </w:tc>
      </w:tr>
      <w:tr>
        <w:trPr>
          <w:cantSplit/>
        </w:trPr>
        <w:tc>
          <w:tcPr>
            <w:tcW w:type="dxa" w:w="5026"/>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left"/>
            </w:pPr>
            <w:r>
              <w:rPr>
                <w:rFonts w:ascii="Calibri" w:cs="Calibri" w:eastAsia="Calibri" w:hAnsi="Calibri"/>
                <w:b/>
                <w:bCs/>
                <w:sz w:val="19"/>
                <w:szCs w:val="19"/>
              </w:rPr>
              <w:t xml:space="preserve">Total</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136</w:t>
            </w:r>
          </w:p>
        </w:tc>
        <w:tc>
          <w:tcPr>
            <w:tcW w:type="dxa" w:w="2000"/>
            <w:tcBorders>
              <w:top w:val="single" w:color="A6A6A6" w:sz="4"/>
              <w:left w:val="single" w:color="A6A6A6" w:sz="4"/>
              <w:bottom w:val="single" w:color="A6A6A6" w:sz="4"/>
              <w:right w:val="single" w:color="A6A6A6" w:sz="4"/>
            </w:tcBorders>
            <w:shd w:fill="DEEAF6" w:color="auto" w:val="clear"/>
            <w:tcMar>
              <w:top w:type="dxa" w:w="50"/>
              <w:left w:type="dxa" w:w="90"/>
              <w:bottom w:type="dxa" w:w="50"/>
              <w:right w:type="dxa" w:w="90"/>
            </w:tcMar>
          </w:tcPr>
          <w:p>
            <w:pPr>
              <w:jc w:val="center"/>
            </w:pPr>
            <w:r>
              <w:rPr>
                <w:rFonts w:ascii="Calibri" w:cs="Calibri" w:eastAsia="Calibri" w:hAnsi="Calibri"/>
                <w:b/>
                <w:bCs/>
                <w:sz w:val="19"/>
                <w:szCs w:val="19"/>
              </w:rPr>
              <w:t xml:space="preserve">6.528</w:t>
            </w:r>
          </w:p>
        </w:tc>
      </w:tr>
    </w:tbl>
    <w:p>
      <w:pPr>
        <w:spacing w:after="120"/>
      </w:pPr>
    </w:p>
    <w:p>
      <w:pPr>
        <w:pBdr>
          <w:left w:val="single" w:color="BF9000" w:sz="12" w:space="8"/>
        </w:pBdr>
        <w:spacing w:after="120"/>
        <w:ind w:left="200"/>
      </w:pPr>
      <w:r>
        <w:rPr>
          <w:rFonts w:ascii="Calibri" w:cs="Calibri" w:eastAsia="Calibri" w:hAnsi="Calibri"/>
          <w:i/>
          <w:iCs/>
          <w:sz w:val="20"/>
          <w:szCs w:val="20"/>
        </w:rPr>
        <w:t xml:space="preserve">Faltan por definir: los prerrequisitos y correquisitos, los códigos institucionales, los sílabos y los resultados de aprendizaje por asignatura. Son parte del expediente curricular, no de los campos de la plataforma.</w:t>
      </w:r>
    </w:p>
    <w:p>
      <w:pPr>
        <w:pStyle w:val="Heading2"/>
      </w:pPr>
      <w:r>
        <w:rPr>
          <w:rFonts w:ascii="Calibri" w:cs="Calibri" w:eastAsia="Calibri" w:hAnsi="Calibri"/>
        </w:rPr>
        <w:t xml:space="preserve">6.3 Optativas por itinerario</w:t>
      </w:r>
    </w:p>
    <w:p>
      <w:pPr>
        <w:spacing w:after="120" w:line="276"/>
        <w:jc w:val="both"/>
      </w:pPr>
      <w:r>
        <w:rPr>
          <w:rFonts w:ascii="Calibri" w:cs="Calibri" w:eastAsia="Calibri" w:hAnsi="Calibri"/>
          <w:b/>
          <w:bCs/>
        </w:rPr>
        <w:t xml:space="preserve">Itinerario A: IoT para agroindustria y ambiente.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Optativa</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Período</w:t>
            </w:r>
          </w:p>
        </w:tc>
        <w:tc>
          <w:tcPr>
            <w:tcW w:type="dxa" w:w="6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Nombre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Agricultura de precisión y teledetección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Monitoreo ambiental y gestión del agua</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Trazabilidad y cadena de frío agroindustrial</w:t>
            </w:r>
          </w:p>
        </w:tc>
      </w:tr>
    </w:tbl>
    <w:p>
      <w:pPr>
        <w:spacing w:after="120"/>
      </w:pPr>
    </w:p>
    <w:p>
      <w:pPr>
        <w:spacing w:after="120" w:line="276"/>
        <w:jc w:val="both"/>
      </w:pPr>
      <w:r>
        <w:rPr>
          <w:rFonts w:ascii="Calibri" w:cs="Calibri" w:eastAsia="Calibri" w:hAnsi="Calibri"/>
          <w:b/>
          <w:bCs/>
        </w:rPr>
        <w:t xml:space="preserve">Itinerario B: IoT industrial y ciudades inteligentes.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3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Optativa</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Período</w:t>
            </w:r>
          </w:p>
        </w:tc>
        <w:tc>
          <w:tcPr>
            <w:tcW w:type="dxa" w:w="6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Nombre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IoT industrial y mantenimiento predictivo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7</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Energía, edificios y ciudades inteligentes</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III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rFonts w:ascii="Calibri" w:cs="Calibri" w:eastAsia="Calibri" w:hAnsi="Calibri"/>
                <w:sz w:val="19"/>
                <w:szCs w:val="19"/>
              </w:rPr>
              <w:t xml:space="preserve">8</w:t>
            </w:r>
          </w:p>
        </w:tc>
        <w:tc>
          <w:tcPr>
            <w:tcW w:type="dxa" w:w="63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Redes privadas 5G y sistemas de misión crítica</w:t>
            </w:r>
          </w:p>
        </w:tc>
      </w:tr>
    </w:tbl>
    <w:p>
      <w:pPr>
        <w:spacing w:after="120"/>
      </w:pPr>
    </w:p>
    <w:p>
      <w:pPr>
        <w:pStyle w:val="Heading1"/>
        <w:pageBreakBefore/>
      </w:pPr>
      <w:r>
        <w:rPr>
          <w:rFonts w:ascii="Calibri" w:cs="Calibri" w:eastAsia="Calibri" w:hAnsi="Calibri"/>
        </w:rPr>
        <w:t xml:space="preserve">7. Recursos, cohorte y convenios</w:t>
      </w:r>
    </w:p>
    <w:p>
      <w:pPr>
        <w:pStyle w:val="Heading2"/>
      </w:pPr>
      <w:r>
        <w:rPr>
          <w:rFonts w:ascii="Calibri" w:cs="Calibri" w:eastAsia="Calibri" w:hAnsi="Calibri"/>
        </w:rPr>
        <w:t xml:space="preserve">7.1 Infraestructura y equipamiento</w:t>
      </w:r>
    </w:p>
    <w:p>
      <w:pPr>
        <w:spacing w:after="120" w:line="276"/>
        <w:jc w:val="both"/>
      </w:pPr>
      <w:r>
        <w:rPr>
          <w:rFonts w:ascii="Calibri" w:cs="Calibri" w:eastAsia="Calibri" w:hAnsi="Calibri"/>
        </w:rPr>
        <w:t xml:space="preserve">La Guía exige una declaración firmada de que la UTEQ cuenta con recursos académicos, equipamiento, infraestructura y un modelo educativo acordes con la carrera. Esta lista define lo que la carrera necesita; el inventario real debe levantarlo la Facultad.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800"/>
        <w:gridCol w:w="16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Espacio o recurso</w:t>
            </w:r>
          </w:p>
        </w:tc>
        <w:tc>
          <w:tcPr>
            <w:tcW w:type="dxa" w:w="2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Uso principal</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Disponible hoy</w:t>
            </w:r>
          </w:p>
        </w:tc>
        <w:tc>
          <w:tcPr>
            <w:tcW w:type="dxa" w:w="1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Brecha</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 de electrónica y sistemas embebidos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2.3, 3.2, 4.1, 4.2, 6.3</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 de redes y comunicaciones inalámbricas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3.3, 4.4, 5.1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 de cómputo, nube y ciencia de datos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1.3 a 3.1, 4.3, 5.2, 5.4, 6.1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Instrumentación: osciloscopios, fuentes, analizadores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Laboratorios de electrónica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Kits de sensores, actuadores y placas de desarrollo</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Todas las asignaturas de laboratorio</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Créditos de nube y licencias de software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Asignaturas 5.2, 5.4, 7.1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Parcela o finca experimental con sensórica</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Itinerario A; proyectos de vinculación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 aprovechar los campus agropecuarios]</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Biblioteca y bases de datos científicas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Toda la carrera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[Completar]</w:t>
            </w:r>
          </w:p>
        </w:tc>
      </w:tr>
    </w:tbl>
    <w:p>
      <w:pPr>
        <w:pStyle w:val="Heading2"/>
      </w:pPr>
      <w:r>
        <w:rPr>
          <w:rFonts w:ascii="Calibri" w:cs="Calibri" w:eastAsia="Calibri" w:hAnsi="Calibri"/>
        </w:rPr>
        <w:t xml:space="preserve">7.2 Planta docente</w:t>
      </w:r>
    </w:p>
    <w:p>
      <w:pPr>
        <w:spacing w:after="120" w:line="276"/>
        <w:jc w:val="both"/>
      </w:pPr>
      <w:r>
        <w:rPr>
          <w:rFonts w:ascii="Calibri" w:cs="Calibri" w:eastAsia="Calibri" w:hAnsi="Calibri"/>
        </w:rPr>
        <w:t xml:space="preserve">El expediente debe declarar la planta docente que atenderá la carrera. Los perfiles requeridos son: electrónica y sistemas embebidos, redes y comunicaciones, ingeniería de software, ciencia de datos e inteligencia artificial, ciberseguridad, y ciencias básicas. </w:t>
      </w:r>
      <w:r>
        <w:rPr>
          <w:rFonts w:ascii="Calibri" w:cs="Calibri" w:eastAsia="Calibri" w:hAnsi="Calibri"/>
          <w:highlight w:val="yellow"/>
          <w:highlightCs w:val="yellow"/>
        </w:rPr>
        <w:t xml:space="preserve">[Levantar docentes titulares y a contrato, con título y área de conocimiento, y comparar con los requisitos del modelo CACES]</w:t>
      </w:r>
    </w:p>
    <w:p>
      <w:pPr>
        <w:pStyle w:val="Heading2"/>
      </w:pPr>
      <w:r>
        <w:rPr>
          <w:rFonts w:ascii="Calibri" w:cs="Calibri" w:eastAsia="Calibri" w:hAnsi="Calibri"/>
        </w:rPr>
        <w:t xml:space="preserve">7.3 Cohorte y convenios</w:t>
      </w:r>
    </w:p>
    <w:p>
      <w:pPr>
        <w:spacing w:after="120" w:line="276"/>
        <w:jc w:val="both"/>
      </w:pPr>
      <w:r>
        <w:rPr>
          <w:rFonts w:ascii="Calibri" w:cs="Calibri" w:eastAsia="Calibri" w:hAnsi="Calibri"/>
        </w:rPr>
        <w:t xml:space="preserve">La cohorte inicial se fija en 40 estudiantes en 1 paralelo (§2), según la capacidad de los laboratorios (Art. 96 del RRA); el dimensionamiento del §4.11 sugiere que ese tamaño es adecuado para el escenario base. La cifra debe confirmarse cuando exista el inventario real de laboratorios (§7.1).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Tipo de convenio</w:t>
            </w:r>
          </w:p>
        </w:tc>
        <w:tc>
          <w:tcPr>
            <w:tcW w:type="dxa" w:w="4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Entidades por contactar</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Estado</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Prácticas laborales</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Empresas agroindustriales, de telecomunicaciones y de servicios de la zona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[Sin gestionar]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Servicio comunitario</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Gobiernos autónomos descentralizados, cooperativas, comunidades rurales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[Sin gestionar]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Cooperación académica</w:t>
            </w:r>
          </w:p>
        </w:tc>
        <w:tc>
          <w:tcPr>
            <w:tcW w:type="dxa" w:w="46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Universidades y centros de investigación con IoT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highlight w:val="yellow"/>
                <w:highlightCs w:val="yellow"/>
              </w:rPr>
              <w:t xml:space="preserve">[Sin gestionar]</w:t>
            </w:r>
          </w:p>
        </w:tc>
      </w:tr>
    </w:tbl>
    <w:p>
      <w:pPr>
        <w:pStyle w:val="Heading1"/>
        <w:pageBreakBefore/>
      </w:pPr>
      <w:r>
        <w:rPr>
          <w:rFonts w:ascii="Calibri" w:cs="Calibri" w:eastAsia="Calibri" w:hAnsi="Calibri"/>
        </w:rPr>
        <w:t xml:space="preserve">8. Pendientes y hoja de ruta</w:t>
      </w:r>
    </w:p>
    <w:p>
      <w:pPr>
        <w:pStyle w:val="Heading2"/>
      </w:pPr>
      <w:r>
        <w:rPr>
          <w:rFonts w:ascii="Calibri" w:cs="Calibri" w:eastAsia="Calibri" w:hAnsi="Calibri"/>
        </w:rPr>
        <w:t xml:space="preserve">8.1 Pendientes de verificación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Pendiente</w:t>
            </w:r>
          </w:p>
        </w:tc>
        <w:tc>
          <w:tcPr>
            <w:tcW w:type="dxa" w:w="5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Por qué importa</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Anexo II vigente del RANT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Determina si el título "Ingeniero/a en Internet de las Cosas" ya existe. La copia consultada llega hasta el 15-III-2023 y solo trae el título de Técnico/a Superior en IoT; a esa fecha, en grado solo hay títulos de maestría relacionados (§5.5)</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Consulta al CES sobre el campo detallado</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 clasificación en 0611 debe confirmarse con la Coordinación de Planificación Académica, por el peso de la electrónica en la malla (§5.3)</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Reforma 2024 del RRA</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 se pudo descargar; verificar que no cambió los Arts. 15, 43 ni 96 a 99</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Reforma 2025 del RANT (Resolución RPC-SO-28-No.420-2025, 16-VII-2025)</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 confirmó que existe, citada en una resolución posterior del CES, pero no se pudo acceder a su texto; podría afectar los Anexos I o II y, con ello, la clasificación por campo detallado del §5.3 o la denominación del título del §5.5</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Nombres y atribuciones de otros órganos del Estatuto UTEQ vigente (2024)</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 verificaron el Consejo Universitario, el Consejo Académico y el Consejo Directivo de Facultad y la ruta de aprobación de carreras del §8.2 (Arts. 29, 33 y 39), que no cambiaron con la reforma de 2024; falta revisar el resto del articulado (por ejemplo, financiamiento, régimen disciplinario y bienestar universitario) por si afecta otras secciones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Modelo del CACES por campo amplio TIC</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Solo hay publicado un modelo genérico (2023) y modelos por campo para otras áreas (2025); cuando el CACES publique el de TIC, sus umbrales cuantitativos reemplazan al genérico (§3.9)</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Formato del Anexo III del RANT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 justificación epistemológica debe presentarse en ese formato</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Serie completa de matrícula y graduados TIC de la SENESCYT</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Los tableros públicos no se pudieron descargar completos; se usaron los cortes de 2022 y 2024 (§4.3 y §4.10)</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Graduados de Los Ríos por tipo de bachillerato (AMIE)</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El Ministerio de Educación no lo publica en sus sitios abiertos; dimensiona los grupos de la nivelación (§3.2)</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Encuesta a empleadores y a estudiantes de bachillerato</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Reemplaza los supuestos de adopción del modelo de demanda (§4.9) y valida el interés por la carrera</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Inventario real de laboratorios, equipos y planta docente</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La declaración de recursos del expediente (§7.1 y §7.2) exige datos levantados, no una lista de necesidades</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Cartas de intención y convenios específicos para la carrera</w:t>
            </w:r>
          </w:p>
        </w:tc>
        <w:tc>
          <w:tcPr>
            <w:tcW w:type="dxa" w:w="5826"/>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alibri" w:cs="Calibri" w:eastAsia="Calibri" w:hAnsi="Calibri"/>
                <w:sz w:val="19"/>
                <w:szCs w:val="19"/>
              </w:rPr>
              <w:t xml:space="preserve">El expediente exige convenios legalizados, no solo aliados identificados (§3.5 y §7.3)</w:t>
            </w:r>
          </w:p>
        </w:tc>
      </w:tr>
    </w:tbl>
    <w:p>
      <w:pPr>
        <w:pStyle w:val="Heading2"/>
      </w:pPr>
      <w:r>
        <w:rPr>
          <w:rFonts w:ascii="Calibri" w:cs="Calibri" w:eastAsia="Calibri" w:hAnsi="Calibri"/>
        </w:rPr>
        <w:t xml:space="preserve">8.2 Hoja de ruta</w:t>
      </w:r>
    </w:p>
    <w:p>
      <w:pPr>
        <w:spacing w:after="120" w:line="276"/>
        <w:jc w:val="both"/>
      </w:pPr>
      <w:r>
        <w:rPr>
          <w:rFonts w:ascii="Calibri" w:cs="Calibri" w:eastAsia="Calibri" w:hAnsi="Calibri"/>
        </w:rPr>
        <w:t xml:space="preserve">Ruta interna de la UTEQ según el Estatuto vigente (base de 2019, con reforma y codificación del 27 de octubre de 2023 y una segunda reforma del 6 de marzo de 2024; los artículos citados abajo se verificaron contra el texto reformado), seguida del trámite ante el CES (Arts. 96 a 101 del RRA):</w:t>
      </w:r>
    </w:p>
    <w:p>
      <w:pPr>
        <w:pStyle w:val="ListParagraph"/>
        <w:numPr>
          <w:ilvl w:val="0"/>
          <w:numId w:val="3"/>
        </w:numPr>
        <w:spacing w:after="60" w:line="276"/>
      </w:pPr>
      <w:r>
        <w:rPr>
          <w:rFonts w:ascii="Calibri" w:cs="Calibri" w:eastAsia="Calibri" w:hAnsi="Calibri"/>
        </w:rPr>
        <w:t xml:space="preserve">Equipo de diseño curricular: completar este borrador, el estudio de campo y la comparación con Telemática.</w:t>
      </w:r>
    </w:p>
    <w:p>
      <w:pPr>
        <w:pStyle w:val="ListParagraph"/>
        <w:numPr>
          <w:ilvl w:val="0"/>
          <w:numId w:val="3"/>
        </w:numPr>
        <w:spacing w:after="60" w:line="276"/>
      </w:pPr>
      <w:r>
        <w:rPr>
          <w:rFonts w:ascii="Calibri" w:cs="Calibri" w:eastAsia="Calibri" w:hAnsi="Calibri"/>
        </w:rPr>
        <w:t xml:space="preserve">Consejo Directivo de la Facultad de Ciencias de la Computación: aprueba en primera instancia la propuesta de diseño de carrera y la pone a consideración del Consejo Académico (Art. 39 del Estatuto).</w:t>
      </w:r>
    </w:p>
    <w:p>
      <w:pPr>
        <w:pStyle w:val="ListParagraph"/>
        <w:numPr>
          <w:ilvl w:val="0"/>
          <w:numId w:val="3"/>
        </w:numPr>
        <w:spacing w:after="60" w:line="276"/>
      </w:pPr>
      <w:r>
        <w:rPr>
          <w:rFonts w:ascii="Calibri" w:cs="Calibri" w:eastAsia="Calibri" w:hAnsi="Calibri"/>
        </w:rPr>
        <w:t xml:space="preserve">Consejo Académico: analiza y sugiere al Consejo Universitario que solicite al CES la creación de la carrera (Art. 33.2 del Estatuto).</w:t>
      </w:r>
    </w:p>
    <w:p>
      <w:pPr>
        <w:pStyle w:val="ListParagraph"/>
        <w:numPr>
          <w:ilvl w:val="0"/>
          <w:numId w:val="3"/>
        </w:numPr>
        <w:spacing w:after="60" w:line="276"/>
      </w:pPr>
      <w:r>
        <w:rPr>
          <w:rFonts w:ascii="Calibri" w:cs="Calibri" w:eastAsia="Calibri" w:hAnsi="Calibri"/>
        </w:rPr>
        <w:t xml:space="preserve">Consejo Universitario: analiza, aprueba y emite la resolución del órgano colegiado superior (Art. 29 del Estatuto).</w:t>
      </w:r>
    </w:p>
    <w:p>
      <w:pPr>
        <w:pStyle w:val="ListParagraph"/>
        <w:numPr>
          <w:ilvl w:val="0"/>
          <w:numId w:val="3"/>
        </w:numPr>
        <w:spacing w:after="60" w:line="276"/>
      </w:pPr>
      <w:r>
        <w:rPr>
          <w:rFonts w:ascii="Calibri" w:cs="Calibri" w:eastAsia="Calibri" w:hAnsi="Calibri"/>
        </w:rPr>
        <w:t xml:space="preserve">Rectorado: carga el expediente en la plataforma PPCP del CES.</w:t>
      </w:r>
    </w:p>
    <w:p>
      <w:pPr>
        <w:pStyle w:val="ListParagraph"/>
        <w:numPr>
          <w:ilvl w:val="0"/>
          <w:numId w:val="3"/>
        </w:numPr>
        <w:spacing w:after="60" w:line="276"/>
      </w:pPr>
      <w:r>
        <w:rPr>
          <w:rFonts w:ascii="Calibri" w:cs="Calibri" w:eastAsia="Calibri" w:hAnsi="Calibri"/>
        </w:rPr>
        <w:t xml:space="preserve">CES: verificación de requisitos en 15 días, más 10 para subsanar; acuerdo de la Comisión en 7 días; resolución del Pleno en 5 días.</w:t>
      </w:r>
    </w:p>
    <w:p>
      <w:pPr>
        <w:pStyle w:val="ListParagraph"/>
        <w:numPr>
          <w:ilvl w:val="0"/>
          <w:numId w:val="3"/>
        </w:numPr>
        <w:spacing w:after="60" w:line="276"/>
      </w:pPr>
      <w:r>
        <w:rPr>
          <w:rFonts w:ascii="Calibri" w:cs="Calibri" w:eastAsia="Calibri" w:hAnsi="Calibri"/>
        </w:rPr>
        <w:t xml:space="preserve">Notificación, registro en el SNIESE y apertura de la oferta.</w:t>
      </w:r>
    </w:p>
    <w:p>
      <w:pPr>
        <w:pStyle w:val="Heading1"/>
        <w:pageBreakBefore/>
      </w:pPr>
      <w:r>
        <w:rPr>
          <w:rFonts w:ascii="Calibri" w:cs="Calibri" w:eastAsia="Calibri" w:hAnsi="Calibri"/>
        </w:rPr>
        <w:t xml:space="preserve">Anexo A. Fuentes</w:t>
      </w:r>
    </w:p>
    <w:p>
      <w:pPr>
        <w:pStyle w:val="ListParagraph"/>
        <w:numPr>
          <w:ilvl w:val="0"/>
          <w:numId w:val="2"/>
        </w:numPr>
        <w:spacing w:after="60" w:line="276"/>
      </w:pPr>
      <w:r>
        <w:rPr>
          <w:rFonts w:ascii="Calibri" w:cs="Calibri" w:eastAsia="Calibri" w:hAnsi="Calibri"/>
        </w:rPr>
        <w:t xml:space="preserve">Consejo de Educación Superior. Reglamento de Régimen Académico (2022, reforma RPC-SE-03-No.008-2023).</w:t>
      </w:r>
    </w:p>
    <w:p>
      <w:pPr>
        <w:pStyle w:val="ListParagraph"/>
        <w:numPr>
          <w:ilvl w:val="0"/>
          <w:numId w:val="2"/>
        </w:numPr>
        <w:spacing w:after="60" w:line="276"/>
      </w:pPr>
      <w:r>
        <w:rPr>
          <w:rFonts w:ascii="Calibri" w:cs="Calibri" w:eastAsia="Calibri" w:hAnsi="Calibri"/>
        </w:rPr>
        <w:t xml:space="preserve">Consejo de Educación Superior. Guía Metodológica para la presentación de carreras y programas, ajustes curriculares sustantivos y no sustantivos (RPC-SE-14-No.038-2022, codificada en 2023).</w:t>
      </w:r>
    </w:p>
    <w:p>
      <w:pPr>
        <w:pStyle w:val="ListParagraph"/>
        <w:numPr>
          <w:ilvl w:val="0"/>
          <w:numId w:val="2"/>
        </w:numPr>
        <w:spacing w:after="60" w:line="276"/>
      </w:pPr>
      <w:r>
        <w:rPr>
          <w:rFonts w:ascii="Calibri" w:cs="Calibri" w:eastAsia="Calibri" w:hAnsi="Calibri"/>
        </w:rPr>
        <w:t xml:space="preserve">Consejo de Educación Superior. Reglamento de Armonización de la Nomenclatura de Títulos Profesionales y Grados Académicos (RPC-SE-05-No.014-2023).</w:t>
      </w:r>
    </w:p>
    <w:p>
      <w:pPr>
        <w:pStyle w:val="ListParagraph"/>
        <w:numPr>
          <w:ilvl w:val="0"/>
          <w:numId w:val="2"/>
        </w:numPr>
        <w:spacing w:after="60" w:line="276"/>
      </w:pPr>
      <w:r>
        <w:rPr>
          <w:rFonts w:ascii="Calibri" w:cs="Calibri" w:eastAsia="Calibri" w:hAnsi="Calibri"/>
        </w:rPr>
        <w:t xml:space="preserve">Ministerio de Telecomunicaciones y de la Sociedad de la Información (2025). Política Pública para la Transformación Digital del Ecuador 2025-2030. Datos de SENESCYT (2024) e INEC (2024) citados en ella.</w:t>
      </w:r>
    </w:p>
    <w:p>
      <w:pPr>
        <w:pStyle w:val="ListParagraph"/>
        <w:numPr>
          <w:ilvl w:val="0"/>
          <w:numId w:val="2"/>
        </w:numPr>
        <w:spacing w:after="60" w:line="276"/>
      </w:pPr>
      <w:r>
        <w:rPr>
          <w:rFonts w:ascii="Calibri" w:cs="Calibri" w:eastAsia="Calibri" w:hAnsi="Calibri"/>
        </w:rPr>
        <w:t xml:space="preserve">Universidad Técnica Estatal de Quevedo. Estatuto (base de 2019, Resolución 5.ª sesión, 25-I-2019; reforma y codificación mediante Resolución 32.ª sesión, 27-X-2023; segunda reforma mediante Resolución 17.ª sesión, 6-III-2024). Plan Estratégico de Desarrollo Institucional 2021-2025 (actualización de diciembre de 2024) y 2026-2029.</w:t>
      </w:r>
    </w:p>
    <w:p>
      <w:pPr>
        <w:pStyle w:val="ListParagraph"/>
        <w:numPr>
          <w:ilvl w:val="0"/>
          <w:numId w:val="2"/>
        </w:numPr>
        <w:spacing w:after="60" w:line="276"/>
      </w:pPr>
      <w:r>
        <w:rPr>
          <w:rFonts w:ascii="Calibri" w:cs="Calibri" w:eastAsia="Calibri" w:hAnsi="Calibri"/>
        </w:rPr>
        <w:t xml:space="preserve">Universidad Técnica Estatal de Quevedo. Memorando UTEQ-VICACAD-2026-1787-M, de 02 de septiembre de 2026.</w:t>
      </w:r>
    </w:p>
    <w:p>
      <w:pPr>
        <w:pStyle w:val="ListParagraph"/>
        <w:numPr>
          <w:ilvl w:val="0"/>
          <w:numId w:val="2"/>
        </w:numPr>
        <w:spacing w:after="60" w:line="276"/>
      </w:pPr>
      <w:r>
        <w:rPr>
          <w:rFonts w:ascii="Calibri" w:cs="Calibri" w:eastAsia="Calibri" w:hAnsi="Calibri"/>
        </w:rPr>
        <w:t xml:space="preserve">UEES Online. Carrera de Internet de las Cosas. Consultada el 26-IX-2026.</w:t>
      </w:r>
    </w:p>
    <w:p>
      <w:pPr>
        <w:pStyle w:val="ListParagraph"/>
        <w:numPr>
          <w:ilvl w:val="0"/>
          <w:numId w:val="2"/>
        </w:numPr>
        <w:spacing w:after="60" w:line="276"/>
      </w:pPr>
      <w:r>
        <w:rPr>
          <w:rFonts w:ascii="Calibri" w:cs="Calibri" w:eastAsia="Calibri" w:hAnsi="Calibri"/>
        </w:rPr>
        <w:t xml:space="preserve">Consejo de Educación Superior. Anexo I 2023 y Anexo II 2023 (actualizado hasta el 15-III-2023) del RANT.</w:t>
      </w:r>
    </w:p>
    <w:p>
      <w:pPr>
        <w:pStyle w:val="ListParagraph"/>
        <w:numPr>
          <w:ilvl w:val="0"/>
          <w:numId w:val="2"/>
        </w:numPr>
        <w:spacing w:after="60" w:line="276"/>
      </w:pPr>
      <w:r>
        <w:rPr>
          <w:rFonts w:ascii="Calibri" w:cs="Calibri" w:eastAsia="Calibri" w:hAnsi="Calibri"/>
        </w:rPr>
        <w:t xml:space="preserve">INEC. Encuesta de Superficie y Producción Agropecuaria Continua (ESPAC) 2024, abril de 2025, y Módulo de Información Ambiental y Tecnificación Agropecuaria (MIATA) 2024.</w:t>
      </w:r>
    </w:p>
    <w:p>
      <w:pPr>
        <w:pStyle w:val="ListParagraph"/>
        <w:numPr>
          <w:ilvl w:val="0"/>
          <w:numId w:val="2"/>
        </w:numPr>
        <w:spacing w:after="60" w:line="276"/>
      </w:pPr>
      <w:r>
        <w:rPr>
          <w:rFonts w:ascii="Calibri" w:cs="Calibri" w:eastAsia="Calibri" w:hAnsi="Calibri"/>
        </w:rPr>
        <w:t xml:space="preserve">INEC. Encuesta Nacional de Empleo, Desempleo y Subempleo (ENEMDU) anual 2025, y tabulados de Tecnologías de la Información y Comunicación, julio de 2025.</w:t>
      </w:r>
    </w:p>
    <w:p>
      <w:pPr>
        <w:pStyle w:val="ListParagraph"/>
        <w:numPr>
          <w:ilvl w:val="0"/>
          <w:numId w:val="2"/>
        </w:numPr>
        <w:spacing w:after="60" w:line="276"/>
      </w:pPr>
      <w:r>
        <w:rPr>
          <w:rFonts w:ascii="Calibri" w:cs="Calibri" w:eastAsia="Calibri" w:hAnsi="Calibri"/>
        </w:rPr>
        <w:t xml:space="preserve">ARCOTEL. Boletín estadístico, cierre de año 2024 (Boletín 2025-01).</w:t>
      </w:r>
    </w:p>
    <w:p>
      <w:pPr>
        <w:pStyle w:val="ListParagraph"/>
        <w:numPr>
          <w:ilvl w:val="0"/>
          <w:numId w:val="2"/>
        </w:numPr>
        <w:spacing w:after="60" w:line="276"/>
      </w:pPr>
      <w:r>
        <w:rPr>
          <w:rFonts w:ascii="Calibri" w:cs="Calibri" w:eastAsia="Calibri" w:hAnsi="Calibri"/>
        </w:rPr>
        <w:t xml:space="preserve">UTEQ. Unidad de Admisión y Nivelación: proceso de admisión 2026 y evaluación por competencias generales y específicas (uteq.edu.ec/admision).</w:t>
      </w:r>
    </w:p>
    <w:p>
      <w:pPr>
        <w:pStyle w:val="ListParagraph"/>
        <w:numPr>
          <w:ilvl w:val="0"/>
          <w:numId w:val="2"/>
        </w:numPr>
        <w:spacing w:after="60" w:line="276"/>
      </w:pPr>
      <w:r>
        <w:rPr>
          <w:rFonts w:ascii="Calibri" w:cs="Calibri" w:eastAsia="Calibri" w:hAnsi="Calibri"/>
        </w:rPr>
        <w:t xml:space="preserve">CACES. Modelo genérico de evaluación del entorno de aprendizaje de carreras (criterios según el sitio institucional).</w:t>
      </w:r>
    </w:p>
    <w:p>
      <w:pPr>
        <w:pStyle w:val="ListParagraph"/>
        <w:numPr>
          <w:ilvl w:val="0"/>
          <w:numId w:val="2"/>
        </w:numPr>
        <w:spacing w:after="60" w:line="276"/>
      </w:pPr>
      <w:r>
        <w:rPr>
          <w:rFonts w:ascii="Calibri" w:cs="Calibri" w:eastAsia="Calibri" w:hAnsi="Calibri"/>
        </w:rPr>
        <w:t xml:space="preserve">SRI. Registro Único de Contribuyentes, Los Ríos (datos abiertos, actualizado el 1-IX-2026). INEC. Registro Estadístico de Empresas 2025. INEC. Censo de Población y Vivienda 2022.</w:t>
      </w:r>
    </w:p>
    <w:p>
      <w:pPr>
        <w:pStyle w:val="ListParagraph"/>
        <w:numPr>
          <w:ilvl w:val="0"/>
          <w:numId w:val="2"/>
        </w:numPr>
        <w:spacing w:after="60" w:line="276"/>
      </w:pPr>
      <w:r>
        <w:rPr>
          <w:rFonts w:ascii="Calibri" w:cs="Calibri" w:eastAsia="Calibri" w:hAnsi="Calibri"/>
        </w:rPr>
        <w:t xml:space="preserve">Ministerio de Educación, Deporte y Cultura. Bachillerato General, Bachillerato en Ciencias y Bachillerato Técnico (educacion.gob.ec); Acuerdo MINEDUC-2024-00065-A. Primicias (2024): materias y horas de clase del año lectivo 2024-2025.</w:t>
      </w:r>
    </w:p>
    <w:p>
      <w:pPr>
        <w:pStyle w:val="ListParagraph"/>
        <w:numPr>
          <w:ilvl w:val="0"/>
          <w:numId w:val="2"/>
        </w:numPr>
        <w:spacing w:after="60" w:line="276"/>
      </w:pPr>
      <w:r>
        <w:rPr>
          <w:rFonts w:ascii="Calibri" w:cs="Calibri" w:eastAsia="Calibri" w:hAnsi="Calibri"/>
        </w:rPr>
        <w:t xml:space="preserve">UTEQ. Informe de rendición de cuentas 2024. Redalyc: Nivelación propuesta por la SENESCYT, vivencias en la Universidad Central del Ecuador.</w:t>
      </w:r>
    </w:p>
    <w:p>
      <w:pPr>
        <w:pStyle w:val="ListParagraph"/>
        <w:numPr>
          <w:ilvl w:val="0"/>
          <w:numId w:val="2"/>
        </w:numPr>
        <w:spacing w:after="60" w:line="276"/>
      </w:pPr>
      <w:r>
        <w:rPr>
          <w:rFonts w:ascii="Calibri" w:cs="Calibri" w:eastAsia="Calibri" w:hAnsi="Calibri"/>
        </w:rPr>
        <w:t xml:space="preserve">UTEQ, Consejo Universitario. Reglamento de la Unidad de Integración Curricular, versión 2024 (deroga la de 2021, Resolución 44.ª sesión, 20-VII-2021). Reglamento de Régimen Académico Interno de la UTEQ, RRAI (Resolución 25.ª sesión ordinaria especial virtual, 22-VI-2021; reemplazó en lo académico al Reglamento de Semestralización y Créditos de 2013). Modelo Educativo y Pedagógico de la UTEQ (Resolución 61.ª sesión, 28-XII-2023). Instructivo Académico para el Desarrollo de Actividades, Prácticas y Evaluaciones Formativas (Resolución 8.ª del OCS, 16-II-2024). Plan de Investigación (líneas y sublíneas aprobadas el 23-III-2018).</w:t>
      </w:r>
    </w:p>
    <w:p>
      <w:pPr>
        <w:pStyle w:val="ListParagraph"/>
        <w:numPr>
          <w:ilvl w:val="0"/>
          <w:numId w:val="2"/>
        </w:numPr>
        <w:spacing w:after="60" w:line="276"/>
      </w:pPr>
      <w:r>
        <w:rPr>
          <w:rFonts w:ascii="Calibri" w:cs="Calibri" w:eastAsia="Calibri" w:hAnsi="Calibri"/>
        </w:rPr>
        <w:t xml:space="preserve">UTEQ. Fichas públicas de las carreras de Software, Telemática, Electricidad, Sistemas de Información y Tecnologías de la Información (uteq.edu.ec/grado/carrera/…), consultadas el 26 y 28 de septiembre de 2026.</w:t>
      </w:r>
    </w:p>
    <w:p>
      <w:pPr>
        <w:pStyle w:val="ListParagraph"/>
        <w:numPr>
          <w:ilvl w:val="0"/>
          <w:numId w:val="2"/>
        </w:numPr>
        <w:spacing w:after="60" w:line="276"/>
      </w:pPr>
      <w:r>
        <w:rPr>
          <w:rFonts w:ascii="Calibri" w:cs="Calibri" w:eastAsia="Calibri" w:hAnsi="Calibri"/>
        </w:rPr>
        <w:t xml:space="preserve">CACES. Modelo genérico para la evaluación del entorno de aprendizaje de carreras de grado (2023) y Reglamento de Evaluación Externa con fines de Acreditación para el Aseguramiento de la Calidad de las Carreras (Resolución 172-SO-37-CACES-2023). Resolución 169-SE-33-CACES-2020 (acreditación institucional de la UTEQ).</w:t>
      </w:r>
    </w:p>
    <w:p>
      <w:pPr>
        <w:pStyle w:val="ListParagraph"/>
        <w:numPr>
          <w:ilvl w:val="0"/>
          <w:numId w:val="2"/>
        </w:numPr>
        <w:spacing w:after="60" w:line="276"/>
      </w:pPr>
      <w:r>
        <w:rPr>
          <w:rFonts w:ascii="Calibri" w:cs="Calibri" w:eastAsia="Calibri" w:hAnsi="Calibri"/>
        </w:rPr>
        <w:t xml:space="preserve">SENESCYT. Tableros públicos de Registro de matrícula (universidades y escuelas politécnicas) y de Títulos nacionales, consultados el 26-IX-2026.</w:t>
      </w:r>
    </w:p>
    <w:p>
      <w:pPr>
        <w:pStyle w:val="ListParagraph"/>
        <w:numPr>
          <w:ilvl w:val="0"/>
          <w:numId w:val="2"/>
        </w:numPr>
        <w:spacing w:after="60" w:line="276"/>
      </w:pPr>
      <w:r>
        <w:rPr>
          <w:rFonts w:ascii="Calibri" w:cs="Calibri" w:eastAsia="Calibri" w:hAnsi="Calibri"/>
        </w:rPr>
        <w:t xml:space="preserve">INEC. Microdatos de la ENEMDU anual 2025 (personas y vivienda-hogar) y del módulo TIC de julio de 2025, consultados el 26 y 28 de septiembre de 2026.</w:t>
      </w:r>
    </w:p>
    <w:p>
      <w:pPr>
        <w:pStyle w:val="ListParagraph"/>
        <w:numPr>
          <w:ilvl w:val="0"/>
          <w:numId w:val="2"/>
        </w:numPr>
        <w:spacing w:after="60" w:line="276"/>
      </w:pPr>
      <w:r>
        <w:rPr>
          <w:rFonts w:ascii="Calibri" w:cs="Calibri" w:eastAsia="Calibri" w:hAnsi="Calibri"/>
        </w:rPr>
        <w:t xml:space="preserve">Ministerio de Educación. Acuerdo MINEDEC-MINEDEC-2025-00051-A (16-X-2025), reforma a los Acuerdos MINEDUC-2023-00008-A y MINEDUC-2024-00065-A sobre el Bachillerato Técnico.</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Borrador v0.2 · Ingeniería en Internet de las Cosas · UTEQ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creación de carrera: Ingeniería en Internet de las Cosas (borrador v0.2)</dc:title>
  <dc:creator>Borrador de trabajo</dc:creator>
  <cp:lastModifiedBy>Un-named</cp:lastModifiedBy>
  <cp:revision>1</cp:revision>
  <dcterms:created xsi:type="dcterms:W3CDTF">2026-09-28T17:00:53.128Z</dcterms:created>
  <dcterms:modified xsi:type="dcterms:W3CDTF">2026-09-28T17:00:53.129Z</dcterms:modified>
</cp:coreProperties>
</file>

<file path=docProps/custom.xml><?xml version="1.0" encoding="utf-8"?>
<Properties xmlns="http://schemas.openxmlformats.org/officeDocument/2006/custom-properties" xmlns:vt="http://schemas.openxmlformats.org/officeDocument/2006/docPropsVTypes"/>
</file>