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EC07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hAnsi="Times New Roman" w:cs="Times New Roman" w:eastAsiaTheme="majorEastAsia"/>
          <w:b/>
          <w:bCs/>
          <w:color w:val="000000" w:themeColor="text1"/>
          <w:sz w:val="40"/>
          <w:szCs w:val="40"/>
          <w14:textFill>
            <w14:solidFill>
              <w14:schemeClr w14:val="tx1"/>
            </w14:solidFill>
          </w14:textFill>
        </w:rPr>
      </w:pPr>
      <w:r>
        <w:rPr>
          <w:rFonts w:hint="eastAsia" w:ascii="黑体" w:hAnsi="宋体" w:eastAsia="黑体" w:cs="黑体"/>
          <w:sz w:val="32"/>
          <w:szCs w:val="32"/>
          <w:lang w:bidi="ar"/>
        </w:rPr>
        <w:t>作品编号：</w:t>
      </w:r>
    </w:p>
    <w:p w14:paraId="0579C92F">
      <w:pPr>
        <w:spacing w:line="360" w:lineRule="auto"/>
        <w:jc w:val="center"/>
        <w:rPr>
          <w:rFonts w:ascii="Times New Roman" w:hAnsi="Times New Roman" w:cs="Times New Roman" w:eastAsiaTheme="majorEastAsia"/>
          <w:b/>
          <w:bCs/>
          <w:color w:val="000000" w:themeColor="text1"/>
          <w:sz w:val="40"/>
          <w:szCs w:val="40"/>
          <w14:textFill>
            <w14:solidFill>
              <w14:schemeClr w14:val="tx1"/>
            </w14:solidFill>
          </w14:textFill>
        </w:rPr>
      </w:pPr>
    </w:p>
    <w:p w14:paraId="2C27B58A">
      <w:pPr>
        <w:spacing w:line="360" w:lineRule="auto"/>
        <w:jc w:val="center"/>
        <w:rPr>
          <w:rFonts w:ascii="Times New Roman" w:hAnsi="Times New Roman" w:cs="Times New Roman" w:eastAsiaTheme="majorEastAsia"/>
          <w:b/>
          <w:bCs/>
          <w:color w:val="000000" w:themeColor="text1"/>
          <w:sz w:val="40"/>
          <w:szCs w:val="40"/>
          <w14:textFill>
            <w14:solidFill>
              <w14:schemeClr w14:val="tx1"/>
            </w14:solidFill>
          </w14:textFill>
        </w:rPr>
      </w:pPr>
    </w:p>
    <w:p w14:paraId="271429BC">
      <w:pPr>
        <w:spacing w:line="360" w:lineRule="auto"/>
        <w:jc w:val="center"/>
        <w:rPr>
          <w:rFonts w:ascii="Times New Roman" w:hAnsi="Times New Roman" w:cs="Times New Roman" w:eastAsiaTheme="majorEastAsia"/>
          <w:b/>
          <w:bCs/>
          <w:color w:val="000000" w:themeColor="text1"/>
          <w:sz w:val="40"/>
          <w:szCs w:val="40"/>
          <w14:textFill>
            <w14:solidFill>
              <w14:schemeClr w14:val="tx1"/>
            </w14:solidFill>
          </w14:textFill>
        </w:rPr>
      </w:pPr>
    </w:p>
    <w:p w14:paraId="426411C7">
      <w:pPr>
        <w:spacing w:line="360" w:lineRule="auto"/>
        <w:jc w:val="center"/>
        <w:rPr>
          <w:rFonts w:ascii="Times New Roman" w:hAnsi="Times New Roman" w:cs="Times New Roman" w:eastAsiaTheme="majorEastAsia"/>
          <w:b/>
          <w:bCs/>
          <w:color w:val="000000" w:themeColor="text1"/>
          <w:sz w:val="40"/>
          <w:szCs w:val="40"/>
          <w14:textFill>
            <w14:solidFill>
              <w14:schemeClr w14:val="tx1"/>
            </w14:solidFill>
          </w14:textFill>
        </w:rPr>
      </w:pPr>
    </w:p>
    <w:p w14:paraId="23D62022">
      <w:pPr>
        <w:spacing w:line="900" w:lineRule="exact"/>
        <w:ind w:left="-199" w:leftChars="-95" w:right="-307" w:rightChars="-146"/>
        <w:jc w:val="center"/>
        <w:textAlignment w:val="center"/>
        <w:rPr>
          <w:rFonts w:hint="eastAsia" w:ascii="方正小标宋简体" w:hAnsi="等线" w:eastAsia="方正小标宋简体" w:cs="方正小标宋_GBK"/>
          <w:sz w:val="44"/>
          <w:szCs w:val="44"/>
          <w:lang w:bidi="ar"/>
        </w:rPr>
      </w:pPr>
      <w:r>
        <w:rPr>
          <w:rFonts w:hint="eastAsia" w:ascii="方正小标宋简体" w:hAnsi="等线" w:eastAsia="方正小标宋简体" w:cs="方正小标宋_GBK"/>
          <w:sz w:val="44"/>
          <w:szCs w:val="44"/>
          <w:lang w:bidi="ar"/>
        </w:rPr>
        <w:t>202</w:t>
      </w:r>
      <w:r>
        <w:rPr>
          <w:rFonts w:hint="eastAsia" w:ascii="方正小标宋简体" w:hAnsi="等线" w:eastAsia="方正小标宋简体" w:cs="方正小标宋_GBK"/>
          <w:sz w:val="44"/>
          <w:szCs w:val="44"/>
          <w:lang w:val="en-US" w:eastAsia="zh-CN" w:bidi="ar"/>
        </w:rPr>
        <w:t>6</w:t>
      </w:r>
      <w:r>
        <w:rPr>
          <w:rFonts w:hint="eastAsia" w:ascii="方正小标宋简体" w:hAnsi="等线" w:eastAsia="方正小标宋简体" w:cs="方正小标宋_GBK"/>
          <w:sz w:val="44"/>
          <w:szCs w:val="44"/>
          <w:lang w:bidi="ar"/>
        </w:rPr>
        <w:t>年（第十</w:t>
      </w:r>
      <w:r>
        <w:rPr>
          <w:rFonts w:hint="eastAsia" w:ascii="方正小标宋简体" w:hAnsi="等线" w:eastAsia="方正小标宋简体" w:cs="方正小标宋_GBK"/>
          <w:sz w:val="44"/>
          <w:szCs w:val="44"/>
          <w:lang w:eastAsia="zh-CN" w:bidi="ar"/>
        </w:rPr>
        <w:t>二</w:t>
      </w:r>
      <w:r>
        <w:rPr>
          <w:rFonts w:hint="eastAsia" w:ascii="方正小标宋简体" w:hAnsi="等线" w:eastAsia="方正小标宋简体" w:cs="方正小标宋_GBK"/>
          <w:sz w:val="44"/>
          <w:szCs w:val="44"/>
          <w:lang w:bidi="ar"/>
        </w:rPr>
        <w:t>届）全国大学生统计建模</w:t>
      </w:r>
      <w:r>
        <w:rPr>
          <w:rFonts w:hint="eastAsia" w:ascii="方正小标宋简体" w:hAnsi="等线" w:eastAsia="方正小标宋简体" w:cs="方正小标宋_GBK"/>
          <w:sz w:val="44"/>
          <w:szCs w:val="44"/>
          <w:lang w:eastAsia="zh-CN" w:bidi="ar"/>
        </w:rPr>
        <w:t>大</w:t>
      </w:r>
      <w:r>
        <w:rPr>
          <w:rFonts w:hint="eastAsia" w:ascii="方正小标宋简体" w:hAnsi="等线" w:eastAsia="方正小标宋简体" w:cs="方正小标宋_GBK"/>
          <w:sz w:val="44"/>
          <w:szCs w:val="44"/>
          <w:lang w:bidi="ar"/>
        </w:rPr>
        <w:t>赛</w:t>
      </w:r>
    </w:p>
    <w:p w14:paraId="4F4B3782">
      <w:pPr>
        <w:spacing w:line="360" w:lineRule="auto"/>
        <w:jc w:val="center"/>
        <w:rPr>
          <w:rFonts w:ascii="Times New Roman" w:hAnsi="Times New Roman" w:cs="Times New Roman" w:eastAsiaTheme="majorEastAsia"/>
          <w:b/>
          <w:bCs/>
          <w:color w:val="000000" w:themeColor="text1"/>
          <w:sz w:val="40"/>
          <w:szCs w:val="40"/>
          <w14:textFill>
            <w14:solidFill>
              <w14:schemeClr w14:val="tx1"/>
            </w14:solidFill>
          </w14:textFill>
        </w:rPr>
      </w:pPr>
      <w:r>
        <w:rPr>
          <w:rFonts w:hint="eastAsia" w:ascii="方正小标宋简体" w:hAnsi="等线" w:eastAsia="方正小标宋简体" w:cs="方正小标宋_GBK"/>
          <w:sz w:val="52"/>
          <w:szCs w:val="52"/>
          <w:lang w:bidi="ar"/>
        </w:rPr>
        <w:t>参 赛 作 品</w:t>
      </w:r>
    </w:p>
    <w:p w14:paraId="762FD606">
      <w:pPr>
        <w:spacing w:line="360" w:lineRule="auto"/>
        <w:jc w:val="center"/>
        <w:rPr>
          <w:rFonts w:ascii="Times New Roman" w:hAnsi="Times New Roman" w:cs="Times New Roman" w:eastAsiaTheme="majorEastAsia"/>
          <w:b/>
          <w:bCs/>
          <w:color w:val="000000" w:themeColor="text1"/>
          <w:sz w:val="40"/>
          <w:szCs w:val="40"/>
          <w14:textFill>
            <w14:solidFill>
              <w14:schemeClr w14:val="tx1"/>
            </w14:solidFill>
          </w14:textFill>
        </w:rPr>
      </w:pPr>
    </w:p>
    <w:p w14:paraId="24329F70">
      <w:pPr>
        <w:spacing w:line="360" w:lineRule="auto"/>
        <w:jc w:val="center"/>
        <w:rPr>
          <w:rFonts w:ascii="Times New Roman" w:hAnsi="Times New Roman" w:cs="Times New Roman" w:eastAsiaTheme="majorEastAsia"/>
          <w:b/>
          <w:bCs/>
          <w:color w:val="000000" w:themeColor="text1"/>
          <w:sz w:val="40"/>
          <w:szCs w:val="40"/>
          <w14:textFill>
            <w14:solidFill>
              <w14:schemeClr w14:val="tx1"/>
            </w14:solidFill>
          </w14:textFill>
        </w:rPr>
      </w:pPr>
    </w:p>
    <w:p w14:paraId="44F6BE06">
      <w:pPr>
        <w:spacing w:line="360" w:lineRule="auto"/>
        <w:jc w:val="center"/>
        <w:rPr>
          <w:rFonts w:ascii="Times New Roman" w:hAnsi="Times New Roman" w:cs="Times New Roman" w:eastAsiaTheme="majorEastAsia"/>
          <w:b/>
          <w:bCs/>
          <w:color w:val="000000" w:themeColor="text1"/>
          <w:sz w:val="40"/>
          <w:szCs w:val="40"/>
          <w14:textFill>
            <w14:solidFill>
              <w14:schemeClr w14:val="tx1"/>
            </w14:solidFill>
          </w14:textFill>
        </w:rPr>
      </w:pPr>
    </w:p>
    <w:p w14:paraId="48E4BA8E">
      <w:pPr>
        <w:spacing w:line="360" w:lineRule="auto"/>
        <w:jc w:val="center"/>
        <w:rPr>
          <w:rFonts w:ascii="Times New Roman" w:hAnsi="Times New Roman" w:cs="Times New Roman" w:eastAsiaTheme="majorEastAsia"/>
          <w:b/>
          <w:bCs/>
          <w:color w:val="000000" w:themeColor="text1"/>
          <w:sz w:val="40"/>
          <w:szCs w:val="40"/>
          <w14:textFill>
            <w14:solidFill>
              <w14:schemeClr w14:val="tx1"/>
            </w14:solidFill>
          </w14:textFill>
        </w:rPr>
      </w:pPr>
    </w:p>
    <w:tbl>
      <w:tblPr>
        <w:tblStyle w:val="17"/>
        <w:tblW w:w="8421" w:type="dxa"/>
        <w:jc w:val="center"/>
        <w:tblLayout w:type="fixed"/>
        <w:tblCellMar>
          <w:top w:w="0" w:type="dxa"/>
          <w:left w:w="108" w:type="dxa"/>
          <w:bottom w:w="0" w:type="dxa"/>
          <w:right w:w="108" w:type="dxa"/>
        </w:tblCellMar>
      </w:tblPr>
      <w:tblGrid>
        <w:gridCol w:w="2106"/>
        <w:gridCol w:w="6315"/>
      </w:tblGrid>
      <w:tr w14:paraId="0E03BAAD">
        <w:tblPrEx>
          <w:tblCellMar>
            <w:top w:w="0" w:type="dxa"/>
            <w:left w:w="108" w:type="dxa"/>
            <w:bottom w:w="0" w:type="dxa"/>
            <w:right w:w="108" w:type="dxa"/>
          </w:tblCellMar>
        </w:tblPrEx>
        <w:trPr>
          <w:trHeight w:val="829" w:hRule="atLeast"/>
          <w:jc w:val="center"/>
        </w:trPr>
        <w:tc>
          <w:tcPr>
            <w:tcW w:w="2106" w:type="dxa"/>
            <w:vAlign w:val="center"/>
          </w:tcPr>
          <w:p w14:paraId="1B97BB8C">
            <w:pPr>
              <w:spacing w:line="20" w:lineRule="atLeast"/>
              <w:jc w:val="left"/>
              <w:rPr>
                <w:rFonts w:ascii="仿宋_GB2312" w:hAnsi="仿宋_GB2312" w:eastAsia="仿宋_GB2312" w:cs="仿宋_GB2312"/>
                <w:bCs/>
                <w:sz w:val="36"/>
                <w:szCs w:val="36"/>
              </w:rPr>
            </w:pPr>
            <w:bookmarkStart w:id="0" w:name="_Toc3130"/>
            <w:r>
              <w:rPr>
                <w:rFonts w:hint="eastAsia" w:ascii="仿宋_GB2312" w:hAnsi="仿宋_GB2312" w:eastAsia="仿宋_GB2312" w:cs="仿宋_GB2312"/>
                <w:bCs/>
                <w:sz w:val="36"/>
                <w:szCs w:val="36"/>
                <w:lang w:bidi="ar"/>
              </w:rPr>
              <w:t>参赛学校：</w:t>
            </w:r>
          </w:p>
        </w:tc>
        <w:tc>
          <w:tcPr>
            <w:tcW w:w="6315" w:type="dxa"/>
            <w:tcBorders>
              <w:top w:val="nil"/>
              <w:left w:val="nil"/>
              <w:bottom w:val="single" w:color="auto" w:sz="12" w:space="0"/>
              <w:right w:val="nil"/>
            </w:tcBorders>
            <w:vAlign w:val="center"/>
          </w:tcPr>
          <w:p w14:paraId="4CF5FB94">
            <w:pPr>
              <w:jc w:val="center"/>
              <w:textAlignment w:val="center"/>
              <w:rPr>
                <w:rFonts w:hint="eastAsia" w:ascii="方正小标宋_GBK" w:hAnsi="方正小标宋_GBK" w:eastAsia="方正小标宋_GBK" w:cs="方正小标宋_GBK"/>
                <w:bCs/>
                <w:sz w:val="36"/>
                <w:szCs w:val="36"/>
              </w:rPr>
            </w:pPr>
          </w:p>
          <w:p w14:paraId="55AE076F">
            <w:pPr>
              <w:jc w:val="center"/>
              <w:textAlignment w:val="center"/>
              <w:rPr>
                <w:rFonts w:hint="default" w:ascii="方正小标宋_GBK" w:hAnsi="方正小标宋_GBK" w:eastAsia="方正小标宋_GBK" w:cs="方正小标宋_GBK"/>
                <w:bCs/>
                <w:sz w:val="36"/>
                <w:szCs w:val="36"/>
                <w:lang w:val="en-US" w:eastAsia="zh-CN"/>
              </w:rPr>
            </w:pPr>
            <w:r>
              <w:rPr>
                <w:rFonts w:hint="eastAsia" w:ascii="仿宋_GB2312" w:hAnsi="仿宋_GB2312" w:eastAsia="仿宋_GB2312" w:cs="仿宋_GB2312"/>
                <w:bCs/>
                <w:sz w:val="36"/>
                <w:szCs w:val="36"/>
                <w:lang w:val="en-US" w:eastAsia="zh-CN"/>
              </w:rPr>
              <w:t>徐州医科大学</w:t>
            </w:r>
          </w:p>
        </w:tc>
      </w:tr>
      <w:tr w14:paraId="6261D399">
        <w:tblPrEx>
          <w:tblCellMar>
            <w:top w:w="0" w:type="dxa"/>
            <w:left w:w="108" w:type="dxa"/>
            <w:bottom w:w="0" w:type="dxa"/>
            <w:right w:w="108" w:type="dxa"/>
          </w:tblCellMar>
        </w:tblPrEx>
        <w:trPr>
          <w:trHeight w:val="1135" w:hRule="atLeast"/>
          <w:jc w:val="center"/>
        </w:trPr>
        <w:tc>
          <w:tcPr>
            <w:tcW w:w="2106" w:type="dxa"/>
            <w:vAlign w:val="center"/>
          </w:tcPr>
          <w:p w14:paraId="7AE280DE">
            <w:pPr>
              <w:spacing w:line="20" w:lineRule="atLeast"/>
              <w:jc w:val="left"/>
              <w:rPr>
                <w:rFonts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论文题目：</w:t>
            </w:r>
          </w:p>
        </w:tc>
        <w:tc>
          <w:tcPr>
            <w:tcW w:w="6315" w:type="dxa"/>
            <w:tcBorders>
              <w:top w:val="single" w:color="auto" w:sz="12" w:space="0"/>
              <w:left w:val="nil"/>
              <w:bottom w:val="single" w:color="auto" w:sz="12" w:space="0"/>
              <w:right w:val="nil"/>
            </w:tcBorders>
            <w:vAlign w:val="center"/>
          </w:tcPr>
          <w:p w14:paraId="55FCB48E">
            <w:pPr>
              <w:jc w:val="center"/>
              <w:textAlignment w:val="center"/>
              <w:rPr>
                <w:rFonts w:hint="eastAsia" w:ascii="方正小标宋_GBK" w:hAnsi="方正小标宋_GBK" w:eastAsia="方正小标宋_GBK" w:cs="方正小标宋_GBK"/>
                <w:bCs/>
                <w:sz w:val="36"/>
                <w:szCs w:val="36"/>
              </w:rPr>
            </w:pPr>
          </w:p>
          <w:p w14:paraId="199C3AA2">
            <w:pPr>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lang w:val="en-US" w:eastAsia="zh-CN"/>
              </w:rPr>
              <w:t>基于序列语义与结构感知证据融合的抗糖尿病两阶段预测研</w:t>
            </w:r>
            <w:r>
              <w:rPr>
                <w:rFonts w:hint="eastAsia" w:ascii="仿宋_GB2312" w:hAnsi="仿宋_GB2312" w:eastAsia="仿宋_GB2312" w:cs="仿宋_GB2312"/>
                <w:bCs/>
                <w:sz w:val="36"/>
                <w:szCs w:val="36"/>
              </w:rPr>
              <w:t>究</w:t>
            </w:r>
          </w:p>
        </w:tc>
      </w:tr>
      <w:tr w14:paraId="519E919A">
        <w:tblPrEx>
          <w:tblCellMar>
            <w:top w:w="0" w:type="dxa"/>
            <w:left w:w="108" w:type="dxa"/>
            <w:bottom w:w="0" w:type="dxa"/>
            <w:right w:w="108" w:type="dxa"/>
          </w:tblCellMar>
        </w:tblPrEx>
        <w:trPr>
          <w:trHeight w:val="1135" w:hRule="atLeast"/>
          <w:jc w:val="center"/>
        </w:trPr>
        <w:tc>
          <w:tcPr>
            <w:tcW w:w="2106" w:type="dxa"/>
            <w:vAlign w:val="center"/>
          </w:tcPr>
          <w:p w14:paraId="01DAE4BC">
            <w:pPr>
              <w:spacing w:line="20" w:lineRule="atLeast"/>
              <w:jc w:val="left"/>
              <w:rPr>
                <w:rFonts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参赛队员：</w:t>
            </w:r>
          </w:p>
        </w:tc>
        <w:tc>
          <w:tcPr>
            <w:tcW w:w="6315" w:type="dxa"/>
            <w:tcBorders>
              <w:top w:val="single" w:color="auto" w:sz="12" w:space="0"/>
              <w:left w:val="nil"/>
              <w:bottom w:val="single" w:color="auto" w:sz="12" w:space="0"/>
              <w:right w:val="nil"/>
            </w:tcBorders>
            <w:vAlign w:val="bottom"/>
          </w:tcPr>
          <w:p w14:paraId="28247DC7">
            <w:pPr>
              <w:jc w:val="center"/>
              <w:textAlignment w:val="center"/>
              <w:rPr>
                <w:rFonts w:hint="default" w:ascii="仿宋_GB2312" w:hAnsi="仿宋_GB2312" w:eastAsia="仿宋_GB2312" w:cs="仿宋_GB2312"/>
                <w:bCs/>
                <w:sz w:val="36"/>
                <w:szCs w:val="36"/>
                <w:lang w:val="en-US" w:eastAsia="zh-CN"/>
              </w:rPr>
            </w:pPr>
            <w:r>
              <w:rPr>
                <w:rFonts w:hint="eastAsia" w:ascii="仿宋_GB2312" w:hAnsi="仿宋_GB2312" w:eastAsia="仿宋_GB2312" w:cs="仿宋_GB2312"/>
                <w:sz w:val="36"/>
                <w:szCs w:val="36"/>
                <w:lang w:val="en-US" w:eastAsia="zh-CN"/>
              </w:rPr>
              <w:t>葛超伟 郭盈盈 胡宇航</w:t>
            </w:r>
          </w:p>
        </w:tc>
      </w:tr>
      <w:tr w14:paraId="6C143291">
        <w:tblPrEx>
          <w:tblCellMar>
            <w:top w:w="0" w:type="dxa"/>
            <w:left w:w="108" w:type="dxa"/>
            <w:bottom w:w="0" w:type="dxa"/>
            <w:right w:w="108" w:type="dxa"/>
          </w:tblCellMar>
        </w:tblPrEx>
        <w:trPr>
          <w:trHeight w:val="1135" w:hRule="atLeast"/>
          <w:jc w:val="center"/>
        </w:trPr>
        <w:tc>
          <w:tcPr>
            <w:tcW w:w="2106" w:type="dxa"/>
            <w:vAlign w:val="center"/>
          </w:tcPr>
          <w:p w14:paraId="02CCCB32">
            <w:pPr>
              <w:spacing w:line="20" w:lineRule="atLeast"/>
              <w:jc w:val="left"/>
              <w:rPr>
                <w:rFonts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指导老师：</w:t>
            </w:r>
          </w:p>
        </w:tc>
        <w:tc>
          <w:tcPr>
            <w:tcW w:w="6315" w:type="dxa"/>
            <w:tcBorders>
              <w:top w:val="single" w:color="auto" w:sz="12" w:space="0"/>
              <w:left w:val="nil"/>
              <w:bottom w:val="single" w:color="auto" w:sz="12" w:space="0"/>
              <w:right w:val="nil"/>
            </w:tcBorders>
            <w:vAlign w:val="bottom"/>
          </w:tcPr>
          <w:p w14:paraId="56321114">
            <w:pPr>
              <w:jc w:val="center"/>
              <w:textAlignment w:val="center"/>
              <w:rPr>
                <w:rFonts w:hint="default" w:ascii="仿宋_GB2312" w:hAnsi="仿宋_GB2312" w:eastAsia="仿宋_GB2312" w:cs="仿宋_GB2312"/>
                <w:bCs/>
                <w:sz w:val="36"/>
                <w:szCs w:val="36"/>
                <w:lang w:val="en-US" w:eastAsia="zh-CN"/>
              </w:rPr>
            </w:pPr>
            <w:r>
              <w:rPr>
                <w:rFonts w:hint="eastAsia" w:ascii="仿宋_GB2312" w:hAnsi="仿宋_GB2312" w:eastAsia="仿宋_GB2312" w:cs="仿宋_GB2312"/>
                <w:bCs/>
                <w:sz w:val="36"/>
                <w:szCs w:val="36"/>
                <w:lang w:val="en-US" w:eastAsia="zh-CN"/>
              </w:rPr>
              <w:t>刘莘</w:t>
            </w:r>
          </w:p>
        </w:tc>
      </w:tr>
    </w:tbl>
    <w:p w14:paraId="6AC9262D">
      <w:pPr>
        <w:spacing w:line="360" w:lineRule="auto"/>
        <w:jc w:val="center"/>
        <w:outlineLvl w:val="0"/>
        <w:rPr>
          <w:rFonts w:hint="eastAsia" w:ascii="黑体" w:hAnsi="黑体" w:eastAsia="黑体" w:cs="黑体"/>
          <w:b/>
          <w:bCs/>
          <w:color w:val="000000" w:themeColor="text1"/>
          <w:sz w:val="28"/>
          <w:szCs w:val="28"/>
          <w14:textFill>
            <w14:solidFill>
              <w14:schemeClr w14:val="tx1"/>
            </w14:solidFill>
          </w14:textFill>
        </w:rPr>
        <w:sectPr>
          <w:pgSz w:w="11906" w:h="16838"/>
          <w:pgMar w:top="1440" w:right="1800" w:bottom="1440" w:left="1800" w:header="851" w:footer="992" w:gutter="0"/>
          <w:pgNumType w:start="6"/>
          <w:cols w:space="425" w:num="1"/>
          <w:docGrid w:type="lines" w:linePitch="312" w:charSpace="0"/>
        </w:sectPr>
      </w:pPr>
    </w:p>
    <w:p w14:paraId="35047520">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ascii="方正小标宋简体" w:hAnsi="方正小标宋简体" w:eastAsia="方正小标宋简体" w:cs="方正小标宋简体"/>
          <w:b/>
          <w:bCs/>
          <w:color w:val="000000" w:themeColor="text1"/>
          <w:sz w:val="32"/>
          <w:szCs w:val="32"/>
          <w14:textFill>
            <w14:solidFill>
              <w14:schemeClr w14:val="tx1"/>
            </w14:solidFill>
          </w14:textFill>
        </w:rPr>
      </w:pPr>
      <w:r>
        <w:rPr>
          <w:rFonts w:hint="eastAsia" w:ascii="方正小标宋简体" w:hAnsi="方正小标宋简体" w:eastAsia="方正小标宋简体" w:cs="方正小标宋简体"/>
          <w:b/>
          <w:bCs/>
          <w:color w:val="000000" w:themeColor="text1"/>
          <w:sz w:val="32"/>
          <w:szCs w:val="32"/>
          <w14:textFill>
            <w14:solidFill>
              <w14:schemeClr w14:val="tx1"/>
            </w14:solidFill>
          </w14:textFill>
        </w:rPr>
        <w:t>基于序列语义与结构感知证据融合的</w:t>
      </w:r>
    </w:p>
    <w:p w14:paraId="571DB92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方正小标宋简体" w:hAnsi="方正小标宋简体" w:eastAsia="方正小标宋简体" w:cs="方正小标宋简体"/>
          <w:b/>
          <w:bCs/>
          <w:color w:val="000000" w:themeColor="text1"/>
          <w:sz w:val="32"/>
          <w:szCs w:val="32"/>
          <w14:textFill>
            <w14:solidFill>
              <w14:schemeClr w14:val="tx1"/>
            </w14:solidFill>
          </w14:textFill>
        </w:rPr>
      </w:pPr>
      <w:r>
        <w:rPr>
          <w:rFonts w:hint="eastAsia" w:ascii="方正小标宋简体" w:hAnsi="方正小标宋简体" w:eastAsia="方正小标宋简体" w:cs="方正小标宋简体"/>
          <w:b/>
          <w:bCs/>
          <w:color w:val="000000" w:themeColor="text1"/>
          <w:sz w:val="32"/>
          <w:szCs w:val="32"/>
          <w14:textFill>
            <w14:solidFill>
              <w14:schemeClr w14:val="tx1"/>
            </w14:solidFill>
          </w14:textFill>
        </w:rPr>
        <w:t>抗糖尿病肽两阶段预测研究</w:t>
      </w:r>
    </w:p>
    <w:p w14:paraId="25830738">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方正小标宋简体" w:hAnsi="方正小标宋简体" w:eastAsia="方正小标宋简体" w:cs="方正小标宋简体"/>
          <w:b/>
          <w:bCs/>
          <w:color w:val="000000" w:themeColor="text1"/>
          <w:sz w:val="32"/>
          <w:szCs w:val="32"/>
          <w14:textFill>
            <w14:solidFill>
              <w14:schemeClr w14:val="tx1"/>
            </w14:solidFill>
          </w14:textFill>
        </w:rPr>
      </w:pPr>
    </w:p>
    <w:p w14:paraId="784656EA">
      <w:pPr>
        <w:keepNext w:val="0"/>
        <w:keepLines w:val="0"/>
        <w:pageBreakBefore w:val="0"/>
        <w:widowControl w:val="0"/>
        <w:kinsoku/>
        <w:wordWrap/>
        <w:overflowPunct/>
        <w:topLinePunct w:val="0"/>
        <w:autoSpaceDE/>
        <w:autoSpaceDN/>
        <w:bidi w:val="0"/>
        <w:adjustRightInd/>
        <w:snapToGrid/>
        <w:spacing w:line="480" w:lineRule="exact"/>
        <w:jc w:val="center"/>
        <w:textAlignment w:val="auto"/>
        <w:outlineLvl w:val="0"/>
        <w:rPr>
          <w:rFonts w:hint="eastAsia" w:ascii="黑体" w:hAnsi="黑体" w:eastAsia="黑体" w:cs="黑体"/>
          <w:b/>
          <w:bCs/>
          <w:color w:val="000000" w:themeColor="text1"/>
          <w:sz w:val="28"/>
          <w:szCs w:val="28"/>
          <w14:textFill>
            <w14:solidFill>
              <w14:schemeClr w14:val="tx1"/>
            </w14:solidFill>
          </w14:textFill>
        </w:rPr>
      </w:pPr>
      <w:r>
        <w:rPr>
          <w:rFonts w:hint="eastAsia" w:ascii="黑体" w:hAnsi="黑体" w:eastAsia="黑体" w:cs="黑体"/>
          <w:b/>
          <w:bCs/>
          <w:color w:val="000000" w:themeColor="text1"/>
          <w:sz w:val="28"/>
          <w:szCs w:val="28"/>
          <w14:textFill>
            <w14:solidFill>
              <w14:schemeClr w14:val="tx1"/>
            </w14:solidFill>
          </w14:textFill>
        </w:rPr>
        <w:t>摘要</w:t>
      </w:r>
      <w:bookmarkEnd w:id="0"/>
    </w:p>
    <w:p w14:paraId="3D81514F">
      <w:pPr>
        <w:keepNext w:val="0"/>
        <w:keepLines w:val="0"/>
        <w:pageBreakBefore w:val="0"/>
        <w:widowControl w:val="0"/>
        <w:kinsoku/>
        <w:wordWrap/>
        <w:overflowPunct/>
        <w:topLinePunct w:val="0"/>
        <w:autoSpaceDE/>
        <w:autoSpaceDN/>
        <w:bidi w:val="0"/>
        <w:adjustRightInd/>
        <w:snapToGrid/>
        <w:spacing w:line="480" w:lineRule="exact"/>
        <w:ind w:firstLine="420"/>
        <w:textAlignment w:val="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抗糖尿病肽的计算机辅助发现对于糖尿病治疗具有重要价值，然而从大规模肽库中高效筛选高活性、高安全性的候选肽仍面临挑战。为此，本文提出一种两阶段多证据精排模型（ADP-DEM）。第一阶段融合ESM2、ProtBert、AAC、简化CTD、理化性质及长度分箱等多源特征，通过门控自适应整合机制与GAUR-XGB二级校准模块实现高通量主筛。第二阶段引入SaProt-3Di结构感知模型，显式利用肽段序列及其预测的3Di结构token进行结构评分，并联合毒性、溶血性风险惩罚项对候选肽进行重排序。在枯草芽孢杆菌蛋白质组酶切肽段的应用实例中，该方法从大规模肽库逐级筛选出Top‑100高置信候选肽，其结合能均低于-200 kcal/mol，最低达-253 kcal/mol。独立测试集上，Stage‑1模型的AUC达96.26%，Stage‑2模型敏感度达95.74%。对比现有方法，本框架的优势在于分阶段兼顾召回与精度、显式融合结构证据和可开发性约束，为天然抗糖尿病肽的计算发现提供了系统性的筛选工具。</w:t>
      </w:r>
    </w:p>
    <w:p w14:paraId="251918BF">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Theme="minorEastAsia" w:hAnsiTheme="minorEastAsia" w:eastAsiaTheme="minorEastAsia" w:cstheme="minorEastAsia"/>
          <w:b w:val="0"/>
          <w:bCs w:val="0"/>
          <w:color w:val="000000" w:themeColor="text1"/>
          <w:sz w:val="24"/>
          <w14:textFill>
            <w14:solidFill>
              <w14:schemeClr w14:val="tx1"/>
            </w14:solidFill>
          </w14:textFill>
        </w:rPr>
      </w:pPr>
      <w:r>
        <w:rPr>
          <w:rFonts w:hint="eastAsia" w:ascii="黑体" w:hAnsi="黑体" w:eastAsia="黑体" w:cs="黑体"/>
          <w:b/>
          <w:bCs/>
          <w:color w:val="000000" w:themeColor="text1"/>
          <w:sz w:val="24"/>
          <w:szCs w:val="24"/>
          <w14:textFill>
            <w14:solidFill>
              <w14:schemeClr w14:val="tx1"/>
            </w14:solidFill>
          </w14:textFill>
        </w:rPr>
        <w:t>关键字</w:t>
      </w:r>
      <w:r>
        <w:rPr>
          <w:rFonts w:hint="eastAsia" w:ascii="黑体" w:hAnsi="黑体" w:eastAsia="黑体" w:cs="黑体"/>
          <w:color w:val="000000" w:themeColor="text1"/>
          <w:sz w:val="24"/>
          <w:szCs w:val="24"/>
          <w14:textFill>
            <w14:solidFill>
              <w14:schemeClr w14:val="tx1"/>
            </w14:solidFill>
          </w14:textFill>
        </w:rPr>
        <w:t>：</w:t>
      </w:r>
      <w:r>
        <w:rPr>
          <w:rFonts w:hint="eastAsia" w:asciiTheme="minorEastAsia" w:hAnsiTheme="minorEastAsia" w:eastAsiaTheme="minorEastAsia" w:cstheme="minorEastAsia"/>
          <w:b w:val="0"/>
          <w:bCs w:val="0"/>
          <w:color w:val="000000" w:themeColor="text1"/>
          <w:sz w:val="24"/>
          <w14:textFill>
            <w14:solidFill>
              <w14:schemeClr w14:val="tx1"/>
            </w14:solidFill>
          </w14:textFill>
        </w:rPr>
        <w:t>抗糖尿病肽；两阶段预测框架；多源特征融合；结构感知；蛋白质语言模型</w:t>
      </w:r>
    </w:p>
    <w:p w14:paraId="4ED71115">
      <w:pPr>
        <w:keepNext w:val="0"/>
        <w:keepLines w:val="0"/>
        <w:pageBreakBefore w:val="0"/>
        <w:widowControl w:val="0"/>
        <w:kinsoku/>
        <w:wordWrap/>
        <w:overflowPunct/>
        <w:topLinePunct w:val="0"/>
        <w:autoSpaceDE/>
        <w:autoSpaceDN/>
        <w:bidi w:val="0"/>
        <w:adjustRightInd/>
        <w:snapToGrid/>
        <w:spacing w:line="480" w:lineRule="exact"/>
        <w:jc w:val="center"/>
        <w:textAlignment w:val="auto"/>
        <w:outlineLvl w:val="0"/>
        <w:rPr>
          <w:rFonts w:hint="eastAsia" w:asciiTheme="minorEastAsia" w:hAnsiTheme="minorEastAsia" w:eastAsiaTheme="minorEastAsia" w:cstheme="minorEastAsia"/>
          <w:b/>
          <w:bCs/>
        </w:rPr>
        <w:sectPr>
          <w:footerReference r:id="rId5" w:type="default"/>
          <w:pgSz w:w="11906" w:h="16838"/>
          <w:pgMar w:top="1440" w:right="1800" w:bottom="1440" w:left="1800" w:header="851" w:footer="992" w:gutter="0"/>
          <w:pgNumType w:start="1"/>
          <w:cols w:space="425" w:num="1"/>
          <w:docGrid w:type="lines" w:linePitch="312" w:charSpace="0"/>
        </w:sectPr>
      </w:pPr>
      <w:bookmarkStart w:id="1" w:name="_Toc4942"/>
    </w:p>
    <w:sdt>
      <w:sdtPr>
        <w:rPr>
          <w:rFonts w:ascii="宋体" w:hAnsi="宋体" w:eastAsia="宋体"/>
          <w:b/>
          <w:bCs/>
        </w:rPr>
        <w:id w:val="147466039"/>
        <w15:color w:val="DBDBDB"/>
        <w:docPartObj>
          <w:docPartGallery w:val="Table of Contents"/>
          <w:docPartUnique/>
        </w:docPartObj>
      </w:sdtPr>
      <w:sdtEndPr>
        <w:rPr>
          <w:rFonts w:asciiTheme="minorEastAsia" w:hAnsiTheme="minorEastAsia" w:eastAsiaTheme="minorEastAsia"/>
          <w:b/>
          <w:bCs/>
          <w:sz w:val="24"/>
        </w:rPr>
      </w:sdtEndPr>
      <w:sdtContent>
        <w:p w14:paraId="2BB72739">
          <w:pPr>
            <w:jc w:val="center"/>
            <w:outlineLvl w:val="0"/>
            <w:rPr>
              <w:rFonts w:hint="eastAsia" w:ascii="黑体" w:hAnsi="黑体" w:eastAsia="黑体"/>
              <w:b/>
              <w:bCs/>
              <w:sz w:val="28"/>
              <w:szCs w:val="28"/>
            </w:rPr>
          </w:pPr>
          <w:r>
            <w:rPr>
              <w:rFonts w:hint="eastAsia" w:ascii="黑体" w:hAnsi="黑体" w:eastAsia="黑体" w:cs="黑体"/>
              <w:b/>
              <w:bCs/>
              <w:color w:val="000000" w:themeColor="text1"/>
              <w:sz w:val="28"/>
              <w:szCs w:val="28"/>
              <w14:textFill>
                <w14:solidFill>
                  <w14:schemeClr w14:val="tx1"/>
                </w14:solidFill>
              </w14:textFill>
            </w:rPr>
            <w:t>章节目录</w:t>
          </w:r>
          <w:bookmarkEnd w:id="1"/>
        </w:p>
        <w:p w14:paraId="2C689252">
          <w:pPr>
            <w:pStyle w:val="11"/>
            <w:tabs>
              <w:tab w:val="right" w:leader="dot" w:pos="8306"/>
            </w:tabs>
            <w:rPr>
              <w:rFonts w:hint="eastAsia" w:ascii="宋体" w:hAnsi="宋体" w:eastAsia="宋体" w:cs="宋体"/>
              <w:sz w:val="24"/>
            </w:rPr>
          </w:pPr>
          <w:r>
            <w:rPr>
              <w:rFonts w:asciiTheme="minorEastAsia" w:hAnsiTheme="minorEastAsia"/>
              <w:sz w:val="24"/>
            </w:rPr>
            <w:fldChar w:fldCharType="begin"/>
          </w:r>
          <w:r>
            <w:rPr>
              <w:rFonts w:asciiTheme="minorEastAsia" w:hAnsiTheme="minorEastAsia"/>
              <w:sz w:val="24"/>
            </w:rPr>
            <w:instrText xml:space="preserve">TOC \o "1-3" \h \u </w:instrText>
          </w:r>
          <w:r>
            <w:rPr>
              <w:rFonts w:asciiTheme="minorEastAsia" w:hAnsiTheme="minorEastAsia"/>
              <w:sz w:val="24"/>
            </w:rPr>
            <w:fldChar w:fldCharType="separate"/>
          </w:r>
          <w:r>
            <w:fldChar w:fldCharType="begin"/>
          </w:r>
          <w:r>
            <w:instrText xml:space="preserve"> HYPERLINK \l "_Toc25034" </w:instrText>
          </w:r>
          <w:r>
            <w:fldChar w:fldCharType="separate"/>
          </w:r>
          <w:r>
            <w:rPr>
              <w:rFonts w:hint="eastAsia" w:ascii="宋体" w:hAnsi="宋体" w:eastAsia="宋体" w:cs="宋体"/>
              <w:sz w:val="24"/>
            </w:rPr>
            <w:t>一、引言</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_Toc25034 \h </w:instrText>
          </w:r>
          <w:r>
            <w:rPr>
              <w:rFonts w:hint="eastAsia" w:ascii="宋体" w:hAnsi="宋体" w:eastAsia="宋体" w:cs="宋体"/>
              <w:sz w:val="24"/>
            </w:rPr>
            <w:fldChar w:fldCharType="separate"/>
          </w:r>
          <w:r>
            <w:rPr>
              <w:rFonts w:hint="eastAsia" w:ascii="宋体" w:hAnsi="宋体" w:eastAsia="宋体" w:cs="宋体"/>
              <w:sz w:val="24"/>
            </w:rPr>
            <w:t>1</w:t>
          </w:r>
          <w:r>
            <w:rPr>
              <w:rFonts w:hint="eastAsia" w:ascii="宋体" w:hAnsi="宋体" w:eastAsia="宋体" w:cs="宋体"/>
              <w:sz w:val="24"/>
            </w:rPr>
            <w:fldChar w:fldCharType="end"/>
          </w:r>
          <w:r>
            <w:rPr>
              <w:rFonts w:hint="eastAsia" w:ascii="宋体" w:hAnsi="宋体" w:eastAsia="宋体" w:cs="宋体"/>
              <w:sz w:val="24"/>
            </w:rPr>
            <w:fldChar w:fldCharType="end"/>
          </w:r>
        </w:p>
        <w:p w14:paraId="42C21ABF">
          <w:pPr>
            <w:pStyle w:val="11"/>
            <w:tabs>
              <w:tab w:val="right" w:leader="dot" w:pos="8306"/>
            </w:tabs>
            <w:rPr>
              <w:rFonts w:hint="eastAsia" w:ascii="宋体" w:hAnsi="宋体" w:eastAsia="宋体" w:cs="宋体"/>
              <w:sz w:val="24"/>
            </w:rPr>
          </w:pPr>
          <w:r>
            <w:fldChar w:fldCharType="begin"/>
          </w:r>
          <w:r>
            <w:instrText xml:space="preserve"> HYPERLINK \l "_Toc27169" </w:instrText>
          </w:r>
          <w:r>
            <w:fldChar w:fldCharType="separate"/>
          </w:r>
          <w:r>
            <w:rPr>
              <w:rFonts w:hint="eastAsia" w:ascii="宋体" w:hAnsi="宋体" w:eastAsia="宋体" w:cs="宋体"/>
              <w:bCs/>
              <w:sz w:val="24"/>
            </w:rPr>
            <w:t>二、材料与方法</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_Toc27169 \h </w:instrText>
          </w:r>
          <w:r>
            <w:rPr>
              <w:rFonts w:hint="eastAsia" w:ascii="宋体" w:hAnsi="宋体" w:eastAsia="宋体" w:cs="宋体"/>
              <w:sz w:val="24"/>
            </w:rPr>
            <w:fldChar w:fldCharType="separate"/>
          </w:r>
          <w:r>
            <w:rPr>
              <w:rFonts w:hint="eastAsia" w:ascii="宋体" w:hAnsi="宋体" w:eastAsia="宋体" w:cs="宋体"/>
              <w:sz w:val="24"/>
            </w:rPr>
            <w:t>2</w:t>
          </w:r>
          <w:r>
            <w:rPr>
              <w:rFonts w:hint="eastAsia" w:ascii="宋体" w:hAnsi="宋体" w:eastAsia="宋体" w:cs="宋体"/>
              <w:sz w:val="24"/>
            </w:rPr>
            <w:fldChar w:fldCharType="end"/>
          </w:r>
          <w:r>
            <w:rPr>
              <w:rFonts w:hint="eastAsia" w:ascii="宋体" w:hAnsi="宋体" w:eastAsia="宋体" w:cs="宋体"/>
              <w:sz w:val="24"/>
            </w:rPr>
            <w:fldChar w:fldCharType="end"/>
          </w:r>
        </w:p>
        <w:p w14:paraId="2B88EBC0">
          <w:pPr>
            <w:pStyle w:val="13"/>
            <w:tabs>
              <w:tab w:val="right" w:leader="dot" w:pos="8306"/>
            </w:tabs>
            <w:rPr>
              <w:rFonts w:hint="eastAsia" w:ascii="宋体" w:hAnsi="宋体" w:eastAsia="宋体" w:cs="宋体"/>
              <w:sz w:val="24"/>
            </w:rPr>
          </w:pPr>
          <w:r>
            <w:fldChar w:fldCharType="begin"/>
          </w:r>
          <w:r>
            <w:instrText xml:space="preserve"> HYPERLINK \l "_Toc4011" </w:instrText>
          </w:r>
          <w:r>
            <w:fldChar w:fldCharType="separate"/>
          </w:r>
          <w:r>
            <w:rPr>
              <w:rFonts w:hint="eastAsia" w:ascii="宋体" w:hAnsi="宋体" w:eastAsia="宋体" w:cs="宋体"/>
              <w:sz w:val="24"/>
            </w:rPr>
            <w:t>（一）数据集构建</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_Toc4011 \h </w:instrText>
          </w:r>
          <w:r>
            <w:rPr>
              <w:rFonts w:hint="eastAsia" w:ascii="宋体" w:hAnsi="宋体" w:eastAsia="宋体" w:cs="宋体"/>
              <w:sz w:val="24"/>
            </w:rPr>
            <w:fldChar w:fldCharType="separate"/>
          </w:r>
          <w:r>
            <w:rPr>
              <w:rFonts w:hint="eastAsia" w:ascii="宋体" w:hAnsi="宋体" w:eastAsia="宋体" w:cs="宋体"/>
              <w:sz w:val="24"/>
            </w:rPr>
            <w:t>3</w:t>
          </w:r>
          <w:r>
            <w:rPr>
              <w:rFonts w:hint="eastAsia" w:ascii="宋体" w:hAnsi="宋体" w:eastAsia="宋体" w:cs="宋体"/>
              <w:sz w:val="24"/>
            </w:rPr>
            <w:fldChar w:fldCharType="end"/>
          </w:r>
          <w:r>
            <w:rPr>
              <w:rFonts w:hint="eastAsia" w:ascii="宋体" w:hAnsi="宋体" w:eastAsia="宋体" w:cs="宋体"/>
              <w:sz w:val="24"/>
            </w:rPr>
            <w:fldChar w:fldCharType="end"/>
          </w:r>
        </w:p>
        <w:p w14:paraId="3EC900D6">
          <w:pPr>
            <w:pStyle w:val="13"/>
            <w:tabs>
              <w:tab w:val="right" w:leader="dot" w:pos="8306"/>
            </w:tabs>
            <w:rPr>
              <w:rFonts w:hint="eastAsia" w:ascii="宋体" w:hAnsi="宋体" w:eastAsia="宋体" w:cs="宋体"/>
              <w:sz w:val="24"/>
            </w:rPr>
          </w:pPr>
          <w:r>
            <w:fldChar w:fldCharType="begin"/>
          </w:r>
          <w:r>
            <w:instrText xml:space="preserve"> HYPERLINK \l "_Toc22414" </w:instrText>
          </w:r>
          <w:r>
            <w:fldChar w:fldCharType="separate"/>
          </w:r>
          <w:r>
            <w:rPr>
              <w:rFonts w:hint="eastAsia" w:ascii="宋体" w:hAnsi="宋体" w:eastAsia="宋体" w:cs="宋体"/>
              <w:sz w:val="24"/>
            </w:rPr>
            <w:t>（二）氨基酸组成分析</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_Toc22414 \h </w:instrText>
          </w:r>
          <w:r>
            <w:rPr>
              <w:rFonts w:hint="eastAsia" w:ascii="宋体" w:hAnsi="宋体" w:eastAsia="宋体" w:cs="宋体"/>
              <w:sz w:val="24"/>
            </w:rPr>
            <w:fldChar w:fldCharType="separate"/>
          </w:r>
          <w:r>
            <w:rPr>
              <w:rFonts w:hint="eastAsia" w:ascii="宋体" w:hAnsi="宋体" w:eastAsia="宋体" w:cs="宋体"/>
              <w:sz w:val="24"/>
            </w:rPr>
            <w:t>4</w:t>
          </w:r>
          <w:r>
            <w:rPr>
              <w:rFonts w:hint="eastAsia" w:ascii="宋体" w:hAnsi="宋体" w:eastAsia="宋体" w:cs="宋体"/>
              <w:sz w:val="24"/>
            </w:rPr>
            <w:fldChar w:fldCharType="end"/>
          </w:r>
          <w:r>
            <w:rPr>
              <w:rFonts w:hint="eastAsia" w:ascii="宋体" w:hAnsi="宋体" w:eastAsia="宋体" w:cs="宋体"/>
              <w:sz w:val="24"/>
            </w:rPr>
            <w:fldChar w:fldCharType="end"/>
          </w:r>
        </w:p>
        <w:p w14:paraId="4031F4A6">
          <w:pPr>
            <w:pStyle w:val="13"/>
            <w:tabs>
              <w:tab w:val="right" w:leader="dot" w:pos="8306"/>
            </w:tabs>
            <w:rPr>
              <w:rFonts w:hint="eastAsia" w:ascii="宋体" w:hAnsi="宋体" w:eastAsia="宋体" w:cs="宋体"/>
              <w:sz w:val="24"/>
            </w:rPr>
          </w:pPr>
          <w:r>
            <w:fldChar w:fldCharType="begin"/>
          </w:r>
          <w:r>
            <w:instrText xml:space="preserve"> HYPERLINK \l "_Toc14801" </w:instrText>
          </w:r>
          <w:r>
            <w:fldChar w:fldCharType="separate"/>
          </w:r>
          <w:r>
            <w:rPr>
              <w:rFonts w:hint="eastAsia" w:ascii="宋体" w:hAnsi="宋体" w:eastAsia="宋体" w:cs="宋体"/>
              <w:sz w:val="24"/>
            </w:rPr>
            <w:t>（三）特征表示</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_Toc14801 \h </w:instrText>
          </w:r>
          <w:r>
            <w:rPr>
              <w:rFonts w:hint="eastAsia" w:ascii="宋体" w:hAnsi="宋体" w:eastAsia="宋体" w:cs="宋体"/>
              <w:sz w:val="24"/>
            </w:rPr>
            <w:fldChar w:fldCharType="separate"/>
          </w:r>
          <w:r>
            <w:rPr>
              <w:rFonts w:hint="eastAsia" w:ascii="宋体" w:hAnsi="宋体" w:eastAsia="宋体" w:cs="宋体"/>
              <w:sz w:val="24"/>
            </w:rPr>
            <w:t>4</w:t>
          </w:r>
          <w:r>
            <w:rPr>
              <w:rFonts w:hint="eastAsia" w:ascii="宋体" w:hAnsi="宋体" w:eastAsia="宋体" w:cs="宋体"/>
              <w:sz w:val="24"/>
            </w:rPr>
            <w:fldChar w:fldCharType="end"/>
          </w:r>
          <w:r>
            <w:rPr>
              <w:rFonts w:hint="eastAsia" w:ascii="宋体" w:hAnsi="宋体" w:eastAsia="宋体" w:cs="宋体"/>
              <w:sz w:val="24"/>
            </w:rPr>
            <w:fldChar w:fldCharType="end"/>
          </w:r>
        </w:p>
        <w:p w14:paraId="57835527">
          <w:pPr>
            <w:pStyle w:val="7"/>
            <w:tabs>
              <w:tab w:val="right" w:leader="dot" w:pos="8306"/>
            </w:tabs>
            <w:rPr>
              <w:rFonts w:hint="eastAsia" w:ascii="宋体" w:hAnsi="宋体" w:eastAsia="宋体" w:cs="宋体"/>
              <w:sz w:val="24"/>
            </w:rPr>
          </w:pPr>
          <w:r>
            <w:fldChar w:fldCharType="begin"/>
          </w:r>
          <w:r>
            <w:instrText xml:space="preserve"> HYPERLINK \l "_Toc31482" </w:instrText>
          </w:r>
          <w:r>
            <w:fldChar w:fldCharType="separate"/>
          </w:r>
          <w:r>
            <w:rPr>
              <w:rFonts w:hint="eastAsia" w:ascii="宋体" w:hAnsi="宋体" w:eastAsia="宋体" w:cs="宋体"/>
              <w:bCs/>
              <w:kern w:val="0"/>
              <w:sz w:val="24"/>
              <w:lang w:bidi="ar"/>
            </w:rPr>
            <w:t>1、AAC</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_Toc31482 \h </w:instrText>
          </w:r>
          <w:r>
            <w:rPr>
              <w:rFonts w:hint="eastAsia" w:ascii="宋体" w:hAnsi="宋体" w:eastAsia="宋体" w:cs="宋体"/>
              <w:sz w:val="24"/>
            </w:rPr>
            <w:fldChar w:fldCharType="separate"/>
          </w:r>
          <w:r>
            <w:rPr>
              <w:rFonts w:hint="eastAsia" w:ascii="宋体" w:hAnsi="宋体" w:eastAsia="宋体" w:cs="宋体"/>
              <w:sz w:val="24"/>
            </w:rPr>
            <w:t>5</w:t>
          </w:r>
          <w:r>
            <w:rPr>
              <w:rFonts w:hint="eastAsia" w:ascii="宋体" w:hAnsi="宋体" w:eastAsia="宋体" w:cs="宋体"/>
              <w:sz w:val="24"/>
            </w:rPr>
            <w:fldChar w:fldCharType="end"/>
          </w:r>
          <w:r>
            <w:rPr>
              <w:rFonts w:hint="eastAsia" w:ascii="宋体" w:hAnsi="宋体" w:eastAsia="宋体" w:cs="宋体"/>
              <w:sz w:val="24"/>
            </w:rPr>
            <w:fldChar w:fldCharType="end"/>
          </w:r>
        </w:p>
        <w:p w14:paraId="646692A1">
          <w:pPr>
            <w:pStyle w:val="7"/>
            <w:tabs>
              <w:tab w:val="right" w:leader="dot" w:pos="8306"/>
            </w:tabs>
            <w:rPr>
              <w:rFonts w:hint="eastAsia" w:ascii="宋体" w:hAnsi="宋体" w:eastAsia="宋体" w:cs="宋体"/>
              <w:sz w:val="24"/>
            </w:rPr>
          </w:pPr>
          <w:r>
            <w:fldChar w:fldCharType="begin"/>
          </w:r>
          <w:r>
            <w:instrText xml:space="preserve"> HYPERLINK \l "_Toc32404" </w:instrText>
          </w:r>
          <w:r>
            <w:fldChar w:fldCharType="separate"/>
          </w:r>
          <w:r>
            <w:rPr>
              <w:rFonts w:hint="eastAsia" w:ascii="宋体" w:hAnsi="宋体" w:eastAsia="宋体" w:cs="宋体"/>
              <w:bCs/>
              <w:kern w:val="0"/>
              <w:sz w:val="24"/>
              <w:lang w:bidi="ar"/>
            </w:rPr>
            <w:t>2、理化性质特征</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_Toc32404 \h </w:instrText>
          </w:r>
          <w:r>
            <w:rPr>
              <w:rFonts w:hint="eastAsia" w:ascii="宋体" w:hAnsi="宋体" w:eastAsia="宋体" w:cs="宋体"/>
              <w:sz w:val="24"/>
            </w:rPr>
            <w:fldChar w:fldCharType="separate"/>
          </w:r>
          <w:r>
            <w:rPr>
              <w:rFonts w:hint="eastAsia" w:ascii="宋体" w:hAnsi="宋体" w:eastAsia="宋体" w:cs="宋体"/>
              <w:sz w:val="24"/>
            </w:rPr>
            <w:t>5</w:t>
          </w:r>
          <w:r>
            <w:rPr>
              <w:rFonts w:hint="eastAsia" w:ascii="宋体" w:hAnsi="宋体" w:eastAsia="宋体" w:cs="宋体"/>
              <w:sz w:val="24"/>
            </w:rPr>
            <w:fldChar w:fldCharType="end"/>
          </w:r>
          <w:r>
            <w:rPr>
              <w:rFonts w:hint="eastAsia" w:ascii="宋体" w:hAnsi="宋体" w:eastAsia="宋体" w:cs="宋体"/>
              <w:sz w:val="24"/>
            </w:rPr>
            <w:fldChar w:fldCharType="end"/>
          </w:r>
        </w:p>
        <w:p w14:paraId="4E14260B">
          <w:pPr>
            <w:pStyle w:val="7"/>
            <w:tabs>
              <w:tab w:val="right" w:leader="dot" w:pos="8306"/>
            </w:tabs>
            <w:rPr>
              <w:rFonts w:hint="eastAsia" w:ascii="宋体" w:hAnsi="宋体" w:eastAsia="宋体" w:cs="宋体"/>
              <w:sz w:val="24"/>
            </w:rPr>
          </w:pPr>
          <w:r>
            <w:fldChar w:fldCharType="begin"/>
          </w:r>
          <w:r>
            <w:instrText xml:space="preserve"> HYPERLINK \l "_Toc25010" </w:instrText>
          </w:r>
          <w:r>
            <w:fldChar w:fldCharType="separate"/>
          </w:r>
          <w:r>
            <w:rPr>
              <w:rFonts w:hint="eastAsia" w:ascii="宋体" w:hAnsi="宋体" w:eastAsia="宋体" w:cs="宋体"/>
              <w:bCs/>
              <w:kern w:val="0"/>
              <w:sz w:val="24"/>
              <w:lang w:bidi="ar"/>
            </w:rPr>
            <w:t>3、CTD</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_Toc25010 \h </w:instrText>
          </w:r>
          <w:r>
            <w:rPr>
              <w:rFonts w:hint="eastAsia" w:ascii="宋体" w:hAnsi="宋体" w:eastAsia="宋体" w:cs="宋体"/>
              <w:sz w:val="24"/>
            </w:rPr>
            <w:fldChar w:fldCharType="separate"/>
          </w:r>
          <w:r>
            <w:rPr>
              <w:rFonts w:hint="eastAsia" w:ascii="宋体" w:hAnsi="宋体" w:eastAsia="宋体" w:cs="宋体"/>
              <w:sz w:val="24"/>
            </w:rPr>
            <w:t>5</w:t>
          </w:r>
          <w:r>
            <w:rPr>
              <w:rFonts w:hint="eastAsia" w:ascii="宋体" w:hAnsi="宋体" w:eastAsia="宋体" w:cs="宋体"/>
              <w:sz w:val="24"/>
            </w:rPr>
            <w:fldChar w:fldCharType="end"/>
          </w:r>
          <w:r>
            <w:rPr>
              <w:rFonts w:hint="eastAsia" w:ascii="宋体" w:hAnsi="宋体" w:eastAsia="宋体" w:cs="宋体"/>
              <w:sz w:val="24"/>
            </w:rPr>
            <w:fldChar w:fldCharType="end"/>
          </w:r>
        </w:p>
        <w:p w14:paraId="760461FD">
          <w:pPr>
            <w:pStyle w:val="7"/>
            <w:tabs>
              <w:tab w:val="right" w:leader="dot" w:pos="8306"/>
            </w:tabs>
            <w:rPr>
              <w:rFonts w:hint="eastAsia" w:ascii="宋体" w:hAnsi="宋体" w:eastAsia="宋体" w:cs="宋体"/>
              <w:sz w:val="24"/>
            </w:rPr>
          </w:pPr>
          <w:r>
            <w:fldChar w:fldCharType="begin"/>
          </w:r>
          <w:r>
            <w:instrText xml:space="preserve"> HYPERLINK \l "_Toc25862" </w:instrText>
          </w:r>
          <w:r>
            <w:fldChar w:fldCharType="separate"/>
          </w:r>
          <w:r>
            <w:rPr>
              <w:rFonts w:hint="eastAsia" w:ascii="宋体" w:hAnsi="宋体" w:eastAsia="宋体" w:cs="宋体"/>
              <w:bCs/>
              <w:kern w:val="0"/>
              <w:sz w:val="24"/>
              <w:lang w:bidi="ar"/>
            </w:rPr>
            <w:t>4、长度分箱特征</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_Toc25862 \h </w:instrText>
          </w:r>
          <w:r>
            <w:rPr>
              <w:rFonts w:hint="eastAsia" w:ascii="宋体" w:hAnsi="宋体" w:eastAsia="宋体" w:cs="宋体"/>
              <w:sz w:val="24"/>
            </w:rPr>
            <w:fldChar w:fldCharType="separate"/>
          </w:r>
          <w:r>
            <w:rPr>
              <w:rFonts w:hint="eastAsia" w:ascii="宋体" w:hAnsi="宋体" w:eastAsia="宋体" w:cs="宋体"/>
              <w:sz w:val="24"/>
            </w:rPr>
            <w:t>6</w:t>
          </w:r>
          <w:r>
            <w:rPr>
              <w:rFonts w:hint="eastAsia" w:ascii="宋体" w:hAnsi="宋体" w:eastAsia="宋体" w:cs="宋体"/>
              <w:sz w:val="24"/>
            </w:rPr>
            <w:fldChar w:fldCharType="end"/>
          </w:r>
          <w:r>
            <w:rPr>
              <w:rFonts w:hint="eastAsia" w:ascii="宋体" w:hAnsi="宋体" w:eastAsia="宋体" w:cs="宋体"/>
              <w:sz w:val="24"/>
            </w:rPr>
            <w:fldChar w:fldCharType="end"/>
          </w:r>
        </w:p>
        <w:p w14:paraId="213019A1">
          <w:pPr>
            <w:pStyle w:val="7"/>
            <w:tabs>
              <w:tab w:val="right" w:leader="dot" w:pos="8306"/>
            </w:tabs>
            <w:rPr>
              <w:rFonts w:hint="eastAsia" w:ascii="宋体" w:hAnsi="宋体" w:eastAsia="宋体" w:cs="宋体"/>
              <w:sz w:val="24"/>
            </w:rPr>
          </w:pPr>
          <w:r>
            <w:fldChar w:fldCharType="begin"/>
          </w:r>
          <w:r>
            <w:instrText xml:space="preserve"> HYPERLINK \l "_Toc12717" </w:instrText>
          </w:r>
          <w:r>
            <w:fldChar w:fldCharType="separate"/>
          </w:r>
          <w:r>
            <w:rPr>
              <w:rFonts w:hint="eastAsia" w:ascii="宋体" w:hAnsi="宋体" w:eastAsia="宋体" w:cs="宋体"/>
              <w:bCs/>
              <w:kern w:val="0"/>
              <w:sz w:val="24"/>
              <w:lang w:bidi="ar"/>
            </w:rPr>
            <w:t>5、ESM2</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_Toc12717 \h </w:instrText>
          </w:r>
          <w:r>
            <w:rPr>
              <w:rFonts w:hint="eastAsia" w:ascii="宋体" w:hAnsi="宋体" w:eastAsia="宋体" w:cs="宋体"/>
              <w:sz w:val="24"/>
            </w:rPr>
            <w:fldChar w:fldCharType="separate"/>
          </w:r>
          <w:r>
            <w:rPr>
              <w:rFonts w:hint="eastAsia" w:ascii="宋体" w:hAnsi="宋体" w:eastAsia="宋体" w:cs="宋体"/>
              <w:sz w:val="24"/>
            </w:rPr>
            <w:t>6</w:t>
          </w:r>
          <w:r>
            <w:rPr>
              <w:rFonts w:hint="eastAsia" w:ascii="宋体" w:hAnsi="宋体" w:eastAsia="宋体" w:cs="宋体"/>
              <w:sz w:val="24"/>
            </w:rPr>
            <w:fldChar w:fldCharType="end"/>
          </w:r>
          <w:r>
            <w:rPr>
              <w:rFonts w:hint="eastAsia" w:ascii="宋体" w:hAnsi="宋体" w:eastAsia="宋体" w:cs="宋体"/>
              <w:sz w:val="24"/>
            </w:rPr>
            <w:fldChar w:fldCharType="end"/>
          </w:r>
        </w:p>
        <w:p w14:paraId="4D53EC8F">
          <w:pPr>
            <w:pStyle w:val="7"/>
            <w:tabs>
              <w:tab w:val="right" w:leader="dot" w:pos="8306"/>
            </w:tabs>
            <w:rPr>
              <w:rFonts w:hint="eastAsia" w:ascii="宋体" w:hAnsi="宋体" w:eastAsia="宋体" w:cs="宋体"/>
              <w:sz w:val="24"/>
            </w:rPr>
          </w:pPr>
          <w:r>
            <w:fldChar w:fldCharType="begin"/>
          </w:r>
          <w:r>
            <w:instrText xml:space="preserve"> HYPERLINK \l "_Toc29122" </w:instrText>
          </w:r>
          <w:r>
            <w:fldChar w:fldCharType="separate"/>
          </w:r>
          <w:r>
            <w:rPr>
              <w:rFonts w:hint="eastAsia" w:ascii="宋体" w:hAnsi="宋体" w:eastAsia="宋体" w:cs="宋体"/>
              <w:bCs/>
              <w:kern w:val="0"/>
              <w:sz w:val="24"/>
              <w:lang w:bidi="ar"/>
            </w:rPr>
            <w:t>6、ProtBert</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_Toc29122 \h </w:instrText>
          </w:r>
          <w:r>
            <w:rPr>
              <w:rFonts w:hint="eastAsia" w:ascii="宋体" w:hAnsi="宋体" w:eastAsia="宋体" w:cs="宋体"/>
              <w:sz w:val="24"/>
            </w:rPr>
            <w:fldChar w:fldCharType="separate"/>
          </w:r>
          <w:r>
            <w:rPr>
              <w:rFonts w:hint="eastAsia" w:ascii="宋体" w:hAnsi="宋体" w:eastAsia="宋体" w:cs="宋体"/>
              <w:sz w:val="24"/>
            </w:rPr>
            <w:t>7</w:t>
          </w:r>
          <w:r>
            <w:rPr>
              <w:rFonts w:hint="eastAsia" w:ascii="宋体" w:hAnsi="宋体" w:eastAsia="宋体" w:cs="宋体"/>
              <w:sz w:val="24"/>
            </w:rPr>
            <w:fldChar w:fldCharType="end"/>
          </w:r>
          <w:r>
            <w:rPr>
              <w:rFonts w:hint="eastAsia" w:ascii="宋体" w:hAnsi="宋体" w:eastAsia="宋体" w:cs="宋体"/>
              <w:sz w:val="24"/>
            </w:rPr>
            <w:fldChar w:fldCharType="end"/>
          </w:r>
        </w:p>
        <w:p w14:paraId="27A71732">
          <w:pPr>
            <w:pStyle w:val="7"/>
            <w:tabs>
              <w:tab w:val="right" w:leader="dot" w:pos="8306"/>
            </w:tabs>
            <w:rPr>
              <w:rFonts w:hint="eastAsia" w:ascii="宋体" w:hAnsi="宋体" w:eastAsia="宋体" w:cs="宋体"/>
              <w:sz w:val="24"/>
            </w:rPr>
          </w:pPr>
          <w:r>
            <w:fldChar w:fldCharType="begin"/>
          </w:r>
          <w:r>
            <w:instrText xml:space="preserve"> HYPERLINK \l "_Toc405" </w:instrText>
          </w:r>
          <w:r>
            <w:fldChar w:fldCharType="separate"/>
          </w:r>
          <w:r>
            <w:rPr>
              <w:rFonts w:hint="eastAsia" w:ascii="宋体" w:hAnsi="宋体" w:eastAsia="宋体" w:cs="宋体"/>
              <w:bCs/>
              <w:kern w:val="0"/>
              <w:sz w:val="24"/>
              <w:lang w:bidi="ar"/>
            </w:rPr>
            <w:t>7、Saprot</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_Toc405 \h </w:instrText>
          </w:r>
          <w:r>
            <w:rPr>
              <w:rFonts w:hint="eastAsia" w:ascii="宋体" w:hAnsi="宋体" w:eastAsia="宋体" w:cs="宋体"/>
              <w:sz w:val="24"/>
            </w:rPr>
            <w:fldChar w:fldCharType="separate"/>
          </w:r>
          <w:r>
            <w:rPr>
              <w:rFonts w:hint="eastAsia" w:ascii="宋体" w:hAnsi="宋体" w:eastAsia="宋体" w:cs="宋体"/>
              <w:sz w:val="24"/>
            </w:rPr>
            <w:t>7</w:t>
          </w:r>
          <w:r>
            <w:rPr>
              <w:rFonts w:hint="eastAsia" w:ascii="宋体" w:hAnsi="宋体" w:eastAsia="宋体" w:cs="宋体"/>
              <w:sz w:val="24"/>
            </w:rPr>
            <w:fldChar w:fldCharType="end"/>
          </w:r>
          <w:r>
            <w:rPr>
              <w:rFonts w:hint="eastAsia" w:ascii="宋体" w:hAnsi="宋体" w:eastAsia="宋体" w:cs="宋体"/>
              <w:sz w:val="24"/>
            </w:rPr>
            <w:fldChar w:fldCharType="end"/>
          </w:r>
        </w:p>
        <w:p w14:paraId="5031AC8F">
          <w:pPr>
            <w:pStyle w:val="13"/>
            <w:tabs>
              <w:tab w:val="right" w:leader="dot" w:pos="8306"/>
            </w:tabs>
            <w:rPr>
              <w:rFonts w:hint="eastAsia" w:ascii="宋体" w:hAnsi="宋体" w:eastAsia="宋体" w:cs="宋体"/>
              <w:sz w:val="24"/>
            </w:rPr>
          </w:pPr>
          <w:r>
            <w:fldChar w:fldCharType="begin"/>
          </w:r>
          <w:r>
            <w:instrText xml:space="preserve"> HYPERLINK \l "_Toc23388" </w:instrText>
          </w:r>
          <w:r>
            <w:fldChar w:fldCharType="separate"/>
          </w:r>
          <w:r>
            <w:rPr>
              <w:rFonts w:hint="eastAsia" w:ascii="宋体" w:hAnsi="宋体" w:eastAsia="宋体" w:cs="宋体"/>
              <w:sz w:val="24"/>
            </w:rPr>
            <w:t>（四）机器学习</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_Toc23388 \h </w:instrText>
          </w:r>
          <w:r>
            <w:rPr>
              <w:rFonts w:hint="eastAsia" w:ascii="宋体" w:hAnsi="宋体" w:eastAsia="宋体" w:cs="宋体"/>
              <w:sz w:val="24"/>
            </w:rPr>
            <w:fldChar w:fldCharType="separate"/>
          </w:r>
          <w:r>
            <w:rPr>
              <w:rFonts w:hint="eastAsia" w:ascii="宋体" w:hAnsi="宋体" w:eastAsia="宋体" w:cs="宋体"/>
              <w:sz w:val="24"/>
            </w:rPr>
            <w:t>8</w:t>
          </w:r>
          <w:r>
            <w:rPr>
              <w:rFonts w:hint="eastAsia" w:ascii="宋体" w:hAnsi="宋体" w:eastAsia="宋体" w:cs="宋体"/>
              <w:sz w:val="24"/>
            </w:rPr>
            <w:fldChar w:fldCharType="end"/>
          </w:r>
          <w:r>
            <w:rPr>
              <w:rFonts w:hint="eastAsia" w:ascii="宋体" w:hAnsi="宋体" w:eastAsia="宋体" w:cs="宋体"/>
              <w:sz w:val="24"/>
            </w:rPr>
            <w:fldChar w:fldCharType="end"/>
          </w:r>
        </w:p>
        <w:p w14:paraId="1CB5CA29">
          <w:pPr>
            <w:pStyle w:val="7"/>
            <w:tabs>
              <w:tab w:val="right" w:leader="dot" w:pos="8306"/>
            </w:tabs>
            <w:rPr>
              <w:rFonts w:hint="eastAsia" w:ascii="宋体" w:hAnsi="宋体" w:eastAsia="宋体" w:cs="宋体"/>
              <w:sz w:val="24"/>
            </w:rPr>
          </w:pPr>
          <w:r>
            <w:fldChar w:fldCharType="begin"/>
          </w:r>
          <w:r>
            <w:instrText xml:space="preserve"> HYPERLINK \l "_Toc1522" </w:instrText>
          </w:r>
          <w:r>
            <w:fldChar w:fldCharType="separate"/>
          </w:r>
          <w:r>
            <w:rPr>
              <w:rFonts w:hint="eastAsia" w:ascii="宋体" w:hAnsi="宋体" w:eastAsia="宋体" w:cs="宋体"/>
              <w:bCs/>
              <w:kern w:val="0"/>
              <w:sz w:val="24"/>
              <w:lang w:bidi="ar"/>
            </w:rPr>
            <w:t>1、MLP</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_Toc1522 \h </w:instrText>
          </w:r>
          <w:r>
            <w:rPr>
              <w:rFonts w:hint="eastAsia" w:ascii="宋体" w:hAnsi="宋体" w:eastAsia="宋体" w:cs="宋体"/>
              <w:sz w:val="24"/>
            </w:rPr>
            <w:fldChar w:fldCharType="separate"/>
          </w:r>
          <w:r>
            <w:rPr>
              <w:rFonts w:hint="eastAsia" w:ascii="宋体" w:hAnsi="宋体" w:eastAsia="宋体" w:cs="宋体"/>
              <w:sz w:val="24"/>
            </w:rPr>
            <w:t>8</w:t>
          </w:r>
          <w:r>
            <w:rPr>
              <w:rFonts w:hint="eastAsia" w:ascii="宋体" w:hAnsi="宋体" w:eastAsia="宋体" w:cs="宋体"/>
              <w:sz w:val="24"/>
            </w:rPr>
            <w:fldChar w:fldCharType="end"/>
          </w:r>
          <w:r>
            <w:rPr>
              <w:rFonts w:hint="eastAsia" w:ascii="宋体" w:hAnsi="宋体" w:eastAsia="宋体" w:cs="宋体"/>
              <w:sz w:val="24"/>
            </w:rPr>
            <w:fldChar w:fldCharType="end"/>
          </w:r>
        </w:p>
        <w:p w14:paraId="05194311">
          <w:pPr>
            <w:pStyle w:val="7"/>
            <w:tabs>
              <w:tab w:val="right" w:leader="dot" w:pos="8306"/>
            </w:tabs>
            <w:rPr>
              <w:rFonts w:hint="eastAsia" w:ascii="宋体" w:hAnsi="宋体" w:eastAsia="宋体" w:cs="宋体"/>
              <w:sz w:val="24"/>
            </w:rPr>
          </w:pPr>
          <w:r>
            <w:fldChar w:fldCharType="begin"/>
          </w:r>
          <w:r>
            <w:instrText xml:space="preserve"> HYPERLINK \l "_Toc9052" </w:instrText>
          </w:r>
          <w:r>
            <w:fldChar w:fldCharType="separate"/>
          </w:r>
          <w:r>
            <w:rPr>
              <w:rFonts w:hint="eastAsia" w:ascii="宋体" w:hAnsi="宋体" w:eastAsia="宋体" w:cs="宋体"/>
              <w:bCs/>
              <w:kern w:val="0"/>
              <w:sz w:val="24"/>
              <w:lang w:bidi="ar"/>
            </w:rPr>
            <w:t>2、XGBoost</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_Toc9052 \h </w:instrText>
          </w:r>
          <w:r>
            <w:rPr>
              <w:rFonts w:hint="eastAsia" w:ascii="宋体" w:hAnsi="宋体" w:eastAsia="宋体" w:cs="宋体"/>
              <w:sz w:val="24"/>
            </w:rPr>
            <w:fldChar w:fldCharType="separate"/>
          </w:r>
          <w:r>
            <w:rPr>
              <w:rFonts w:hint="eastAsia" w:ascii="宋体" w:hAnsi="宋体" w:eastAsia="宋体" w:cs="宋体"/>
              <w:sz w:val="24"/>
            </w:rPr>
            <w:t>8</w:t>
          </w:r>
          <w:r>
            <w:rPr>
              <w:rFonts w:hint="eastAsia" w:ascii="宋体" w:hAnsi="宋体" w:eastAsia="宋体" w:cs="宋体"/>
              <w:sz w:val="24"/>
            </w:rPr>
            <w:fldChar w:fldCharType="end"/>
          </w:r>
          <w:r>
            <w:rPr>
              <w:rFonts w:hint="eastAsia" w:ascii="宋体" w:hAnsi="宋体" w:eastAsia="宋体" w:cs="宋体"/>
              <w:sz w:val="24"/>
            </w:rPr>
            <w:fldChar w:fldCharType="end"/>
          </w:r>
        </w:p>
        <w:p w14:paraId="352E912F">
          <w:pPr>
            <w:pStyle w:val="13"/>
            <w:tabs>
              <w:tab w:val="right" w:leader="dot" w:pos="8306"/>
            </w:tabs>
            <w:rPr>
              <w:rFonts w:hint="eastAsia" w:ascii="宋体" w:hAnsi="宋体" w:eastAsia="宋体" w:cs="宋体"/>
              <w:sz w:val="24"/>
            </w:rPr>
          </w:pPr>
          <w:r>
            <w:fldChar w:fldCharType="begin"/>
          </w:r>
          <w:r>
            <w:instrText xml:space="preserve"> HYPERLINK \l "_Toc25805" </w:instrText>
          </w:r>
          <w:r>
            <w:fldChar w:fldCharType="separate"/>
          </w:r>
          <w:r>
            <w:rPr>
              <w:rFonts w:hint="eastAsia" w:ascii="宋体" w:hAnsi="宋体" w:eastAsia="宋体" w:cs="宋体"/>
              <w:sz w:val="24"/>
            </w:rPr>
            <w:t>（五）性能评估</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_Toc25805 \h </w:instrText>
          </w:r>
          <w:r>
            <w:rPr>
              <w:rFonts w:hint="eastAsia" w:ascii="宋体" w:hAnsi="宋体" w:eastAsia="宋体" w:cs="宋体"/>
              <w:sz w:val="24"/>
            </w:rPr>
            <w:fldChar w:fldCharType="separate"/>
          </w:r>
          <w:r>
            <w:rPr>
              <w:rFonts w:hint="eastAsia" w:ascii="宋体" w:hAnsi="宋体" w:eastAsia="宋体" w:cs="宋体"/>
              <w:sz w:val="24"/>
            </w:rPr>
            <w:t>9</w:t>
          </w:r>
          <w:r>
            <w:rPr>
              <w:rFonts w:hint="eastAsia" w:ascii="宋体" w:hAnsi="宋体" w:eastAsia="宋体" w:cs="宋体"/>
              <w:sz w:val="24"/>
            </w:rPr>
            <w:fldChar w:fldCharType="end"/>
          </w:r>
          <w:r>
            <w:rPr>
              <w:rFonts w:hint="eastAsia" w:ascii="宋体" w:hAnsi="宋体" w:eastAsia="宋体" w:cs="宋体"/>
              <w:sz w:val="24"/>
            </w:rPr>
            <w:fldChar w:fldCharType="end"/>
          </w:r>
        </w:p>
        <w:p w14:paraId="56847FC8">
          <w:pPr>
            <w:pStyle w:val="11"/>
            <w:tabs>
              <w:tab w:val="right" w:leader="dot" w:pos="8306"/>
            </w:tabs>
            <w:rPr>
              <w:rFonts w:hint="eastAsia" w:ascii="宋体" w:hAnsi="宋体" w:eastAsia="宋体" w:cs="宋体"/>
              <w:sz w:val="24"/>
            </w:rPr>
          </w:pPr>
          <w:r>
            <w:fldChar w:fldCharType="begin"/>
          </w:r>
          <w:r>
            <w:instrText xml:space="preserve"> HYPERLINK \l "_Toc16346" </w:instrText>
          </w:r>
          <w:r>
            <w:fldChar w:fldCharType="separate"/>
          </w:r>
          <w:r>
            <w:rPr>
              <w:rFonts w:hint="eastAsia" w:ascii="宋体" w:hAnsi="宋体" w:eastAsia="宋体" w:cs="宋体"/>
              <w:bCs/>
              <w:sz w:val="24"/>
            </w:rPr>
            <w:t>三、结果与讨论</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_Toc16346 \h </w:instrText>
          </w:r>
          <w:r>
            <w:rPr>
              <w:rFonts w:hint="eastAsia" w:ascii="宋体" w:hAnsi="宋体" w:eastAsia="宋体" w:cs="宋体"/>
              <w:sz w:val="24"/>
            </w:rPr>
            <w:fldChar w:fldCharType="separate"/>
          </w:r>
          <w:r>
            <w:rPr>
              <w:rFonts w:hint="eastAsia" w:ascii="宋体" w:hAnsi="宋体" w:eastAsia="宋体" w:cs="宋体"/>
              <w:sz w:val="24"/>
            </w:rPr>
            <w:t>9</w:t>
          </w:r>
          <w:r>
            <w:rPr>
              <w:rFonts w:hint="eastAsia" w:ascii="宋体" w:hAnsi="宋体" w:eastAsia="宋体" w:cs="宋体"/>
              <w:sz w:val="24"/>
            </w:rPr>
            <w:fldChar w:fldCharType="end"/>
          </w:r>
          <w:r>
            <w:rPr>
              <w:rFonts w:hint="eastAsia" w:ascii="宋体" w:hAnsi="宋体" w:eastAsia="宋体" w:cs="宋体"/>
              <w:sz w:val="24"/>
            </w:rPr>
            <w:fldChar w:fldCharType="end"/>
          </w:r>
        </w:p>
        <w:p w14:paraId="3426EEFA">
          <w:pPr>
            <w:pStyle w:val="13"/>
            <w:tabs>
              <w:tab w:val="right" w:leader="dot" w:pos="8306"/>
            </w:tabs>
            <w:rPr>
              <w:rFonts w:hint="eastAsia" w:ascii="宋体" w:hAnsi="宋体" w:eastAsia="宋体" w:cs="宋体"/>
              <w:sz w:val="24"/>
            </w:rPr>
          </w:pPr>
          <w:r>
            <w:fldChar w:fldCharType="begin"/>
          </w:r>
          <w:r>
            <w:instrText xml:space="preserve"> HYPERLINK \l "_Toc19270" </w:instrText>
          </w:r>
          <w:r>
            <w:fldChar w:fldCharType="separate"/>
          </w:r>
          <w:r>
            <w:rPr>
              <w:rFonts w:hint="eastAsia" w:ascii="宋体" w:hAnsi="宋体" w:eastAsia="宋体" w:cs="宋体"/>
              <w:sz w:val="24"/>
            </w:rPr>
            <w:t>（一）实验结果</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_Toc19270 \h </w:instrText>
          </w:r>
          <w:r>
            <w:rPr>
              <w:rFonts w:hint="eastAsia" w:ascii="宋体" w:hAnsi="宋体" w:eastAsia="宋体" w:cs="宋体"/>
              <w:sz w:val="24"/>
            </w:rPr>
            <w:fldChar w:fldCharType="separate"/>
          </w:r>
          <w:r>
            <w:rPr>
              <w:rFonts w:hint="eastAsia" w:ascii="宋体" w:hAnsi="宋体" w:eastAsia="宋体" w:cs="宋体"/>
              <w:sz w:val="24"/>
            </w:rPr>
            <w:t>9</w:t>
          </w:r>
          <w:r>
            <w:rPr>
              <w:rFonts w:hint="eastAsia" w:ascii="宋体" w:hAnsi="宋体" w:eastAsia="宋体" w:cs="宋体"/>
              <w:sz w:val="24"/>
            </w:rPr>
            <w:fldChar w:fldCharType="end"/>
          </w:r>
          <w:r>
            <w:rPr>
              <w:rFonts w:hint="eastAsia" w:ascii="宋体" w:hAnsi="宋体" w:eastAsia="宋体" w:cs="宋体"/>
              <w:sz w:val="24"/>
            </w:rPr>
            <w:fldChar w:fldCharType="end"/>
          </w:r>
        </w:p>
        <w:p w14:paraId="54AAC60F">
          <w:pPr>
            <w:pStyle w:val="7"/>
            <w:tabs>
              <w:tab w:val="right" w:leader="dot" w:pos="8306"/>
            </w:tabs>
            <w:rPr>
              <w:rFonts w:hint="eastAsia" w:ascii="宋体" w:hAnsi="宋体" w:eastAsia="宋体" w:cs="宋体"/>
              <w:sz w:val="24"/>
            </w:rPr>
          </w:pPr>
          <w:r>
            <w:fldChar w:fldCharType="begin"/>
          </w:r>
          <w:r>
            <w:instrText xml:space="preserve"> HYPERLINK \l "_Toc9017" </w:instrText>
          </w:r>
          <w:r>
            <w:fldChar w:fldCharType="separate"/>
          </w:r>
          <w:r>
            <w:rPr>
              <w:rFonts w:hint="eastAsia" w:ascii="宋体" w:hAnsi="宋体" w:eastAsia="宋体" w:cs="宋体"/>
              <w:bCs/>
              <w:kern w:val="0"/>
              <w:sz w:val="24"/>
              <w:lang w:bidi="ar"/>
            </w:rPr>
            <w:t>1、实验结果分析</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_Toc9017 \h </w:instrText>
          </w:r>
          <w:r>
            <w:rPr>
              <w:rFonts w:hint="eastAsia" w:ascii="宋体" w:hAnsi="宋体" w:eastAsia="宋体" w:cs="宋体"/>
              <w:sz w:val="24"/>
            </w:rPr>
            <w:fldChar w:fldCharType="separate"/>
          </w:r>
          <w:r>
            <w:rPr>
              <w:rFonts w:hint="eastAsia" w:ascii="宋体" w:hAnsi="宋体" w:eastAsia="宋体" w:cs="宋体"/>
              <w:sz w:val="24"/>
            </w:rPr>
            <w:t>9</w:t>
          </w:r>
          <w:r>
            <w:rPr>
              <w:rFonts w:hint="eastAsia" w:ascii="宋体" w:hAnsi="宋体" w:eastAsia="宋体" w:cs="宋体"/>
              <w:sz w:val="24"/>
            </w:rPr>
            <w:fldChar w:fldCharType="end"/>
          </w:r>
          <w:r>
            <w:rPr>
              <w:rFonts w:hint="eastAsia" w:ascii="宋体" w:hAnsi="宋体" w:eastAsia="宋体" w:cs="宋体"/>
              <w:sz w:val="24"/>
            </w:rPr>
            <w:fldChar w:fldCharType="end"/>
          </w:r>
        </w:p>
        <w:p w14:paraId="367D141A">
          <w:pPr>
            <w:pStyle w:val="7"/>
            <w:tabs>
              <w:tab w:val="right" w:leader="dot" w:pos="8306"/>
            </w:tabs>
            <w:rPr>
              <w:rFonts w:hint="eastAsia" w:ascii="宋体" w:hAnsi="宋体" w:eastAsia="宋体" w:cs="宋体"/>
              <w:sz w:val="24"/>
            </w:rPr>
          </w:pPr>
          <w:r>
            <w:fldChar w:fldCharType="begin"/>
          </w:r>
          <w:r>
            <w:instrText xml:space="preserve"> HYPERLINK \l "_Toc31980" </w:instrText>
          </w:r>
          <w:r>
            <w:fldChar w:fldCharType="separate"/>
          </w:r>
          <w:r>
            <w:rPr>
              <w:rFonts w:hint="eastAsia" w:ascii="宋体" w:hAnsi="宋体" w:eastAsia="宋体" w:cs="宋体"/>
              <w:bCs/>
              <w:kern w:val="0"/>
              <w:sz w:val="24"/>
              <w:lang w:bidi="ar"/>
            </w:rPr>
            <w:t>2、模型的可解释性</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_Toc31980 \h </w:instrText>
          </w:r>
          <w:r>
            <w:rPr>
              <w:rFonts w:hint="eastAsia" w:ascii="宋体" w:hAnsi="宋体" w:eastAsia="宋体" w:cs="宋体"/>
              <w:sz w:val="24"/>
            </w:rPr>
            <w:fldChar w:fldCharType="separate"/>
          </w:r>
          <w:r>
            <w:rPr>
              <w:rFonts w:hint="eastAsia" w:ascii="宋体" w:hAnsi="宋体" w:eastAsia="宋体" w:cs="宋体"/>
              <w:sz w:val="24"/>
            </w:rPr>
            <w:t>11</w:t>
          </w:r>
          <w:r>
            <w:rPr>
              <w:rFonts w:hint="eastAsia" w:ascii="宋体" w:hAnsi="宋体" w:eastAsia="宋体" w:cs="宋体"/>
              <w:sz w:val="24"/>
            </w:rPr>
            <w:fldChar w:fldCharType="end"/>
          </w:r>
          <w:r>
            <w:rPr>
              <w:rFonts w:hint="eastAsia" w:ascii="宋体" w:hAnsi="宋体" w:eastAsia="宋体" w:cs="宋体"/>
              <w:sz w:val="24"/>
            </w:rPr>
            <w:fldChar w:fldCharType="end"/>
          </w:r>
        </w:p>
        <w:p w14:paraId="7778FD70">
          <w:pPr>
            <w:pStyle w:val="13"/>
            <w:tabs>
              <w:tab w:val="right" w:leader="dot" w:pos="8306"/>
            </w:tabs>
            <w:rPr>
              <w:rFonts w:hint="eastAsia" w:ascii="宋体" w:hAnsi="宋体" w:eastAsia="宋体" w:cs="宋体"/>
              <w:sz w:val="24"/>
            </w:rPr>
          </w:pPr>
          <w:r>
            <w:fldChar w:fldCharType="begin"/>
          </w:r>
          <w:r>
            <w:instrText xml:space="preserve"> HYPERLINK \l "_Toc6812" </w:instrText>
          </w:r>
          <w:r>
            <w:fldChar w:fldCharType="separate"/>
          </w:r>
          <w:r>
            <w:rPr>
              <w:rFonts w:hint="eastAsia" w:ascii="宋体" w:hAnsi="宋体" w:eastAsia="宋体" w:cs="宋体"/>
              <w:sz w:val="24"/>
            </w:rPr>
            <w:t>（二）消融实验</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_Toc6812 \h </w:instrText>
          </w:r>
          <w:r>
            <w:rPr>
              <w:rFonts w:hint="eastAsia" w:ascii="宋体" w:hAnsi="宋体" w:eastAsia="宋体" w:cs="宋体"/>
              <w:sz w:val="24"/>
            </w:rPr>
            <w:fldChar w:fldCharType="separate"/>
          </w:r>
          <w:r>
            <w:rPr>
              <w:rFonts w:hint="eastAsia" w:ascii="宋体" w:hAnsi="宋体" w:eastAsia="宋体" w:cs="宋体"/>
              <w:sz w:val="24"/>
            </w:rPr>
            <w:t>14</w:t>
          </w:r>
          <w:r>
            <w:rPr>
              <w:rFonts w:hint="eastAsia" w:ascii="宋体" w:hAnsi="宋体" w:eastAsia="宋体" w:cs="宋体"/>
              <w:sz w:val="24"/>
            </w:rPr>
            <w:fldChar w:fldCharType="end"/>
          </w:r>
          <w:r>
            <w:rPr>
              <w:rFonts w:hint="eastAsia" w:ascii="宋体" w:hAnsi="宋体" w:eastAsia="宋体" w:cs="宋体"/>
              <w:sz w:val="24"/>
            </w:rPr>
            <w:fldChar w:fldCharType="end"/>
          </w:r>
        </w:p>
        <w:p w14:paraId="779FA347">
          <w:pPr>
            <w:pStyle w:val="7"/>
            <w:tabs>
              <w:tab w:val="right" w:leader="dot" w:pos="8306"/>
            </w:tabs>
            <w:rPr>
              <w:rFonts w:hint="eastAsia" w:ascii="宋体" w:hAnsi="宋体" w:eastAsia="宋体" w:cs="宋体"/>
              <w:sz w:val="24"/>
            </w:rPr>
          </w:pPr>
          <w:r>
            <w:fldChar w:fldCharType="begin"/>
          </w:r>
          <w:r>
            <w:instrText xml:space="preserve"> HYPERLINK \l "_Toc4834" </w:instrText>
          </w:r>
          <w:r>
            <w:fldChar w:fldCharType="separate"/>
          </w:r>
          <w:r>
            <w:rPr>
              <w:rFonts w:hint="eastAsia" w:ascii="宋体" w:hAnsi="宋体" w:eastAsia="宋体" w:cs="宋体"/>
              <w:bCs/>
              <w:kern w:val="0"/>
              <w:sz w:val="24"/>
              <w:lang w:bidi="ar"/>
            </w:rPr>
            <w:t>1、不同特征的消融实验</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_Toc4834 \h </w:instrText>
          </w:r>
          <w:r>
            <w:rPr>
              <w:rFonts w:hint="eastAsia" w:ascii="宋体" w:hAnsi="宋体" w:eastAsia="宋体" w:cs="宋体"/>
              <w:sz w:val="24"/>
            </w:rPr>
            <w:fldChar w:fldCharType="separate"/>
          </w:r>
          <w:r>
            <w:rPr>
              <w:rFonts w:hint="eastAsia" w:ascii="宋体" w:hAnsi="宋体" w:eastAsia="宋体" w:cs="宋体"/>
              <w:sz w:val="24"/>
            </w:rPr>
            <w:t>14</w:t>
          </w:r>
          <w:r>
            <w:rPr>
              <w:rFonts w:hint="eastAsia" w:ascii="宋体" w:hAnsi="宋体" w:eastAsia="宋体" w:cs="宋体"/>
              <w:sz w:val="24"/>
            </w:rPr>
            <w:fldChar w:fldCharType="end"/>
          </w:r>
          <w:r>
            <w:rPr>
              <w:rFonts w:hint="eastAsia" w:ascii="宋体" w:hAnsi="宋体" w:eastAsia="宋体" w:cs="宋体"/>
              <w:sz w:val="24"/>
            </w:rPr>
            <w:fldChar w:fldCharType="end"/>
          </w:r>
        </w:p>
        <w:p w14:paraId="4247C2B8">
          <w:pPr>
            <w:pStyle w:val="7"/>
            <w:tabs>
              <w:tab w:val="right" w:leader="dot" w:pos="8306"/>
            </w:tabs>
            <w:rPr>
              <w:rFonts w:hint="eastAsia" w:ascii="宋体" w:hAnsi="宋体" w:eastAsia="宋体" w:cs="宋体"/>
              <w:sz w:val="24"/>
            </w:rPr>
          </w:pPr>
          <w:r>
            <w:fldChar w:fldCharType="begin"/>
          </w:r>
          <w:r>
            <w:instrText xml:space="preserve"> HYPERLINK \l "_Toc254" </w:instrText>
          </w:r>
          <w:r>
            <w:fldChar w:fldCharType="separate"/>
          </w:r>
          <w:r>
            <w:rPr>
              <w:rFonts w:hint="eastAsia" w:ascii="宋体" w:hAnsi="宋体" w:eastAsia="宋体" w:cs="宋体"/>
              <w:bCs/>
              <w:kern w:val="0"/>
              <w:sz w:val="24"/>
              <w:lang w:bidi="ar"/>
            </w:rPr>
            <w:t>2、不同模型模块的消融实验</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_Toc254 \h </w:instrText>
          </w:r>
          <w:r>
            <w:rPr>
              <w:rFonts w:hint="eastAsia" w:ascii="宋体" w:hAnsi="宋体" w:eastAsia="宋体" w:cs="宋体"/>
              <w:sz w:val="24"/>
            </w:rPr>
            <w:fldChar w:fldCharType="separate"/>
          </w:r>
          <w:r>
            <w:rPr>
              <w:rFonts w:hint="eastAsia" w:ascii="宋体" w:hAnsi="宋体" w:eastAsia="宋体" w:cs="宋体"/>
              <w:sz w:val="24"/>
            </w:rPr>
            <w:t>14</w:t>
          </w:r>
          <w:r>
            <w:rPr>
              <w:rFonts w:hint="eastAsia" w:ascii="宋体" w:hAnsi="宋体" w:eastAsia="宋体" w:cs="宋体"/>
              <w:sz w:val="24"/>
            </w:rPr>
            <w:fldChar w:fldCharType="end"/>
          </w:r>
          <w:r>
            <w:rPr>
              <w:rFonts w:hint="eastAsia" w:ascii="宋体" w:hAnsi="宋体" w:eastAsia="宋体" w:cs="宋体"/>
              <w:sz w:val="24"/>
            </w:rPr>
            <w:fldChar w:fldCharType="end"/>
          </w:r>
        </w:p>
        <w:p w14:paraId="5605E449">
          <w:pPr>
            <w:pStyle w:val="13"/>
            <w:tabs>
              <w:tab w:val="right" w:leader="dot" w:pos="8306"/>
            </w:tabs>
            <w:rPr>
              <w:rFonts w:hint="eastAsia" w:ascii="宋体" w:hAnsi="宋体" w:eastAsia="宋体" w:cs="宋体"/>
              <w:sz w:val="24"/>
            </w:rPr>
          </w:pPr>
          <w:r>
            <w:fldChar w:fldCharType="begin"/>
          </w:r>
          <w:r>
            <w:instrText xml:space="preserve"> HYPERLINK \l "_Toc4367" </w:instrText>
          </w:r>
          <w:r>
            <w:fldChar w:fldCharType="separate"/>
          </w:r>
          <w:r>
            <w:rPr>
              <w:rFonts w:hint="eastAsia" w:ascii="宋体" w:hAnsi="宋体" w:eastAsia="宋体" w:cs="宋体"/>
              <w:sz w:val="24"/>
            </w:rPr>
            <w:t>（三）与其他算法的比较</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_Toc4367 \h </w:instrText>
          </w:r>
          <w:r>
            <w:rPr>
              <w:rFonts w:hint="eastAsia" w:ascii="宋体" w:hAnsi="宋体" w:eastAsia="宋体" w:cs="宋体"/>
              <w:sz w:val="24"/>
            </w:rPr>
            <w:fldChar w:fldCharType="separate"/>
          </w:r>
          <w:r>
            <w:rPr>
              <w:rFonts w:hint="eastAsia" w:ascii="宋体" w:hAnsi="宋体" w:eastAsia="宋体" w:cs="宋体"/>
              <w:sz w:val="24"/>
            </w:rPr>
            <w:t>15</w:t>
          </w:r>
          <w:r>
            <w:rPr>
              <w:rFonts w:hint="eastAsia" w:ascii="宋体" w:hAnsi="宋体" w:eastAsia="宋体" w:cs="宋体"/>
              <w:sz w:val="24"/>
            </w:rPr>
            <w:fldChar w:fldCharType="end"/>
          </w:r>
          <w:r>
            <w:rPr>
              <w:rFonts w:hint="eastAsia" w:ascii="宋体" w:hAnsi="宋体" w:eastAsia="宋体" w:cs="宋体"/>
              <w:sz w:val="24"/>
            </w:rPr>
            <w:fldChar w:fldCharType="end"/>
          </w:r>
        </w:p>
        <w:p w14:paraId="3B139D63">
          <w:pPr>
            <w:pStyle w:val="13"/>
            <w:tabs>
              <w:tab w:val="right" w:leader="dot" w:pos="8306"/>
            </w:tabs>
            <w:rPr>
              <w:rFonts w:hint="eastAsia" w:ascii="宋体" w:hAnsi="宋体" w:eastAsia="宋体" w:cs="宋体"/>
              <w:sz w:val="24"/>
            </w:rPr>
          </w:pPr>
          <w:r>
            <w:fldChar w:fldCharType="begin"/>
          </w:r>
          <w:r>
            <w:instrText xml:space="preserve"> HYPERLINK \l "_Toc29723" </w:instrText>
          </w:r>
          <w:r>
            <w:fldChar w:fldCharType="separate"/>
          </w:r>
          <w:r>
            <w:rPr>
              <w:rFonts w:hint="eastAsia" w:ascii="宋体" w:hAnsi="宋体" w:eastAsia="宋体" w:cs="宋体"/>
              <w:sz w:val="24"/>
            </w:rPr>
            <w:t>（四）模型应用</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_Toc29723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rPr>
            <w:fldChar w:fldCharType="end"/>
          </w:r>
        </w:p>
        <w:p w14:paraId="7A89A2C6">
          <w:pPr>
            <w:pStyle w:val="7"/>
            <w:tabs>
              <w:tab w:val="right" w:leader="dot" w:pos="8306"/>
            </w:tabs>
            <w:rPr>
              <w:rFonts w:hint="eastAsia" w:ascii="宋体" w:hAnsi="宋体" w:eastAsia="宋体" w:cs="宋体"/>
              <w:sz w:val="24"/>
            </w:rPr>
          </w:pPr>
          <w:r>
            <w:fldChar w:fldCharType="begin"/>
          </w:r>
          <w:r>
            <w:instrText xml:space="preserve"> HYPERLINK \l "_Toc27117" </w:instrText>
          </w:r>
          <w:r>
            <w:fldChar w:fldCharType="separate"/>
          </w:r>
          <w:r>
            <w:rPr>
              <w:rFonts w:hint="eastAsia" w:ascii="宋体" w:hAnsi="宋体" w:eastAsia="宋体" w:cs="宋体"/>
              <w:bCs/>
              <w:kern w:val="0"/>
              <w:sz w:val="24"/>
              <w:lang w:bidi="ar"/>
            </w:rPr>
            <w:t>1、预测结果</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_Toc27117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rPr>
            <w:fldChar w:fldCharType="end"/>
          </w:r>
        </w:p>
        <w:p w14:paraId="0D366E88">
          <w:pPr>
            <w:pStyle w:val="7"/>
            <w:tabs>
              <w:tab w:val="right" w:leader="dot" w:pos="8306"/>
            </w:tabs>
            <w:rPr>
              <w:rFonts w:hint="eastAsia" w:ascii="宋体" w:hAnsi="宋体" w:eastAsia="宋体" w:cs="宋体"/>
              <w:sz w:val="24"/>
            </w:rPr>
          </w:pPr>
          <w:r>
            <w:fldChar w:fldCharType="begin"/>
          </w:r>
          <w:r>
            <w:instrText xml:space="preserve"> HYPERLINK \l "_Toc24967" </w:instrText>
          </w:r>
          <w:r>
            <w:fldChar w:fldCharType="separate"/>
          </w:r>
          <w:r>
            <w:rPr>
              <w:rFonts w:hint="eastAsia" w:ascii="宋体" w:hAnsi="宋体" w:eastAsia="宋体" w:cs="宋体"/>
              <w:bCs/>
              <w:kern w:val="0"/>
              <w:sz w:val="24"/>
              <w:lang w:bidi="ar"/>
            </w:rPr>
            <w:t>2、分子对接</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_Toc24967 \h </w:instrText>
          </w:r>
          <w:r>
            <w:rPr>
              <w:rFonts w:hint="eastAsia" w:ascii="宋体" w:hAnsi="宋体" w:eastAsia="宋体" w:cs="宋体"/>
              <w:sz w:val="24"/>
            </w:rPr>
            <w:fldChar w:fldCharType="separate"/>
          </w:r>
          <w:r>
            <w:rPr>
              <w:rFonts w:hint="eastAsia" w:ascii="宋体" w:hAnsi="宋体" w:eastAsia="宋体" w:cs="宋体"/>
              <w:sz w:val="24"/>
            </w:rPr>
            <w:t>17</w:t>
          </w:r>
          <w:r>
            <w:rPr>
              <w:rFonts w:hint="eastAsia" w:ascii="宋体" w:hAnsi="宋体" w:eastAsia="宋体" w:cs="宋体"/>
              <w:sz w:val="24"/>
            </w:rPr>
            <w:fldChar w:fldCharType="end"/>
          </w:r>
          <w:r>
            <w:rPr>
              <w:rFonts w:hint="eastAsia" w:ascii="宋体" w:hAnsi="宋体" w:eastAsia="宋体" w:cs="宋体"/>
              <w:sz w:val="24"/>
            </w:rPr>
            <w:fldChar w:fldCharType="end"/>
          </w:r>
        </w:p>
        <w:p w14:paraId="7C3B20C2">
          <w:pPr>
            <w:pStyle w:val="11"/>
            <w:tabs>
              <w:tab w:val="right" w:leader="dot" w:pos="8306"/>
            </w:tabs>
            <w:rPr>
              <w:rFonts w:hint="eastAsia" w:ascii="宋体" w:hAnsi="宋体" w:eastAsia="宋体" w:cs="宋体"/>
              <w:sz w:val="24"/>
            </w:rPr>
          </w:pPr>
          <w:r>
            <w:fldChar w:fldCharType="begin"/>
          </w:r>
          <w:r>
            <w:instrText xml:space="preserve"> HYPERLINK \l "_Toc3508" </w:instrText>
          </w:r>
          <w:r>
            <w:fldChar w:fldCharType="separate"/>
          </w:r>
          <w:r>
            <w:rPr>
              <w:rFonts w:hint="eastAsia" w:ascii="宋体" w:hAnsi="宋体" w:eastAsia="宋体" w:cs="宋体"/>
              <w:bCs/>
              <w:sz w:val="24"/>
            </w:rPr>
            <w:t>四、调查结果</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_Toc3508 \h </w:instrText>
          </w:r>
          <w:r>
            <w:rPr>
              <w:rFonts w:hint="eastAsia" w:ascii="宋体" w:hAnsi="宋体" w:eastAsia="宋体" w:cs="宋体"/>
              <w:sz w:val="24"/>
            </w:rPr>
            <w:fldChar w:fldCharType="separate"/>
          </w:r>
          <w:r>
            <w:rPr>
              <w:rFonts w:hint="eastAsia" w:ascii="宋体" w:hAnsi="宋体" w:eastAsia="宋体" w:cs="宋体"/>
              <w:sz w:val="24"/>
            </w:rPr>
            <w:t>19</w:t>
          </w:r>
          <w:r>
            <w:rPr>
              <w:rFonts w:hint="eastAsia" w:ascii="宋体" w:hAnsi="宋体" w:eastAsia="宋体" w:cs="宋体"/>
              <w:sz w:val="24"/>
            </w:rPr>
            <w:fldChar w:fldCharType="end"/>
          </w:r>
          <w:r>
            <w:rPr>
              <w:rFonts w:hint="eastAsia" w:ascii="宋体" w:hAnsi="宋体" w:eastAsia="宋体" w:cs="宋体"/>
              <w:sz w:val="24"/>
            </w:rPr>
            <w:fldChar w:fldCharType="end"/>
          </w:r>
        </w:p>
        <w:p w14:paraId="0364AC04">
          <w:pPr>
            <w:pStyle w:val="11"/>
            <w:tabs>
              <w:tab w:val="right" w:leader="dot" w:pos="8306"/>
            </w:tabs>
            <w:rPr>
              <w:rFonts w:hint="eastAsia" w:ascii="宋体" w:hAnsi="宋体" w:eastAsia="宋体" w:cs="宋体"/>
              <w:sz w:val="24"/>
            </w:rPr>
            <w:sectPr>
              <w:footerReference r:id="rId6" w:type="default"/>
              <w:pgSz w:w="11906" w:h="16838"/>
              <w:pgMar w:top="1440" w:right="1800" w:bottom="1440" w:left="1800" w:header="851" w:footer="992" w:gutter="0"/>
              <w:pgNumType w:start="6"/>
              <w:cols w:space="425" w:num="1"/>
              <w:docGrid w:type="lines" w:linePitch="312" w:charSpace="0"/>
            </w:sectPr>
          </w:pPr>
        </w:p>
        <w:p w14:paraId="4827BA8B">
          <w:pPr>
            <w:pStyle w:val="11"/>
            <w:tabs>
              <w:tab w:val="right" w:leader="dot" w:pos="8306"/>
            </w:tabs>
          </w:pPr>
          <w:r>
            <w:fldChar w:fldCharType="begin"/>
          </w:r>
          <w:r>
            <w:instrText xml:space="preserve"> HYPERLINK \l "_Toc13742" </w:instrText>
          </w:r>
          <w:r>
            <w:fldChar w:fldCharType="separate"/>
          </w:r>
          <w:r>
            <w:rPr>
              <w:rFonts w:hint="eastAsia" w:ascii="宋体" w:hAnsi="宋体" w:eastAsia="宋体" w:cs="宋体"/>
              <w:bCs/>
              <w:sz w:val="24"/>
            </w:rPr>
            <w:t>五、参考文献</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_Toc13742 \h </w:instrText>
          </w:r>
          <w:r>
            <w:rPr>
              <w:rFonts w:hint="eastAsia" w:ascii="宋体" w:hAnsi="宋体" w:eastAsia="宋体" w:cs="宋体"/>
              <w:sz w:val="24"/>
            </w:rPr>
            <w:fldChar w:fldCharType="separate"/>
          </w:r>
          <w:r>
            <w:rPr>
              <w:rFonts w:hint="eastAsia" w:ascii="宋体" w:hAnsi="宋体" w:eastAsia="宋体" w:cs="宋体"/>
              <w:sz w:val="24"/>
            </w:rPr>
            <w:t>20</w:t>
          </w:r>
          <w:r>
            <w:rPr>
              <w:rFonts w:hint="eastAsia" w:ascii="宋体" w:hAnsi="宋体" w:eastAsia="宋体" w:cs="宋体"/>
              <w:sz w:val="24"/>
            </w:rPr>
            <w:fldChar w:fldCharType="end"/>
          </w:r>
          <w:r>
            <w:rPr>
              <w:rFonts w:hint="eastAsia" w:ascii="宋体" w:hAnsi="宋体" w:eastAsia="宋体" w:cs="宋体"/>
              <w:sz w:val="24"/>
            </w:rPr>
            <w:fldChar w:fldCharType="end"/>
          </w:r>
        </w:p>
        <w:p w14:paraId="372C3CF7">
          <w:pPr>
            <w:rPr>
              <w:rFonts w:hint="eastAsia" w:asciiTheme="minorEastAsia" w:hAnsiTheme="minorEastAsia"/>
              <w:sz w:val="24"/>
            </w:rPr>
          </w:pPr>
          <w:r>
            <w:rPr>
              <w:rFonts w:asciiTheme="minorEastAsia" w:hAnsiTheme="minorEastAsia"/>
            </w:rPr>
            <w:fldChar w:fldCharType="end"/>
          </w:r>
        </w:p>
      </w:sdtContent>
    </w:sdt>
    <w:p w14:paraId="372B9ABC">
      <w:pPr>
        <w:jc w:val="center"/>
        <w:outlineLvl w:val="0"/>
        <w:rPr>
          <w:rFonts w:hint="eastAsia" w:ascii="黑体" w:hAnsi="黑体" w:eastAsia="黑体" w:cs="宋体"/>
          <w:b/>
          <w:bCs/>
          <w:sz w:val="28"/>
          <w:szCs w:val="28"/>
        </w:rPr>
        <w:sectPr>
          <w:footerReference r:id="rId7" w:type="default"/>
          <w:pgSz w:w="11906" w:h="16838"/>
          <w:pgMar w:top="1440" w:right="1800" w:bottom="1440" w:left="1800" w:header="851" w:footer="992" w:gutter="0"/>
          <w:pgNumType w:start="6"/>
          <w:cols w:space="425" w:num="1"/>
          <w:docGrid w:type="lines" w:linePitch="312" w:charSpace="0"/>
        </w:sectPr>
      </w:pPr>
      <w:bookmarkStart w:id="2" w:name="_Toc18810"/>
    </w:p>
    <w:p w14:paraId="1EDBF152">
      <w:pPr>
        <w:jc w:val="center"/>
        <w:outlineLvl w:val="0"/>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宋体"/>
          <w:b/>
          <w:bCs/>
          <w:sz w:val="28"/>
          <w:szCs w:val="28"/>
        </w:rPr>
        <w:t>表格和插图清单</w:t>
      </w:r>
      <w:bookmarkEnd w:id="2"/>
    </w:p>
    <w:p w14:paraId="76C59427">
      <w:pPr>
        <w:jc w:val="center"/>
        <w:outlineLvl w:val="0"/>
        <w:rPr>
          <w:rFonts w:hint="eastAsia" w:ascii="黑体" w:hAnsi="黑体" w:eastAsia="黑体" w:cs="黑体"/>
          <w:color w:val="000000" w:themeColor="text1"/>
          <w:sz w:val="28"/>
          <w:szCs w:val="28"/>
          <w14:textFill>
            <w14:solidFill>
              <w14:schemeClr w14:val="tx1"/>
            </w14:solidFill>
          </w14:textFill>
        </w:rPr>
      </w:pPr>
    </w:p>
    <w:p w14:paraId="14D1934F">
      <w:pPr>
        <w:jc w:val="center"/>
        <w:outlineLvl w:val="0"/>
        <w:rPr>
          <w:rFonts w:cs="黑体" w:asciiTheme="majorEastAsia" w:hAnsiTheme="majorEastAsia" w:eastAsiaTheme="majorEastAsia"/>
          <w:color w:val="000000" w:themeColor="text1"/>
          <w:sz w:val="28"/>
          <w:szCs w:val="28"/>
          <w14:textFill>
            <w14:solidFill>
              <w14:schemeClr w14:val="tx1"/>
            </w14:solidFill>
          </w14:textFill>
        </w:rPr>
      </w:pPr>
      <w:bookmarkStart w:id="3" w:name="_Toc15786"/>
      <w:bookmarkStart w:id="4" w:name="_Toc228654912"/>
      <w:r>
        <w:rPr>
          <w:rFonts w:hint="eastAsia" w:cs="黑体" w:asciiTheme="majorEastAsia" w:hAnsiTheme="majorEastAsia" w:eastAsiaTheme="majorEastAsia"/>
          <w:color w:val="000000" w:themeColor="text1"/>
          <w:sz w:val="28"/>
          <w:szCs w:val="28"/>
          <w14:textFill>
            <w14:solidFill>
              <w14:schemeClr w14:val="tx1"/>
            </w14:solidFill>
          </w14:textFill>
        </w:rPr>
        <w:t>表目录</w:t>
      </w:r>
      <w:bookmarkEnd w:id="3"/>
      <w:bookmarkEnd w:id="4"/>
    </w:p>
    <w:p w14:paraId="74F19680">
      <w:pPr>
        <w:pStyle w:val="12"/>
        <w:tabs>
          <w:tab w:val="right" w:leader="dot" w:pos="8296"/>
        </w:tabs>
        <w:ind w:left="900" w:hanging="480"/>
        <w:rPr>
          <w:rFonts w:hint="eastAsia" w:ascii="宋体" w:hAnsi="宋体" w:eastAsia="宋体"/>
          <w:sz w:val="24"/>
          <w14:ligatures w14:val="standardContextual"/>
        </w:rPr>
      </w:pPr>
      <w:r>
        <w:rPr>
          <w:rFonts w:hint="eastAsia" w:ascii="宋体" w:hAnsi="宋体" w:eastAsia="宋体" w:cs="黑体"/>
          <w:color w:val="000000" w:themeColor="text1"/>
          <w:sz w:val="24"/>
          <w14:textFill>
            <w14:solidFill>
              <w14:schemeClr w14:val="tx1"/>
            </w14:solidFill>
          </w14:textFill>
        </w:rPr>
        <w:fldChar w:fldCharType="begin"/>
      </w:r>
      <w:r>
        <w:rPr>
          <w:rFonts w:hint="eastAsia" w:ascii="宋体" w:hAnsi="宋体" w:eastAsia="宋体" w:cs="黑体"/>
          <w:color w:val="000000" w:themeColor="text1"/>
          <w:sz w:val="24"/>
          <w14:textFill>
            <w14:solidFill>
              <w14:schemeClr w14:val="tx1"/>
            </w14:solidFill>
          </w14:textFill>
        </w:rPr>
        <w:instrText xml:space="preserve"> TOC \h \z \c "表" </w:instrText>
      </w:r>
      <w:r>
        <w:rPr>
          <w:rFonts w:hint="eastAsia" w:ascii="宋体" w:hAnsi="宋体" w:eastAsia="宋体" w:cs="黑体"/>
          <w:color w:val="000000" w:themeColor="text1"/>
          <w:sz w:val="24"/>
          <w14:textFill>
            <w14:solidFill>
              <w14:schemeClr w14:val="tx1"/>
            </w14:solidFill>
          </w14:textFill>
        </w:rPr>
        <w:fldChar w:fldCharType="separate"/>
      </w:r>
      <w:r>
        <w:fldChar w:fldCharType="begin"/>
      </w:r>
      <w:r>
        <w:instrText xml:space="preserve"> HYPERLINK \l "_Toc228655972" </w:instrText>
      </w:r>
      <w:r>
        <w:fldChar w:fldCharType="separate"/>
      </w:r>
      <w:r>
        <w:rPr>
          <w:rStyle w:val="21"/>
          <w:rFonts w:ascii="宋体" w:hAnsi="宋体" w:eastAsia="宋体" w:cs="Times New Roman"/>
          <w:sz w:val="24"/>
        </w:rPr>
        <w:t>表 1数据集的详细信息</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_Toc228655972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3</w:t>
      </w:r>
      <w:r>
        <w:rPr>
          <w:rFonts w:hint="eastAsia" w:ascii="宋体" w:hAnsi="宋体" w:eastAsia="宋体"/>
          <w:sz w:val="24"/>
        </w:rPr>
        <w:fldChar w:fldCharType="end"/>
      </w:r>
      <w:r>
        <w:rPr>
          <w:rFonts w:hint="eastAsia" w:ascii="宋体" w:hAnsi="宋体" w:eastAsia="宋体"/>
          <w:sz w:val="24"/>
        </w:rPr>
        <w:fldChar w:fldCharType="end"/>
      </w:r>
    </w:p>
    <w:p w14:paraId="7327994B">
      <w:pPr>
        <w:pStyle w:val="12"/>
        <w:tabs>
          <w:tab w:val="right" w:leader="dot" w:pos="8296"/>
        </w:tabs>
        <w:ind w:left="900" w:hanging="480"/>
        <w:rPr>
          <w:rFonts w:hint="eastAsia" w:ascii="宋体" w:hAnsi="宋体" w:eastAsia="宋体"/>
          <w:sz w:val="24"/>
          <w14:ligatures w14:val="standardContextual"/>
        </w:rPr>
      </w:pPr>
      <w:r>
        <w:fldChar w:fldCharType="begin"/>
      </w:r>
      <w:r>
        <w:instrText xml:space="preserve"> HYPERLINK \l "_Toc228655973" </w:instrText>
      </w:r>
      <w:r>
        <w:fldChar w:fldCharType="separate"/>
      </w:r>
      <w:r>
        <w:rPr>
          <w:rStyle w:val="21"/>
          <w:rFonts w:ascii="宋体" w:hAnsi="宋体" w:eastAsia="宋体" w:cs="Times New Roman"/>
          <w:sz w:val="24"/>
        </w:rPr>
        <w:t>表 2不同特征的维度信息</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_Toc228655973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4</w:t>
      </w:r>
      <w:r>
        <w:rPr>
          <w:rFonts w:hint="eastAsia" w:ascii="宋体" w:hAnsi="宋体" w:eastAsia="宋体"/>
          <w:sz w:val="24"/>
        </w:rPr>
        <w:fldChar w:fldCharType="end"/>
      </w:r>
      <w:r>
        <w:rPr>
          <w:rFonts w:hint="eastAsia" w:ascii="宋体" w:hAnsi="宋体" w:eastAsia="宋体"/>
          <w:sz w:val="24"/>
        </w:rPr>
        <w:fldChar w:fldCharType="end"/>
      </w:r>
    </w:p>
    <w:p w14:paraId="5130C88F">
      <w:pPr>
        <w:pStyle w:val="12"/>
        <w:tabs>
          <w:tab w:val="right" w:leader="dot" w:pos="8296"/>
        </w:tabs>
        <w:ind w:left="900" w:hanging="480"/>
        <w:rPr>
          <w:rFonts w:hint="eastAsia" w:ascii="宋体" w:hAnsi="宋体" w:eastAsia="宋体"/>
          <w:sz w:val="24"/>
          <w14:ligatures w14:val="standardContextual"/>
        </w:rPr>
      </w:pPr>
      <w:r>
        <w:fldChar w:fldCharType="begin"/>
      </w:r>
      <w:r>
        <w:instrText xml:space="preserve"> HYPERLINK \l "_Toc228655974" </w:instrText>
      </w:r>
      <w:r>
        <w:fldChar w:fldCharType="separate"/>
      </w:r>
      <w:r>
        <w:rPr>
          <w:rStyle w:val="21"/>
          <w:rFonts w:ascii="宋体" w:hAnsi="宋体" w:eastAsia="宋体" w:cs="Times New Roman"/>
          <w:sz w:val="24"/>
        </w:rPr>
        <w:t>表 3 Stage-1模型的五折交叉验证结果</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_Toc228655974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10</w:t>
      </w:r>
      <w:r>
        <w:rPr>
          <w:rFonts w:hint="eastAsia" w:ascii="宋体" w:hAnsi="宋体" w:eastAsia="宋体"/>
          <w:sz w:val="24"/>
        </w:rPr>
        <w:fldChar w:fldCharType="end"/>
      </w:r>
      <w:r>
        <w:rPr>
          <w:rFonts w:hint="eastAsia" w:ascii="宋体" w:hAnsi="宋体" w:eastAsia="宋体"/>
          <w:sz w:val="24"/>
        </w:rPr>
        <w:fldChar w:fldCharType="end"/>
      </w:r>
    </w:p>
    <w:p w14:paraId="578AE898">
      <w:pPr>
        <w:pStyle w:val="12"/>
        <w:tabs>
          <w:tab w:val="right" w:leader="dot" w:pos="8296"/>
        </w:tabs>
        <w:ind w:left="900" w:hanging="480"/>
        <w:rPr>
          <w:rFonts w:hint="eastAsia" w:ascii="宋体" w:hAnsi="宋体" w:eastAsia="宋体"/>
          <w:sz w:val="24"/>
          <w14:ligatures w14:val="standardContextual"/>
        </w:rPr>
      </w:pPr>
      <w:r>
        <w:fldChar w:fldCharType="begin"/>
      </w:r>
      <w:r>
        <w:instrText xml:space="preserve"> HYPERLINK \l "_Toc228655975" </w:instrText>
      </w:r>
      <w:r>
        <w:fldChar w:fldCharType="separate"/>
      </w:r>
      <w:r>
        <w:rPr>
          <w:rStyle w:val="21"/>
          <w:rFonts w:ascii="宋体" w:hAnsi="宋体" w:eastAsia="宋体" w:cs="Times New Roman"/>
          <w:sz w:val="24"/>
        </w:rPr>
        <w:t>表 4 Stage-2模型的五折交叉验证结果</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_Toc228655975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10</w:t>
      </w:r>
      <w:r>
        <w:rPr>
          <w:rFonts w:hint="eastAsia" w:ascii="宋体" w:hAnsi="宋体" w:eastAsia="宋体"/>
          <w:sz w:val="24"/>
        </w:rPr>
        <w:fldChar w:fldCharType="end"/>
      </w:r>
      <w:r>
        <w:rPr>
          <w:rFonts w:hint="eastAsia" w:ascii="宋体" w:hAnsi="宋体" w:eastAsia="宋体"/>
          <w:sz w:val="24"/>
        </w:rPr>
        <w:fldChar w:fldCharType="end"/>
      </w:r>
    </w:p>
    <w:p w14:paraId="0709F679">
      <w:pPr>
        <w:pStyle w:val="12"/>
        <w:tabs>
          <w:tab w:val="right" w:leader="dot" w:pos="8296"/>
        </w:tabs>
        <w:ind w:left="900" w:hanging="480"/>
        <w:rPr>
          <w:rFonts w:hint="eastAsia" w:ascii="宋体" w:hAnsi="宋体" w:eastAsia="宋体"/>
          <w:sz w:val="24"/>
          <w14:ligatures w14:val="standardContextual"/>
        </w:rPr>
      </w:pPr>
      <w:r>
        <w:fldChar w:fldCharType="begin"/>
      </w:r>
      <w:r>
        <w:instrText xml:space="preserve"> HYPERLINK \l "_Toc228655976" </w:instrText>
      </w:r>
      <w:r>
        <w:fldChar w:fldCharType="separate"/>
      </w:r>
      <w:r>
        <w:rPr>
          <w:rStyle w:val="21"/>
          <w:rFonts w:ascii="宋体" w:hAnsi="宋体" w:eastAsia="宋体" w:cs="Times New Roman"/>
          <w:sz w:val="24"/>
        </w:rPr>
        <w:t>表 5 Stage-1和Stage-2模型在独立测试集的结果</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_Toc228655976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10</w:t>
      </w:r>
      <w:r>
        <w:rPr>
          <w:rFonts w:hint="eastAsia" w:ascii="宋体" w:hAnsi="宋体" w:eastAsia="宋体"/>
          <w:sz w:val="24"/>
        </w:rPr>
        <w:fldChar w:fldCharType="end"/>
      </w:r>
      <w:r>
        <w:rPr>
          <w:rFonts w:hint="eastAsia" w:ascii="宋体" w:hAnsi="宋体" w:eastAsia="宋体"/>
          <w:sz w:val="24"/>
        </w:rPr>
        <w:fldChar w:fldCharType="end"/>
      </w:r>
    </w:p>
    <w:p w14:paraId="24413EF9">
      <w:pPr>
        <w:pStyle w:val="12"/>
        <w:tabs>
          <w:tab w:val="right" w:leader="dot" w:pos="8296"/>
        </w:tabs>
        <w:ind w:left="900" w:hanging="480"/>
        <w:rPr>
          <w:rFonts w:hint="eastAsia" w:ascii="宋体" w:hAnsi="宋体" w:eastAsia="宋体"/>
          <w:sz w:val="24"/>
          <w14:ligatures w14:val="standardContextual"/>
        </w:rPr>
      </w:pPr>
      <w:r>
        <w:fldChar w:fldCharType="begin"/>
      </w:r>
      <w:r>
        <w:instrText xml:space="preserve"> HYPERLINK \l "_Toc228655977" </w:instrText>
      </w:r>
      <w:r>
        <w:fldChar w:fldCharType="separate"/>
      </w:r>
      <w:r>
        <w:rPr>
          <w:rStyle w:val="21"/>
          <w:rFonts w:ascii="宋体" w:hAnsi="宋体" w:eastAsia="宋体" w:cs="Times New Roman"/>
          <w:sz w:val="24"/>
        </w:rPr>
        <w:t>表 6不同特征在测试集的结果比较</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_Toc228655977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14</w:t>
      </w:r>
      <w:r>
        <w:rPr>
          <w:rFonts w:hint="eastAsia" w:ascii="宋体" w:hAnsi="宋体" w:eastAsia="宋体"/>
          <w:sz w:val="24"/>
        </w:rPr>
        <w:fldChar w:fldCharType="end"/>
      </w:r>
      <w:r>
        <w:rPr>
          <w:rFonts w:hint="eastAsia" w:ascii="宋体" w:hAnsi="宋体" w:eastAsia="宋体"/>
          <w:sz w:val="24"/>
        </w:rPr>
        <w:fldChar w:fldCharType="end"/>
      </w:r>
    </w:p>
    <w:p w14:paraId="7619A714">
      <w:pPr>
        <w:pStyle w:val="12"/>
        <w:tabs>
          <w:tab w:val="right" w:leader="dot" w:pos="8296"/>
        </w:tabs>
        <w:ind w:left="900" w:hanging="480"/>
        <w:rPr>
          <w:rFonts w:hint="eastAsia" w:ascii="宋体" w:hAnsi="宋体" w:eastAsia="宋体"/>
          <w:sz w:val="24"/>
          <w14:ligatures w14:val="standardContextual"/>
        </w:rPr>
      </w:pPr>
      <w:r>
        <w:fldChar w:fldCharType="begin"/>
      </w:r>
      <w:r>
        <w:instrText xml:space="preserve"> HYPERLINK \l "_Toc228655978" </w:instrText>
      </w:r>
      <w:r>
        <w:fldChar w:fldCharType="separate"/>
      </w:r>
      <w:r>
        <w:rPr>
          <w:rStyle w:val="21"/>
          <w:rFonts w:ascii="宋体" w:hAnsi="宋体" w:eastAsia="宋体" w:cs="Times New Roman"/>
          <w:sz w:val="24"/>
        </w:rPr>
        <w:t>表 7 本文所提算法与其他最新算法的比较</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_Toc228655978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15</w:t>
      </w:r>
      <w:r>
        <w:rPr>
          <w:rFonts w:hint="eastAsia" w:ascii="宋体" w:hAnsi="宋体" w:eastAsia="宋体"/>
          <w:sz w:val="24"/>
        </w:rPr>
        <w:fldChar w:fldCharType="end"/>
      </w:r>
      <w:r>
        <w:rPr>
          <w:rFonts w:hint="eastAsia" w:ascii="宋体" w:hAnsi="宋体" w:eastAsia="宋体"/>
          <w:sz w:val="24"/>
        </w:rPr>
        <w:fldChar w:fldCharType="end"/>
      </w:r>
    </w:p>
    <w:p w14:paraId="512B9530">
      <w:pPr>
        <w:pStyle w:val="12"/>
        <w:tabs>
          <w:tab w:val="right" w:leader="dot" w:pos="8296"/>
        </w:tabs>
        <w:ind w:left="900" w:hanging="480"/>
        <w:rPr>
          <w:rFonts w:hint="eastAsia" w:ascii="宋体" w:hAnsi="宋体" w:eastAsia="宋体"/>
          <w:sz w:val="24"/>
          <w14:ligatures w14:val="standardContextual"/>
        </w:rPr>
      </w:pPr>
      <w:r>
        <w:fldChar w:fldCharType="begin"/>
      </w:r>
      <w:r>
        <w:instrText xml:space="preserve"> HYPERLINK \l "_Toc228655979" </w:instrText>
      </w:r>
      <w:r>
        <w:fldChar w:fldCharType="separate"/>
      </w:r>
      <w:r>
        <w:rPr>
          <w:rStyle w:val="21"/>
          <w:rFonts w:ascii="宋体" w:hAnsi="宋体" w:eastAsia="宋体" w:cs="Times New Roman"/>
          <w:sz w:val="24"/>
        </w:rPr>
        <w:t>表 8 最终预测结果分析</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_Toc228655979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17</w:t>
      </w:r>
      <w:r>
        <w:rPr>
          <w:rFonts w:hint="eastAsia" w:ascii="宋体" w:hAnsi="宋体" w:eastAsia="宋体"/>
          <w:sz w:val="24"/>
        </w:rPr>
        <w:fldChar w:fldCharType="end"/>
      </w:r>
      <w:r>
        <w:rPr>
          <w:rFonts w:hint="eastAsia" w:ascii="宋体" w:hAnsi="宋体" w:eastAsia="宋体"/>
          <w:sz w:val="24"/>
        </w:rPr>
        <w:fldChar w:fldCharType="end"/>
      </w:r>
    </w:p>
    <w:p w14:paraId="359B51A1">
      <w:pPr>
        <w:jc w:val="center"/>
        <w:outlineLvl w:val="0"/>
        <w:rPr>
          <w:rFonts w:hint="eastAsia" w:cs="黑体" w:asciiTheme="majorEastAsia" w:hAnsiTheme="majorEastAsia" w:eastAsiaTheme="majorEastAsia"/>
          <w:color w:val="000000" w:themeColor="text1"/>
          <w:sz w:val="28"/>
          <w:szCs w:val="28"/>
          <w14:textFill>
            <w14:solidFill>
              <w14:schemeClr w14:val="tx1"/>
            </w14:solidFill>
          </w14:textFill>
        </w:rPr>
      </w:pPr>
      <w:r>
        <w:rPr>
          <w:rFonts w:hint="eastAsia" w:ascii="宋体" w:hAnsi="宋体" w:eastAsia="宋体" w:cs="黑体"/>
          <w:color w:val="000000" w:themeColor="text1"/>
          <w:sz w:val="24"/>
          <w14:textFill>
            <w14:solidFill>
              <w14:schemeClr w14:val="tx1"/>
            </w14:solidFill>
          </w14:textFill>
        </w:rPr>
        <w:fldChar w:fldCharType="end"/>
      </w:r>
    </w:p>
    <w:p w14:paraId="6685F960">
      <w:pPr>
        <w:jc w:val="center"/>
        <w:outlineLvl w:val="0"/>
        <w:rPr>
          <w:rFonts w:cs="黑体" w:asciiTheme="majorEastAsia" w:hAnsiTheme="majorEastAsia" w:eastAsiaTheme="majorEastAsia"/>
          <w:color w:val="000000" w:themeColor="text1"/>
          <w:sz w:val="28"/>
          <w:szCs w:val="28"/>
          <w14:textFill>
            <w14:solidFill>
              <w14:schemeClr w14:val="tx1"/>
            </w14:solidFill>
          </w14:textFill>
        </w:rPr>
      </w:pPr>
      <w:bookmarkStart w:id="5" w:name="_Toc228654913"/>
      <w:bookmarkStart w:id="6" w:name="_Toc29233"/>
      <w:r>
        <w:rPr>
          <w:rFonts w:hint="eastAsia" w:cs="黑体" w:asciiTheme="majorEastAsia" w:hAnsiTheme="majorEastAsia" w:eastAsiaTheme="majorEastAsia"/>
          <w:color w:val="000000" w:themeColor="text1"/>
          <w:sz w:val="28"/>
          <w:szCs w:val="28"/>
          <w14:textFill>
            <w14:solidFill>
              <w14:schemeClr w14:val="tx1"/>
            </w14:solidFill>
          </w14:textFill>
        </w:rPr>
        <w:t>图目录</w:t>
      </w:r>
      <w:bookmarkEnd w:id="5"/>
      <w:bookmarkEnd w:id="6"/>
    </w:p>
    <w:p w14:paraId="28F119AC">
      <w:pPr>
        <w:pStyle w:val="12"/>
        <w:tabs>
          <w:tab w:val="right" w:leader="dot" w:pos="8296"/>
        </w:tabs>
        <w:ind w:left="900" w:hanging="480"/>
        <w:rPr>
          <w:rFonts w:hint="eastAsia" w:ascii="宋体" w:hAnsi="宋体" w:eastAsia="宋体"/>
          <w:sz w:val="24"/>
          <w14:ligatures w14:val="standardContextual"/>
        </w:rPr>
      </w:pPr>
      <w:r>
        <w:rPr>
          <w:rFonts w:ascii="宋体" w:hAnsi="宋体" w:eastAsia="宋体"/>
          <w:sz w:val="24"/>
        </w:rPr>
        <w:fldChar w:fldCharType="begin"/>
      </w:r>
      <w:r>
        <w:rPr>
          <w:rFonts w:ascii="宋体" w:hAnsi="宋体" w:eastAsia="宋体"/>
          <w:sz w:val="24"/>
        </w:rPr>
        <w:instrText xml:space="preserve"> </w:instrText>
      </w:r>
      <w:r>
        <w:rPr>
          <w:rFonts w:hint="eastAsia" w:ascii="宋体" w:hAnsi="宋体" w:eastAsia="宋体"/>
          <w:sz w:val="24"/>
        </w:rPr>
        <w:instrText xml:space="preserve">TOC \h \z \c "图"</w:instrText>
      </w:r>
      <w:r>
        <w:rPr>
          <w:rFonts w:ascii="宋体" w:hAnsi="宋体" w:eastAsia="宋体"/>
          <w:sz w:val="24"/>
        </w:rPr>
        <w:instrText xml:space="preserve"> </w:instrText>
      </w:r>
      <w:r>
        <w:rPr>
          <w:rFonts w:ascii="宋体" w:hAnsi="宋体" w:eastAsia="宋体"/>
          <w:sz w:val="24"/>
        </w:rPr>
        <w:fldChar w:fldCharType="separate"/>
      </w:r>
      <w:r>
        <w:fldChar w:fldCharType="begin"/>
      </w:r>
      <w:r>
        <w:instrText xml:space="preserve"> HYPERLINK \l "_Toc228655992" </w:instrText>
      </w:r>
      <w:r>
        <w:fldChar w:fldCharType="separate"/>
      </w:r>
      <w:r>
        <w:rPr>
          <w:rStyle w:val="21"/>
          <w:rFonts w:ascii="宋体" w:hAnsi="宋体" w:eastAsia="宋体" w:cs="Times New Roman"/>
          <w:sz w:val="24"/>
        </w:rPr>
        <w:t>图 1 ADP</w:t>
      </w:r>
      <w:r>
        <w:rPr>
          <w:rStyle w:val="21"/>
          <w:rFonts w:ascii="Cambria Math" w:hAnsi="Cambria Math" w:eastAsia="宋体" w:cs="Cambria Math"/>
          <w:sz w:val="24"/>
        </w:rPr>
        <w:t>‑</w:t>
      </w:r>
      <w:r>
        <w:rPr>
          <w:rStyle w:val="21"/>
          <w:rFonts w:ascii="宋体" w:hAnsi="宋体" w:eastAsia="宋体" w:cs="Times New Roman"/>
          <w:sz w:val="24"/>
        </w:rPr>
        <w:t>DEM模型的框架图</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_Toc228655992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2</w:t>
      </w:r>
      <w:r>
        <w:rPr>
          <w:rFonts w:hint="eastAsia" w:ascii="宋体" w:hAnsi="宋体" w:eastAsia="宋体"/>
          <w:sz w:val="24"/>
        </w:rPr>
        <w:fldChar w:fldCharType="end"/>
      </w:r>
      <w:r>
        <w:rPr>
          <w:rFonts w:hint="eastAsia" w:ascii="宋体" w:hAnsi="宋体" w:eastAsia="宋体"/>
          <w:sz w:val="24"/>
        </w:rPr>
        <w:fldChar w:fldCharType="end"/>
      </w:r>
    </w:p>
    <w:p w14:paraId="447299AD">
      <w:pPr>
        <w:pStyle w:val="12"/>
        <w:tabs>
          <w:tab w:val="right" w:leader="dot" w:pos="8296"/>
        </w:tabs>
        <w:ind w:left="900" w:hanging="480"/>
        <w:rPr>
          <w:rFonts w:hint="eastAsia" w:ascii="宋体" w:hAnsi="宋体" w:eastAsia="宋体"/>
          <w:sz w:val="24"/>
          <w14:ligatures w14:val="standardContextual"/>
        </w:rPr>
      </w:pPr>
      <w:r>
        <w:fldChar w:fldCharType="begin"/>
      </w:r>
      <w:r>
        <w:instrText xml:space="preserve"> HYPERLINK \l "_Toc228655993" </w:instrText>
      </w:r>
      <w:r>
        <w:fldChar w:fldCharType="separate"/>
      </w:r>
      <w:r>
        <w:rPr>
          <w:rStyle w:val="21"/>
          <w:rFonts w:ascii="宋体" w:hAnsi="宋体" w:eastAsia="宋体"/>
          <w:sz w:val="24"/>
        </w:rPr>
        <w:t>图 2数据集中氨基酸频率分布情况</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_Toc228655993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4</w:t>
      </w:r>
      <w:r>
        <w:rPr>
          <w:rFonts w:hint="eastAsia" w:ascii="宋体" w:hAnsi="宋体" w:eastAsia="宋体"/>
          <w:sz w:val="24"/>
        </w:rPr>
        <w:fldChar w:fldCharType="end"/>
      </w:r>
      <w:r>
        <w:rPr>
          <w:rFonts w:hint="eastAsia" w:ascii="宋体" w:hAnsi="宋体" w:eastAsia="宋体"/>
          <w:sz w:val="24"/>
        </w:rPr>
        <w:fldChar w:fldCharType="end"/>
      </w:r>
    </w:p>
    <w:p w14:paraId="7B7E528B">
      <w:pPr>
        <w:pStyle w:val="12"/>
        <w:tabs>
          <w:tab w:val="right" w:leader="dot" w:pos="8296"/>
        </w:tabs>
        <w:ind w:left="900" w:hanging="480"/>
        <w:rPr>
          <w:rFonts w:hint="eastAsia" w:ascii="宋体" w:hAnsi="宋体" w:eastAsia="宋体"/>
          <w:sz w:val="24"/>
          <w14:ligatures w14:val="standardContextual"/>
        </w:rPr>
      </w:pPr>
      <w:r>
        <w:fldChar w:fldCharType="begin"/>
      </w:r>
      <w:r>
        <w:instrText xml:space="preserve"> HYPERLINK \l "_Toc228655994" </w:instrText>
      </w:r>
      <w:r>
        <w:fldChar w:fldCharType="separate"/>
      </w:r>
      <w:r>
        <w:rPr>
          <w:rStyle w:val="21"/>
          <w:rFonts w:ascii="宋体" w:hAnsi="宋体" w:eastAsia="宋体"/>
          <w:sz w:val="24"/>
        </w:rPr>
        <w:t>图 3 Stage-1主模型分数与二级决策层最终分数的对应关系</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_Toc228655994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11</w:t>
      </w:r>
      <w:r>
        <w:rPr>
          <w:rFonts w:hint="eastAsia" w:ascii="宋体" w:hAnsi="宋体" w:eastAsia="宋体"/>
          <w:sz w:val="24"/>
        </w:rPr>
        <w:fldChar w:fldCharType="end"/>
      </w:r>
      <w:r>
        <w:rPr>
          <w:rFonts w:hint="eastAsia" w:ascii="宋体" w:hAnsi="宋体" w:eastAsia="宋体"/>
          <w:sz w:val="24"/>
        </w:rPr>
        <w:fldChar w:fldCharType="end"/>
      </w:r>
    </w:p>
    <w:p w14:paraId="38319063">
      <w:pPr>
        <w:pStyle w:val="12"/>
        <w:tabs>
          <w:tab w:val="right" w:leader="dot" w:pos="8296"/>
        </w:tabs>
        <w:ind w:left="900" w:hanging="480"/>
        <w:rPr>
          <w:rFonts w:hint="eastAsia" w:ascii="宋体" w:hAnsi="宋体" w:eastAsia="宋体"/>
          <w:sz w:val="24"/>
          <w14:ligatures w14:val="standardContextual"/>
        </w:rPr>
      </w:pPr>
      <w:r>
        <w:fldChar w:fldCharType="begin"/>
      </w:r>
      <w:r>
        <w:instrText xml:space="preserve"> HYPERLINK \l "_Toc228655995" </w:instrText>
      </w:r>
      <w:r>
        <w:fldChar w:fldCharType="separate"/>
      </w:r>
      <w:r>
        <w:rPr>
          <w:rStyle w:val="21"/>
          <w:rFonts w:ascii="宋体" w:hAnsi="宋体" w:eastAsia="宋体"/>
          <w:sz w:val="24"/>
        </w:rPr>
        <w:t>图 4二级决策层中一致性奖励与不确定性惩罚的分布情况</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_Toc228655995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12</w:t>
      </w:r>
      <w:r>
        <w:rPr>
          <w:rFonts w:hint="eastAsia" w:ascii="宋体" w:hAnsi="宋体" w:eastAsia="宋体"/>
          <w:sz w:val="24"/>
        </w:rPr>
        <w:fldChar w:fldCharType="end"/>
      </w:r>
      <w:r>
        <w:rPr>
          <w:rFonts w:hint="eastAsia" w:ascii="宋体" w:hAnsi="宋体" w:eastAsia="宋体"/>
          <w:sz w:val="24"/>
        </w:rPr>
        <w:fldChar w:fldCharType="end"/>
      </w:r>
    </w:p>
    <w:p w14:paraId="607D0366">
      <w:pPr>
        <w:pStyle w:val="12"/>
        <w:tabs>
          <w:tab w:val="right" w:leader="dot" w:pos="8296"/>
        </w:tabs>
        <w:ind w:left="900" w:hanging="480"/>
        <w:rPr>
          <w:rFonts w:hint="eastAsia" w:ascii="宋体" w:hAnsi="宋体" w:eastAsia="宋体"/>
          <w:sz w:val="24"/>
          <w14:ligatures w14:val="standardContextual"/>
        </w:rPr>
      </w:pPr>
      <w:r>
        <w:fldChar w:fldCharType="begin"/>
      </w:r>
      <w:r>
        <w:instrText xml:space="preserve"> HYPERLINK \l "_Toc228655996" </w:instrText>
      </w:r>
      <w:r>
        <w:fldChar w:fldCharType="separate"/>
      </w:r>
      <w:r>
        <w:rPr>
          <w:rStyle w:val="21"/>
          <w:rFonts w:ascii="宋体" w:hAnsi="宋体" w:eastAsia="宋体"/>
          <w:sz w:val="24"/>
        </w:rPr>
        <w:t>图 5门控融合模型中不同特征分支权重在正负样本中的分布</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_Toc228655996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12</w:t>
      </w:r>
      <w:r>
        <w:rPr>
          <w:rFonts w:hint="eastAsia" w:ascii="宋体" w:hAnsi="宋体" w:eastAsia="宋体"/>
          <w:sz w:val="24"/>
        </w:rPr>
        <w:fldChar w:fldCharType="end"/>
      </w:r>
      <w:r>
        <w:rPr>
          <w:rFonts w:hint="eastAsia" w:ascii="宋体" w:hAnsi="宋体" w:eastAsia="宋体"/>
          <w:sz w:val="24"/>
        </w:rPr>
        <w:fldChar w:fldCharType="end"/>
      </w:r>
    </w:p>
    <w:p w14:paraId="36F84D4D">
      <w:pPr>
        <w:pStyle w:val="12"/>
        <w:tabs>
          <w:tab w:val="right" w:leader="dot" w:pos="8296"/>
        </w:tabs>
        <w:ind w:left="900" w:hanging="480"/>
        <w:rPr>
          <w:rFonts w:hint="eastAsia" w:ascii="宋体" w:hAnsi="宋体" w:eastAsia="宋体"/>
          <w:sz w:val="24"/>
          <w14:ligatures w14:val="standardContextual"/>
        </w:rPr>
      </w:pPr>
      <w:r>
        <w:fldChar w:fldCharType="begin"/>
      </w:r>
      <w:r>
        <w:instrText xml:space="preserve"> HYPERLINK \l "_Toc228655997" </w:instrText>
      </w:r>
      <w:r>
        <w:fldChar w:fldCharType="separate"/>
      </w:r>
      <w:r>
        <w:rPr>
          <w:rStyle w:val="21"/>
          <w:rFonts w:ascii="宋体" w:hAnsi="宋体" w:eastAsia="宋体" w:cs="Times New Roman"/>
          <w:sz w:val="24"/>
        </w:rPr>
        <w:t>图 6 主模型与二级决策层模型的校准曲线比较</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_Toc228655997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13</w:t>
      </w:r>
      <w:r>
        <w:rPr>
          <w:rFonts w:hint="eastAsia" w:ascii="宋体" w:hAnsi="宋体" w:eastAsia="宋体"/>
          <w:sz w:val="24"/>
        </w:rPr>
        <w:fldChar w:fldCharType="end"/>
      </w:r>
      <w:r>
        <w:rPr>
          <w:rFonts w:hint="eastAsia" w:ascii="宋体" w:hAnsi="宋体" w:eastAsia="宋体"/>
          <w:sz w:val="24"/>
        </w:rPr>
        <w:fldChar w:fldCharType="end"/>
      </w:r>
    </w:p>
    <w:p w14:paraId="6EBA565E">
      <w:pPr>
        <w:pStyle w:val="12"/>
        <w:tabs>
          <w:tab w:val="right" w:leader="dot" w:pos="8296"/>
        </w:tabs>
        <w:ind w:left="900" w:hanging="480"/>
        <w:rPr>
          <w:rFonts w:hint="eastAsia" w:ascii="宋体" w:hAnsi="宋体" w:eastAsia="宋体"/>
          <w:sz w:val="24"/>
          <w14:ligatures w14:val="standardContextual"/>
        </w:rPr>
      </w:pPr>
      <w:r>
        <w:fldChar w:fldCharType="begin"/>
      </w:r>
      <w:r>
        <w:instrText xml:space="preserve"> HYPERLINK \l "_Toc228655998" </w:instrText>
      </w:r>
      <w:r>
        <w:fldChar w:fldCharType="separate"/>
      </w:r>
      <w:r>
        <w:rPr>
          <w:rStyle w:val="21"/>
          <w:rFonts w:ascii="宋体" w:hAnsi="宋体" w:eastAsia="宋体"/>
          <w:sz w:val="24"/>
        </w:rPr>
        <w:t>图 7部分高置信度复合物</w:t>
      </w:r>
      <w:r>
        <w:rPr>
          <w:rFonts w:hint="eastAsia" w:ascii="宋体" w:hAnsi="宋体" w:eastAsia="宋体"/>
          <w:sz w:val="24"/>
        </w:rPr>
        <w:tab/>
      </w:r>
      <w:r>
        <w:rPr>
          <w:rFonts w:hint="eastAsia" w:ascii="宋体" w:hAnsi="宋体" w:eastAsia="宋体"/>
          <w:sz w:val="24"/>
        </w:rPr>
        <w:fldChar w:fldCharType="begin"/>
      </w:r>
      <w:r>
        <w:rPr>
          <w:rFonts w:hint="eastAsia" w:ascii="宋体" w:hAnsi="宋体" w:eastAsia="宋体"/>
          <w:sz w:val="24"/>
        </w:rPr>
        <w:instrText xml:space="preserve"> </w:instrText>
      </w:r>
      <w:r>
        <w:rPr>
          <w:rFonts w:ascii="宋体" w:hAnsi="宋体" w:eastAsia="宋体"/>
          <w:sz w:val="24"/>
        </w:rPr>
        <w:instrText xml:space="preserve">PAGEREF _Toc228655998 \h</w:instrText>
      </w:r>
      <w:r>
        <w:rPr>
          <w:rFonts w:hint="eastAsia" w:ascii="宋体" w:hAnsi="宋体" w:eastAsia="宋体"/>
          <w:sz w:val="24"/>
        </w:rPr>
        <w:instrText xml:space="preserve"> </w:instrText>
      </w:r>
      <w:r>
        <w:rPr>
          <w:rFonts w:hint="eastAsia" w:ascii="宋体" w:hAnsi="宋体" w:eastAsia="宋体"/>
          <w:sz w:val="24"/>
        </w:rPr>
        <w:fldChar w:fldCharType="separate"/>
      </w:r>
      <w:r>
        <w:rPr>
          <w:rFonts w:ascii="宋体" w:hAnsi="宋体" w:eastAsia="宋体"/>
          <w:sz w:val="24"/>
        </w:rPr>
        <w:t>19</w:t>
      </w:r>
      <w:r>
        <w:rPr>
          <w:rFonts w:hint="eastAsia" w:ascii="宋体" w:hAnsi="宋体" w:eastAsia="宋体"/>
          <w:sz w:val="24"/>
        </w:rPr>
        <w:fldChar w:fldCharType="end"/>
      </w:r>
      <w:r>
        <w:rPr>
          <w:rFonts w:hint="eastAsia" w:ascii="宋体" w:hAnsi="宋体" w:eastAsia="宋体"/>
          <w:sz w:val="24"/>
        </w:rPr>
        <w:fldChar w:fldCharType="end"/>
      </w:r>
    </w:p>
    <w:p w14:paraId="430ED415">
      <w:pPr>
        <w:jc w:val="center"/>
        <w:outlineLvl w:val="0"/>
        <w:rPr>
          <w:rFonts w:hint="eastAsia"/>
        </w:rPr>
      </w:pPr>
      <w:r>
        <w:rPr>
          <w:rFonts w:ascii="宋体" w:hAnsi="宋体" w:eastAsia="宋体"/>
          <w:sz w:val="24"/>
        </w:rPr>
        <w:fldChar w:fldCharType="end"/>
      </w:r>
    </w:p>
    <w:p w14:paraId="3830BEBD"/>
    <w:p w14:paraId="411219D9"/>
    <w:p w14:paraId="6E7674B8"/>
    <w:p w14:paraId="51689D58">
      <w:pPr>
        <w:spacing w:line="400" w:lineRule="exact"/>
        <w:outlineLvl w:val="0"/>
        <w:rPr>
          <w:rFonts w:hint="eastAsia" w:ascii="黑体" w:hAnsi="黑体" w:eastAsia="黑体" w:cs="Times New Roman"/>
          <w:color w:val="000000" w:themeColor="text1"/>
          <w:sz w:val="30"/>
          <w:szCs w:val="30"/>
          <w14:textFill>
            <w14:solidFill>
              <w14:schemeClr w14:val="tx1"/>
            </w14:solidFill>
          </w14:textFill>
        </w:rPr>
        <w:sectPr>
          <w:footerReference r:id="rId8" w:type="default"/>
          <w:pgSz w:w="11906" w:h="16838"/>
          <w:pgMar w:top="1440" w:right="1800" w:bottom="1440" w:left="1800" w:header="851" w:footer="992" w:gutter="0"/>
          <w:pgNumType w:start="0"/>
          <w:cols w:space="425" w:num="1"/>
          <w:docGrid w:type="lines" w:linePitch="312" w:charSpace="0"/>
        </w:sectPr>
      </w:pPr>
      <w:bookmarkStart w:id="7" w:name="_Toc25034"/>
    </w:p>
    <w:p w14:paraId="35692564">
      <w:pPr>
        <w:keepNext w:val="0"/>
        <w:keepLines w:val="0"/>
        <w:pageBreakBefore w:val="0"/>
        <w:widowControl w:val="0"/>
        <w:kinsoku/>
        <w:wordWrap/>
        <w:overflowPunct/>
        <w:topLinePunct w:val="0"/>
        <w:autoSpaceDE/>
        <w:autoSpaceDN/>
        <w:bidi w:val="0"/>
        <w:adjustRightInd w:val="0"/>
        <w:snapToGrid/>
        <w:spacing w:line="480" w:lineRule="exact"/>
        <w:textAlignment w:val="auto"/>
        <w:outlineLvl w:val="0"/>
        <w:rPr>
          <w:rFonts w:hint="eastAsia" w:ascii="黑体" w:hAnsi="黑体" w:eastAsia="黑体"/>
          <w:b/>
          <w:bCs/>
          <w:sz w:val="30"/>
          <w:szCs w:val="30"/>
        </w:rPr>
      </w:pPr>
      <w:r>
        <w:rPr>
          <w:rFonts w:hint="eastAsia" w:ascii="黑体" w:hAnsi="黑体" w:eastAsia="黑体"/>
          <w:b/>
          <w:bCs/>
          <w:sz w:val="30"/>
          <w:szCs w:val="30"/>
        </w:rPr>
        <w:t>一、引言</w:t>
      </w:r>
      <w:bookmarkEnd w:id="7"/>
    </w:p>
    <w:p w14:paraId="1DCC40CD">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eastAsia="宋体" w:cs="Times New Roman"/>
          <w:color w:val="000000" w:themeColor="text1"/>
          <w:kern w:val="0"/>
          <w:sz w:val="24"/>
          <w:lang w:bidi="ar"/>
          <w14:textFill>
            <w14:solidFill>
              <w14:schemeClr w14:val="tx1"/>
            </w14:solidFill>
          </w14:textFill>
        </w:rPr>
        <w:t>糖尿病已成为全球最严峻的公共卫生挑战之一</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24"/>
          <w:vertAlign w:val="superscript"/>
          <w:lang w:bidi="ar"/>
          <w14:textFill>
            <w14:solidFill>
              <w14:schemeClr w14:val="tx1"/>
            </w14:solidFill>
          </w14:textFill>
        </w:rPr>
        <w:instrText xml:space="preserve"> ADDIN ZOTERO_ITEM CSL_CITATION {"citationID":"iUxTnAzH","properties":{"unsorted":false,"formattedCitation":"\\super [1]\\nosupersub{}","plainCitation":"[1]","noteIndex":0},"citationItems":[{"id":18,"uris":["http://zotero.org/users/local/j3apxnFx/items/LDI5ES9S"],"itemData":{"id":18,"type":"article-journal","abstract":"{L-End} 糖尿病是我国最重要的慢性非传染性疾病之一，具有患病人数多、增长速度快、并发症负担重、管理周期长等特点。在人口老龄化进程加快、“现代”生活方式流行的背景下，我国糖尿病防控正面临着前所未有的挑战。该文整合2025年我国糖尿病流行病学研究、国家级慢病监测数据及全国性登记研究成果，全面梳理中国糖尿病在流行趋势、区域分布、危险因素、并发症谱、临床管理现状和政策响应等方面的最新进展，并结合当前学科前沿，对未来我国糖尿病防控的重点方向与发展路径进行分析与展望，以期为临床实践、公共卫生决策及科研布局提供循证依据。","container-title":"中华糖尿病杂志","DOI":"10.3760/cma.j.cn115791-20260108-00011","issue":"02","language":"zh","page":"89","source":"DOI.org (CSL JSON)","title":"中国糖尿病流行现状及其防控策略","volume":"18","author":[{"family":"","given":"王伟好"}],"issued":{"date-parts":[["2026"]]}}}],"schema":"https://github.com/citation-style-language/schema/raw/master/csl-citation.json"} </w:instrTex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separate"/>
      </w:r>
      <w:r>
        <w:rPr>
          <w:rFonts w:ascii="Times New Roman" w:hAnsi="Times New Roman" w:cs="Times New Roman"/>
          <w:color w:val="000000" w:themeColor="text1"/>
          <w:kern w:val="0"/>
          <w:sz w:val="24"/>
          <w:vertAlign w:val="superscript"/>
          <w14:textFill>
            <w14:solidFill>
              <w14:schemeClr w14:val="tx1"/>
            </w14:solidFill>
          </w14:textFill>
        </w:rPr>
        <w:t>[1]</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。据国际糖尿病联盟最新数据，2025年全球成人糖尿病患者已达5.89亿，近十分之一成年人受其困扰，预计到2050年这一数字将攀升至8.53亿</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24"/>
          <w:vertAlign w:val="superscript"/>
          <w:lang w:bidi="ar"/>
          <w14:textFill>
            <w14:solidFill>
              <w14:schemeClr w14:val="tx1"/>
            </w14:solidFill>
          </w14:textFill>
        </w:rPr>
        <w:instrText xml:space="preserve"> ADDIN ZOTERO_ITEM CSL_CITATION {"citationID":"GuQa75db","properties":{"unsorted":false,"formattedCitation":"\\super [2]\\nosupersub{}","plainCitation":"[2]","noteIndex":0},"citationItems":[{"id":20,"uris":["http://zotero.org/users/local/j3apxnFx/items/2L47PAWH"],"itemData":{"id":20,"type":"book","edition":"11th edition","ISBN":"978-2-930229-96-6","language":"en","number-of-pages":"1","publisher":"International Diabetes Federation","publisher-place":"Brussels","source":"K10plus ISBN","title":"Diabetes atlas","author":[{"family":"Magliano","given":"Dianna"},{"family":"Boyko","given":"Edward J."}],"contributor":[{"literal":"International Diabetes Federation"}],"issued":{"date-parts":[["2025"]]}}}],"schema":"https://github.com/citation-style-language/schema/raw/master/csl-citation.json"} </w:instrTex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separate"/>
      </w:r>
      <w:r>
        <w:rPr>
          <w:rFonts w:ascii="Times New Roman" w:hAnsi="Times New Roman" w:cs="Times New Roman"/>
          <w:color w:val="000000" w:themeColor="text1"/>
          <w:kern w:val="0"/>
          <w:sz w:val="24"/>
          <w:vertAlign w:val="superscript"/>
          <w14:textFill>
            <w14:solidFill>
              <w14:schemeClr w14:val="tx1"/>
            </w14:solidFill>
          </w14:textFill>
        </w:rPr>
        <w:t>[2]</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。长期使用胰岛素和口服降糖药存在低血糖、胃肠道不适等副作用，亟需开发新型降糖药物</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24"/>
          <w:vertAlign w:val="superscript"/>
          <w:lang w:bidi="ar"/>
          <w14:textFill>
            <w14:solidFill>
              <w14:schemeClr w14:val="tx1"/>
            </w14:solidFill>
          </w14:textFill>
        </w:rPr>
        <w:instrText xml:space="preserve"> ADDIN ZOTERO_ITEM CSL_CITATION {"citationID":"QeAOc2Bo","properties":{"unsorted":false,"formattedCitation":"\\super [3]\\nosupersub{}","plainCitation":"[3]","noteIndex":0},"citationItems":[{"id":23,"uris":["http://zotero.org/users/local/j3apxnFx/items/MB86RQGE"],"itemData":{"id":23,"type":"article-journal","abstract":"随着国内外糖尿病的研究取得了重要进展，诊疗新方法和新技术不断问世，相关临床研究证据持续丰富。中华医学会糖尿病学分会组织专家对原有指南进行修订，形成了《中国糖尿病防治指南（2024版）》，旨在及时传递重要进展，指导临床实践。本指南共20章，内容涵盖中国糖尿病的流行病学、诊断与分型、三级预防、筛查和评估、教育和管理、2型糖尿病综合控制目标和高血糖的治疗路径、医学营养治疗、运动治疗、高血糖的药物治疗、2型糖尿病患者的体重管理、糖尿病相关技术、急性并发症、心血管疾病及危险因素管理、糖尿病慢性并发症、儿童和青少年糖尿病、1型糖尿病、低血糖、糖尿病的特殊情况、代谢综合征和中医药防治糖尿病。本指南的发布将有助于指导和帮助临床医师对糖尿病患者进行规范化综合管理，促进行业水平提高和进步，改善患者生活质量与临床结局。","container-title":"中华糖尿病杂志","DOI":"10.3760/cma.j.cn115791-20241203-00705","issue":"01","language":"zh","page":"16","source":"DOI.org (CSL JSON)","title":"中国糖尿病防治指南（2024版）","volume":"17","author":[{"family":"","given":"中华医学会糖尿病学分会"}],"issued":{"date-parts":[["2025"]]}}}],"schema":"https://github.com/citation-style-language/schema/raw/master/csl-citation.json"} </w:instrTex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separate"/>
      </w:r>
      <w:r>
        <w:rPr>
          <w:rFonts w:ascii="Times New Roman" w:hAnsi="Times New Roman" w:cs="Times New Roman"/>
          <w:color w:val="000000" w:themeColor="text1"/>
          <w:kern w:val="0"/>
          <w:sz w:val="24"/>
          <w:vertAlign w:val="superscript"/>
          <w14:textFill>
            <w14:solidFill>
              <w14:schemeClr w14:val="tx1"/>
            </w14:solidFill>
          </w14:textFill>
        </w:rPr>
        <w:t>[3]</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。在此背景下，抗糖尿病肽（Anti-diabetic Peptides, ADPs）因其高靶向性、低毒性和天然来源的潜力，已成为功能性肽类药物研究的前沿方向</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24"/>
          <w:vertAlign w:val="superscript"/>
          <w:lang w:bidi="ar"/>
          <w14:textFill>
            <w14:solidFill>
              <w14:schemeClr w14:val="tx1"/>
            </w14:solidFill>
          </w14:textFill>
        </w:rPr>
        <w:instrText xml:space="preserve"> ADDIN ZOTERO_ITEM CSL_CITATION {"citationID":"DjjAhFg2","properties":{"unsorted":false,"formattedCitation":"\\super [4]\\nosupersub{}","plainCitation":"[4]","noteIndex":0},"citationItems":[{"id":25,"uris":["http://zotero.org/users/local/j3apxnFx/items/462L2YCR"],"itemData":{"id":25,"type":"article-journal","abstract":"Diabetes mellitus (DM) presents a critical global health challenge, characterized by persistent hyperglycemia and associated with substantial economic and health-related burdens. This study employs advanced machine-learning techniques to improve the prediction and classification of antidiabetic peptides, with a particular focus on differentiating those effective against T1DM from those targeting T2DM. We integrate feature selection with analysis methods, including logistic regression, support vector machines (SVM), and adaptive boosting (AdaBoost), to classify antidiabetic peptides based on key features. Feature selection through the Lasso-penalized method identifies critical peptide characteristics that significantly influence antidiabetic activity, thereby establishing a robust foundation for future peptide design. A comprehensive evaluation of logistic regression, SVM, and AdaBoost shows that AdaBoost consistently outperforms the other methods, making it the most effective approach for classifying antidiabetic peptides. This research underscores the potential of machine learning in the systematic evaluation of bioactive peptides, contributing to the advancement of peptide-based therapies for diabetes management.","container-title":"International Journal of Molecular Sciences","DOI":"10.3390/ijms251810020","ISSN":"1422-0067","issue":"18","journalAbbreviation":"IJMS","language":"en","page":"10020","source":"DOI.org (Crossref)","title":"Predicting Antidiabetic Peptide Activity: A Machine Learning Perspective on Type 1 and Type 2 Diabetes","title-short":"Predicting Antidiabetic Peptide Activity","volume":"25","author":[{"family":"Cai","given":"Kaida"},{"family":"Zhang","given":"Zhe"},{"family":"Zhu","given":"Wenzhou"},{"family":"Liu","given":"Xiangwei"},{"family":"Yu","given":"Tingqing"},{"family":"Liao","given":"Wang"}],"issued":{"date-parts":[["2024",9,18]]}}}],"schema":"https://github.com/citation-style-language/schema/raw/master/csl-citation.json"} </w:instrTex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separate"/>
      </w:r>
      <w:r>
        <w:rPr>
          <w:rFonts w:ascii="Times New Roman" w:hAnsi="Times New Roman" w:cs="Times New Roman"/>
          <w:color w:val="000000" w:themeColor="text1"/>
          <w:kern w:val="0"/>
          <w:sz w:val="24"/>
          <w:vertAlign w:val="superscript"/>
          <w14:textFill>
            <w14:solidFill>
              <w14:schemeClr w14:val="tx1"/>
            </w14:solidFill>
          </w14:textFill>
        </w:rPr>
        <w:t>[4]</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。然而，传统实验筛选方法周期长、成本高，难以满足快速发现新ADPs的需求，计算方法在ADPs预测中的重要性日益凸显。</w:t>
      </w:r>
    </w:p>
    <w:p w14:paraId="3FDEB949">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bookmarkStart w:id="8" w:name="OLE_LINK12"/>
      <w:r>
        <w:rPr>
          <w:rFonts w:ascii="Times New Roman" w:hAnsi="Times New Roman" w:eastAsia="宋体" w:cs="Times New Roman"/>
          <w:color w:val="000000" w:themeColor="text1"/>
          <w:kern w:val="0"/>
          <w:sz w:val="24"/>
          <w:lang w:bidi="ar"/>
          <w14:textFill>
            <w14:solidFill>
              <w14:schemeClr w14:val="tx1"/>
            </w14:solidFill>
          </w14:textFill>
        </w:rPr>
        <w:t>近年来，机器学习方法在ADPs预测领域取得了显著进展。研究者已开发出基于传统特征编码的分类器、集成学习模型以及深度学习架构，并涌现出数个公开的ADPs预测工具。例如，Chen等人提出的AntiDMPpred是首个基于随机森林的ADPs预测工具，采用氨基酸组成、二肽组成、伪氨基酸组成及k间隔氨基酸基团对组合等特征，在5折交叉验证中取得了77.12%的准确率和0.8193的AUC值</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24"/>
          <w:vertAlign w:val="superscript"/>
          <w:lang w:bidi="ar"/>
          <w14:textFill>
            <w14:solidFill>
              <w14:schemeClr w14:val="tx1"/>
            </w14:solidFill>
          </w14:textFill>
        </w:rPr>
        <w:instrText xml:space="preserve"> ADDIN ZOTERO_ITEM CSL_CITATION {"citationID":"8lb6TXoF","properties":{"unsorted":false,"formattedCitation":"\\super [5]\\nosupersub{}","plainCitation":"[5]","noteIndex":0},"citationItems":[{"id":12,"uris":["http://zotero.org/users/local/j3apxnFx/items/V3GVCIW3"],"itemData":{"id":12,"type":"article-journal","abstract":"Diabetes mellitus (DM) is a chronic metabolic disease that has been a major threat to human health globally, causing great economic and social adversities. The oral administration of anti-diabetic peptide drugs has become a novel route for diabetes therapy. Numerous bioactive peptides have demonstrated potential anti-diabetic properties and are promising as alternative treatment measures to prevent and manage diabetes. The computational prediction of anti-diabetic peptides can help promote peptide-based drug discovery in the process of searching newly effective therapeutic peptide agents for diabetes treatment. Here, we resorted to random forest to develop a computational model, named AntiDMPpred, for predicting anti-diabetic peptides. A benchmark dataset with 236 anti-diabetic and 236 non-antidiabetic peptides was ﬁrst constructed. Four types of sequence-derived descriptors were used to represent the peptide sequences. We then combined four machine learning methods and six feature scoring methods to select the non-redundant features, which were fed into diverse machine learning classiﬁers to train the models. Experimental results show that AntiDMPpred reached an accuracy of 77.12% and area under the receiver operating curve (AUCROC) of 0.8193 in the nested ﬁve-fold cross-validation, yielding a satisfactory performance and surpassing other classiﬁers implemented in the study. The web service is freely accessible at http://i.uestc.edu.cn/ AntiDMPpred/cgi-bin/AntiDMPpred.pl. We hope AntiDMPpred could improve the discovery of anti-diabetic bioactive peptides.","container-title":"PeerJ","DOI":"10.7717/peerj.13581","ISSN":"2167-8359","language":"en","license":"https://creativecommons.org/licenses/by/4.0/","page":"e13581","source":"DOI.org (Crossref)","title":"AntiDMPpred: a web service for identifying anti-diabetic peptides","title-short":"AntiDMPpred","volume":"10","author":[{"family":"Chen","given":"Xue"},{"family":"Huang","given":"Jian"},{"family":"He","given":"Bifang"}],"issued":{"date-parts":[["2022",6,14]]}}}],"schema":"https://github.com/citation-style-language/schema/raw/master/csl-citation.json"} </w:instrTex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separate"/>
      </w:r>
      <w:r>
        <w:rPr>
          <w:rFonts w:ascii="Times New Roman" w:hAnsi="Times New Roman" w:eastAsia="宋体" w:cs="Times New Roman"/>
          <w:color w:val="000000" w:themeColor="text1"/>
          <w:kern w:val="0"/>
          <w:sz w:val="24"/>
          <w:vertAlign w:val="superscript"/>
          <w:lang w:bidi="ar"/>
          <w14:textFill>
            <w14:solidFill>
              <w14:schemeClr w14:val="tx1"/>
            </w14:solidFill>
          </w14:textFill>
        </w:rPr>
        <w:t>[5]</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。Basith等人开发的ADP-Fuse则采用双层级联框架和多视图特征学习策略，通过整合22种序列特征描述符与梯度提升树等分类器，在第一层ADPs识别任务中达到了0.940的准确率和0.841的马修斯相关系数</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24"/>
          <w:vertAlign w:val="superscript"/>
          <w:lang w:bidi="ar"/>
          <w14:textFill>
            <w14:solidFill>
              <w14:schemeClr w14:val="tx1"/>
            </w14:solidFill>
          </w14:textFill>
        </w:rPr>
        <w:instrText xml:space="preserve"> ADDIN ZOTERO_ITEM CSL_CITATION {"citationID":"Ecmx7DCN","properties":{"unsorted":false,"formattedCitation":"\\super [6]\\nosupersub{}","plainCitation":"[6]","noteIndex":0},"citationItems":[{"id":13,"uris":["http://zotero.org/users/local/j3apxnFx/items/292FU2FG"],"itemData":{"id":13,"type":"article-journal","abstract":"Diabetes mellitus has become a major public health concern associated with high mortality and reduced life expectancy and can cause blindness, heart attacks, kidney failure, lower limb amputations, and strokes. A new generation of antidiabetic peptides (ADPs) that act on β-cells or T-cells to regulate insulin production is being developed to alleviate the effects of diabetes. However, the lack of effective peptide-mining tools has hampered the discovery of these promising drugs. Hence, novel computational tools need to be developed urgently. In this study, we present ADP-Fuse, a novel two-layer prediction framework capable of accurately identifying ADPs or non-ADPs and categorizing them into type 1 and type 2 ADPs. First, we comprehensively evaluated 22 peptide sequence-derived features coupled with eight notable machine learning algorithms. Subsequently, the most suitable feature descriptors and classifiers for both layers were identified. The output of these single-feature models, embedded with multiview information, was trained with an appropriate classifier to provide the final prediction. Comprehensive cross-validation and independent tests substantiate that ADP-Fuse surpasses singlefeature models and the feature fusion approach for the prediction of ADPs and their types. In addition, the SHapley Additive exPlanation method was used to elucidate the contributions of individual features to the prediction of ADPs and their types. Finally, a user-friendly web server for ADP-Fuse was developed and made publicly accessible (https://balalab-skku.org/ADP-Fuse), enabling the swift screening and identification of novel ADPs and their types. This framework is expected to contribute significantly to antidiabetic peptide identification.","container-title":"Computers in Biology and Medicine","DOI":"10.1016/j.compbiomed.2023.107386","ISSN":"00104825","journalAbbreviation":"Computers in Biology and Medicine","language":"en","page":"107386","source":"DOI.org (Crossref)","title":"ADP-Fuse: A novel two-layer machine learning predictor to identify antidiabetic peptides and diabetes types using multiview information","title-short":"ADP-Fuse","volume":"165","author":[{"family":"Basith","given":"Shaherin"},{"family":"Pham","given":"Nhat Truong"},{"family":"Song","given":"Minkyung"},{"family":"Lee","given":"Gwang"},{"family":"Manavalan","given":"Balachandran"}],"issued":{"date-parts":[["2023",10]]}}}],"schema":"https://github.com/citation-style-language/schema/raw/master/csl-citation.json"} </w:instrTex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separate"/>
      </w:r>
      <w:r>
        <w:rPr>
          <w:rFonts w:ascii="Times New Roman" w:hAnsi="Times New Roman" w:eastAsia="宋体" w:cs="Times New Roman"/>
          <w:color w:val="000000" w:themeColor="text1"/>
          <w:kern w:val="0"/>
          <w:sz w:val="24"/>
          <w:vertAlign w:val="superscript"/>
          <w:lang w:bidi="ar"/>
          <w14:textFill>
            <w14:solidFill>
              <w14:schemeClr w14:val="tx1"/>
            </w14:solidFill>
          </w14:textFill>
        </w:rPr>
        <w:t>[6]</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。在此基础上，Arshad等人进一步构建了基于堆叠集成的STADIP模型，通过对84个基线模型的概率特征进行两阶段特征选择，将预测准确率提升至0.954</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24"/>
          <w:vertAlign w:val="superscript"/>
          <w:lang w:bidi="ar"/>
          <w14:textFill>
            <w14:solidFill>
              <w14:schemeClr w14:val="tx1"/>
            </w14:solidFill>
          </w14:textFill>
        </w:rPr>
        <w:instrText xml:space="preserve"> ADDIN ZOTERO_ITEM CSL_CITATION {"citationID":"Kd85rvG8","properties":{"unsorted":false,"formattedCitation":"\\super [7]\\nosupersub{}","plainCitation":"[7]","noteIndex":0},"citationItems":[{"id":14,"uris":["http://zotero.org/users/local/j3apxnFx/items/T8AEM3HV"],"itemData":{"id":14,"type":"article-journal","abstract":"Diabetes is a chronic disease that is characterized by high blood sugar levels and can have several harmful outcomes. Hyperglycemia, which is defined by persistently elevated blood sugar, is one of the primary concerns. People can improve their overall well-being and get optimal health outcomes by prioritizing diabetes control. Although the use of experimental approaches in diabetes treatment is cost-effective, it necessitates the development of many strategies for evaluating the efficacy of therapies. Researchers can quickly create new strategies for managing diabetes and get vital insights by enabling virtual screening with computational tools and procedures. In this study, we suggest a predictor named STADIP (STacking-based predictor for AntiDiabetic Peptides), a new method to predict antidiabetic peptides (ADPs) utilizing a stacked-based ensemble approach. It uses 12 different feature encodings and seven machine-learning techniques to construct 84 baseline models. The impacts of various baseline models on ADP prediction were then thoroughly examined. A two-step feature selection method, eXtreme Gradient Boosting with Sequential Forward Selection (XGB-SFS), was employed to determine the optimal number, out of 84 PFs to enhance predictive performance. Subsequently, utilizing the meta-predictor approach, 45 selected PFs were integrated into an XGB classifier to formulate the final hybrid model. The proposed method demonstrated superior predictive capabilities compared to constituent baseline models, as evidenced by evaluations on both cross-validation and independent tests. During extensive independent testing, STADIP achieved promising performance with accuracy and mathew’s correlation coefficient of 0.954 and 0.877, respectively. It is anticipated that it will be useful tool in helping the scientific community to identify new antidiabetic proteins.","container-title":"Analytical Biochemistry","DOI":"10.1016/j.ab.2024.115546","ISSN":"00032697","journalAbbreviation":"Analytical Biochemistry","language":"en","page":"115546","source":"DOI.org (Crossref)","title":"An explainable stacking-based approach for accelerating the prediction of antidiabetic peptides","volume":"691","author":[{"family":"Arshad","given":"Farwa"},{"family":"Ahmed","given":"Saeed"},{"family":"Amjad","given":"Aqsa"},{"family":"Kabir","given":"Muhammad"}],"issued":{"date-parts":[["2024",8]]}}}],"schema":"https://github.com/citation-style-language/schema/raw/master/csl-citation.json"} </w:instrTex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separate"/>
      </w:r>
      <w:r>
        <w:rPr>
          <w:rFonts w:ascii="Times New Roman" w:hAnsi="Times New Roman" w:eastAsia="宋体" w:cs="Times New Roman"/>
          <w:color w:val="000000" w:themeColor="text1"/>
          <w:kern w:val="0"/>
          <w:sz w:val="24"/>
          <w:vertAlign w:val="superscript"/>
          <w:lang w:bidi="ar"/>
          <w14:textFill>
            <w14:solidFill>
              <w14:schemeClr w14:val="tx1"/>
            </w14:solidFill>
          </w14:textFill>
        </w:rPr>
        <w:t>[7]</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尽管如此，现有方法大多依赖于人工设计的理化性质特征，在短肽识别和泛化能力方面仍有局限。近期，蛋白质语言模型的兴起为ADPs预测开辟了新路径。Xie等人提出的BertADP通过微调ProtBert等预训练模型，在独立测试集上实现了0.955的准确率、1.000的灵敏度和0.910的特异性，首次验证了大规模蛋白质语言模型在该领域的适用性，尤其是在短于6个氨基酸的肽段识别上展现出显著优势</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24"/>
          <w:vertAlign w:val="superscript"/>
          <w:lang w:bidi="ar"/>
          <w14:textFill>
            <w14:solidFill>
              <w14:schemeClr w14:val="tx1"/>
            </w14:solidFill>
          </w14:textFill>
        </w:rPr>
        <w:instrText xml:space="preserve"> ADDIN ZOTERO_ITEM CSL_CITATION {"citationID":"ajJTeZEg","properties":{"unsorted":false,"formattedCitation":"\\super [8]\\nosupersub{}","plainCitation":"[8]","noteIndex":0},"citationItems":[{"id":16,"uris":["http://zotero.org/users/local/j3apxnFx/items/HX9HZKEF"],"itemData":{"id":16,"type":"article-journal","abstract":"Background Diabetes is a global metabolic disease that urgently calls for the development of new and effective therapeutic agents. Anti-diabetic peptides (ADPs) have emerged as a research hotspot due to their therapeutic potential and natural safety, representing a promising class of functional peptides for diabetic management. However, conventional computational approaches for ADPs prediction mainly rely on manually extracted sequence features. These methods often lack generalizability and perform poorly on short peptides, thereby hindering effective ADPs discovery.\nResults In this study, we introduce a fine-tuning strategy of large-scale pre-trained protein language models (PLMs) for ADPs prediction, enabling automated extraction of discriminative semantic representations. We established the most comprehensive ADPs dataset to date, comprising 899 rigorously curated non-redundant ADPs and 67 newly collected potential candidates. Based on three model construction strategies, we developed 11 candidate models. Among them, BertADP (a fine-tuned ProtBert model) demonstrated superior performance in the independent test set, outperforming existing ADPs prediction tools with an overall accuracy of 0.955, sensitivity of 1.000, and specificity of 0.910. Notably, BertADP exhibited remarkable sequence length adaptability, maintaining stable performance across both standard and short peptide sequences.\nConclusions BertADP represents the first PLMs-based intelligent prediction tool for ADPs, whose exceptional identification capability will significantly accelerate anti-diabetic drug development and facilitate personalized therapeutic strategies, thereby enhancing precision diabetes management. Furthermore, the proposed approach provides a generalizable framework that can be extended to other bioactive peptide discovery studies, offering an innovative solution for bioactive peptide mining.","container-title":"BMC Biology","DOI":"10.1186/s12915-025-02312-w","ISSN":"1741-7007","issue":"1","journalAbbreviation":"BMC Biol","language":"en","page":"210","source":"DOI.org (Crossref)","title":"BertADP: a fine-tuned protein language model for anti-diabetic peptide prediction","title-short":"BertADP","volume":"23","author":[{"family":"Xie","given":"Xueqin"},{"family":"Wu","given":"Changchun"},{"family":"Qi","given":"Yixuan"},{"family":"Liu","given":"Shanghua"},{"family":"Huang","given":"Jian"},{"family":"Lyu","given":"Hao"},{"family":"Dao","given":"Fuying"},{"family":"Lin","given":"Hao"}],"issued":{"date-parts":[["2025",7,15]]}}}],"schema":"https://github.com/citation-style-language/schema/raw/master/csl-citation.json"} </w:instrTex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separate"/>
      </w:r>
      <w:r>
        <w:rPr>
          <w:rFonts w:ascii="Times New Roman" w:hAnsi="Times New Roman" w:eastAsia="宋体" w:cs="Times New Roman"/>
          <w:color w:val="000000" w:themeColor="text1"/>
          <w:kern w:val="0"/>
          <w:sz w:val="24"/>
          <w:vertAlign w:val="superscript"/>
          <w:lang w:bidi="ar"/>
          <w14:textFill>
            <w14:solidFill>
              <w14:schemeClr w14:val="tx1"/>
            </w14:solidFill>
          </w14:textFill>
        </w:rPr>
        <w:t>[8]</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。然而，目前基于蛋白质语言模型的ADPs预测工作仍处于起步阶段，相关模型在特征表征的全面性和筛选策略的精细化方面尚有提升空间。</w:t>
      </w:r>
      <w:bookmarkEnd w:id="8"/>
      <w:bookmarkStart w:id="9" w:name="OLE_LINK6"/>
      <w:bookmarkStart w:id="10" w:name="OLE_LINK1"/>
    </w:p>
    <w:p w14:paraId="5E7703ED">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sectPr>
          <w:footerReference r:id="rId9" w:type="default"/>
          <w:pgSz w:w="11906" w:h="16838"/>
          <w:pgMar w:top="1440" w:right="1800" w:bottom="1440" w:left="1800" w:header="851" w:footer="992" w:gutter="0"/>
          <w:pgNumType w:start="1"/>
          <w:cols w:space="425" w:num="1"/>
          <w:docGrid w:type="lines" w:linePitch="312" w:charSpace="0"/>
        </w:sectPr>
      </w:pPr>
      <w:bookmarkStart w:id="11" w:name="OLE_LINK3"/>
      <w:r>
        <w:rPr>
          <w:rFonts w:ascii="Times New Roman" w:hAnsi="Times New Roman" w:eastAsia="宋体" w:cs="Times New Roman"/>
          <w:color w:val="000000" w:themeColor="text1"/>
          <w:kern w:val="0"/>
          <w:sz w:val="24"/>
          <w:lang w:bidi="ar"/>
          <w14:textFill>
            <w14:solidFill>
              <w14:schemeClr w14:val="tx1"/>
            </w14:solidFill>
          </w14:textFill>
        </w:rPr>
        <w:t>为此，本文提出抗糖尿病肽双阶段证据精排模型 ADP‑DEM，用于从海量肽段中高效发现具有抗糖尿病活性的候选肽，如图1所示。第一阶段为高通量筛选，以肽段的一级序列为输入，采用多源特征融合策略进行表征，具体包括三类</w:t>
      </w:r>
    </w:p>
    <w:p w14:paraId="16DE9635">
      <w:pPr>
        <w:widowControl/>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eastAsia="宋体" w:cs="Times New Roman"/>
          <w:color w:val="000000" w:themeColor="text1"/>
          <w:kern w:val="0"/>
          <w:sz w:val="24"/>
          <w:lang w:bidi="ar"/>
          <w14:textFill>
            <w14:solidFill>
              <w14:schemeClr w14:val="tx1"/>
            </w14:solidFill>
          </w14:textFill>
        </w:rPr>
        <w:t>特征：第一类，蛋白质预训练语言模型特征，由 ESM2 编码器和肽级序列编码器提取</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24"/>
          <w:vertAlign w:val="superscript"/>
          <w:lang w:bidi="ar"/>
          <w14:textFill>
            <w14:solidFill>
              <w14:schemeClr w14:val="tx1"/>
            </w14:solidFill>
          </w14:textFill>
        </w:rPr>
        <w:instrText xml:space="preserve"> ADDIN ZOTERO_ITEM CSL_CITATION {"citationID":"qUzl02u7","properties":{"unsorted":false,"formattedCitation":"\\super [9]\\nosupersub{}","plainCitation":"[9]","noteIndex":0},"citationItems":[{"id":26,"uris":["http://zotero.org/users/local/j3apxnFx/items/XNE8Y45A"],"itemData":{"id":26,"type":"article-journal","abstract":"摘要机器学习的最新进展利用多序列比对中的进化信息来预测蛋白质结构。我们通过大型语言模型演示了从初级序列直接推断出完整原子级蛋白质结构的方法。随着蛋白质序列的语言模型被扩展到150亿参数，蛋白质结构的原子分辨率图景在学习的表征中逐渐浮现。这导致高分辨率结构预测的数量级加速，从而实现宏基因组蛋白质的大规模结构表征。我们利用这一能力构建ESM宏基因组图谱，预测&gt;6.17亿条宏基因组蛋白序列的结构，其中包括&gt;2.25亿条高度信心预测，从而展现了自然蛋白的广泛多样性。","container-title":"Science","DOI":"10.1126/science.ade2574","issue":"6637","page":"1123-1130","publisher":"American Association for the Advancement of Science","source":"science.org (Atypon)","title":"Evolutionary-scale prediction of atomic-level protein structure with a language model","volume":"379","author":[{"family":"林","given":"泽明"},{"family":"·阿金","given":"哈利尔"},{"family":"拉奥","given":"罗山·"},{"family":"·海","given":"布莱恩"},{"family":"","given":"朱仲凯"},{"family":"鲁","given":"文廷"},{"family":"斯美塔宁","given":"尼基塔"},{"family":"弗库伊尔","given":"罗伯特"},{"family":"卡贝利","given":"奥里·"},{"family":"Shmueli","given":"Yaniv"},{"family":"Santos Costa","given":"Allan","non-dropping-particle":"dos"},{"family":"Fazel-Zarandi","given":"Maryam"},{"family":"Sercu","given":"Tom"},{"family":"Candido","given":"Salvatore"},{"family":"·里夫斯","given":"亚历山大"}],"issued":{"date-parts":[["2023",3,17]]}}}],"schema":"https://github.com/citation-style-language/schema/raw/master/csl-citation.json"} </w:instrTex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separate"/>
      </w:r>
      <w:r>
        <w:rPr>
          <w:rFonts w:ascii="Times New Roman" w:hAnsi="Times New Roman" w:eastAsia="宋体" w:cs="Times New Roman"/>
          <w:color w:val="000000" w:themeColor="text1"/>
          <w:kern w:val="0"/>
          <w:sz w:val="24"/>
          <w:vertAlign w:val="superscript"/>
          <w:lang w:bidi="ar"/>
          <w14:textFill>
            <w14:solidFill>
              <w14:schemeClr w14:val="tx1"/>
            </w14:solidFill>
          </w14:textFill>
        </w:rPr>
        <w:t>[9]</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；第二类，手工理化与组成特征，涵盖序列长度、分子量、净电荷、疏水性比例、芳香族比例、极性比例、带正电荷残基比例、带负电荷残基比例、不稳定性代理指标、AAC 氨基酸组成以及简化 CTD 特征；第三类，长度分箱特征，通过 one‑hot 编码表示肽段所属的长度区间。在此基础上，引入门控融合机制自适应整合多源特征，并采用 GAUR‑XGB 二级排序校准模块训练分类器，该模块包含 XGBoost 分类头与排序头，用以从大型库中初步筛选出潜在活性肽。第二阶段为精细排序，对上阶段得到的高置信肽，进一步引入结构级表征和可开发性评分。结构级表征采用 SaProt 模型，以肽段氨基酸序列和对应的 3Di 结构 token 为输入；可开发性评分包括毒性、溶解度等指标。结合第一阶段的置信度，通过多证据联合排序，优先保留结构合理、适合实验验证的候选分子。该框架在筛选效率与结构判别之间取得平衡，为天然抗糖尿病肽的计算发现和功能肽类药</w:t>
      </w:r>
      <w:r>
        <w:rPr>
          <w:rFonts w:ascii="Times New Roman" w:hAnsi="Times New Roman" w:cs="Times New Roman"/>
          <w:color w:val="000000" w:themeColor="text1"/>
          <w14:textFill>
            <w14:solidFill>
              <w14:schemeClr w14:val="tx1"/>
            </w14:solidFill>
          </w14:textFill>
        </w:rPr>
        <w:drawing>
          <wp:anchor distT="0" distB="0" distL="114300" distR="114300" simplePos="0" relativeHeight="251659264" behindDoc="1" locked="0" layoutInCell="1" allowOverlap="1">
            <wp:simplePos x="0" y="0"/>
            <wp:positionH relativeFrom="column">
              <wp:posOffset>8890</wp:posOffset>
            </wp:positionH>
            <wp:positionV relativeFrom="paragraph">
              <wp:posOffset>4131945</wp:posOffset>
            </wp:positionV>
            <wp:extent cx="5267325" cy="2705735"/>
            <wp:effectExtent l="0" t="0" r="9525" b="0"/>
            <wp:wrapTight wrapText="bothSides">
              <wp:wrapPolygon>
                <wp:start x="0" y="0"/>
                <wp:lineTo x="0" y="21443"/>
                <wp:lineTo x="21561" y="21443"/>
                <wp:lineTo x="21561" y="0"/>
                <wp:lineTo x="0" y="0"/>
              </wp:wrapPolygon>
            </wp:wrapTight>
            <wp:docPr id="9" name="图片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67325" cy="2705735"/>
                    </a:xfrm>
                    <a:prstGeom prst="rect">
                      <a:avLst/>
                    </a:prstGeom>
                  </pic:spPr>
                </pic:pic>
              </a:graphicData>
            </a:graphic>
          </wp:anchor>
        </w:drawing>
      </w:r>
      <w:r>
        <mc:AlternateContent>
          <mc:Choice Requires="wps">
            <w:drawing>
              <wp:anchor distT="0" distB="0" distL="114300" distR="114300" simplePos="0" relativeHeight="251660288" behindDoc="1" locked="0" layoutInCell="1" allowOverlap="1">
                <wp:simplePos x="0" y="0"/>
                <wp:positionH relativeFrom="column">
                  <wp:posOffset>139065</wp:posOffset>
                </wp:positionH>
                <wp:positionV relativeFrom="paragraph">
                  <wp:posOffset>6915150</wp:posOffset>
                </wp:positionV>
                <wp:extent cx="5267325" cy="442595"/>
                <wp:effectExtent l="0" t="0" r="9525" b="14605"/>
                <wp:wrapTight wrapText="bothSides">
                  <wp:wrapPolygon>
                    <wp:start x="0" y="0"/>
                    <wp:lineTo x="0" y="21383"/>
                    <wp:lineTo x="21561" y="21383"/>
                    <wp:lineTo x="21561" y="0"/>
                    <wp:lineTo x="0" y="0"/>
                  </wp:wrapPolygon>
                </wp:wrapTight>
                <wp:docPr id="388847046" name="文本框 1"/>
                <wp:cNvGraphicFramePr/>
                <a:graphic xmlns:a="http://schemas.openxmlformats.org/drawingml/2006/main">
                  <a:graphicData uri="http://schemas.microsoft.com/office/word/2010/wordprocessingShape">
                    <wps:wsp>
                      <wps:cNvSpPr txBox="1"/>
                      <wps:spPr>
                        <a:xfrm>
                          <a:off x="0" y="0"/>
                          <a:ext cx="5267325" cy="442595"/>
                        </a:xfrm>
                        <a:prstGeom prst="rect">
                          <a:avLst/>
                        </a:prstGeom>
                        <a:noFill/>
                        <a:ln>
                          <a:noFill/>
                        </a:ln>
                      </wps:spPr>
                      <wps:txbx>
                        <w:txbxContent>
                          <w:p w14:paraId="003A9BD0">
                            <w:pPr>
                              <w:pStyle w:val="5"/>
                              <w:jc w:val="center"/>
                              <w:rPr>
                                <w:rFonts w:hint="eastAsia" w:cs="Times New Roman" w:asciiTheme="minorEastAsia" w:hAnsiTheme="minorEastAsia" w:eastAsiaTheme="minorEastAsia"/>
                                <w:color w:val="000000" w:themeColor="text1"/>
                                <w:sz w:val="24"/>
                                <w:szCs w:val="24"/>
                                <w14:textFill>
                                  <w14:solidFill>
                                    <w14:schemeClr w14:val="tx1"/>
                                  </w14:solidFill>
                                </w14:textFill>
                              </w:rPr>
                            </w:pPr>
                            <w:bookmarkStart w:id="89" w:name="_Toc228654606"/>
                            <w:bookmarkStart w:id="90" w:name="_Toc228655992"/>
                            <w:r>
                              <w:rPr>
                                <w:rFonts w:hint="eastAsia" w:cs="Times New Roman" w:asciiTheme="minorEastAsia" w:hAnsiTheme="minorEastAsia" w:eastAsiaTheme="minorEastAsia"/>
                                <w:color w:val="000000" w:themeColor="text1"/>
                                <w:sz w:val="24"/>
                                <w:szCs w:val="24"/>
                                <w14:textFill>
                                  <w14:solidFill>
                                    <w14:schemeClr w14:val="tx1"/>
                                  </w14:solidFill>
                                </w14:textFill>
                              </w:rPr>
                              <w:t xml:space="preserve">图 </w:t>
                            </w:r>
                            <w:r>
                              <w:rPr>
                                <w:rFonts w:cs="Times New Roman" w:asciiTheme="minorEastAsia" w:hAnsiTheme="minorEastAsia" w:eastAsiaTheme="minorEastAsia"/>
                                <w:color w:val="000000" w:themeColor="text1"/>
                                <w:sz w:val="24"/>
                                <w:szCs w:val="24"/>
                                <w14:textFill>
                                  <w14:solidFill>
                                    <w14:schemeClr w14:val="tx1"/>
                                  </w14:solidFill>
                                </w14:textFill>
                              </w:rPr>
                              <w:fldChar w:fldCharType="begin"/>
                            </w:r>
                            <w:r>
                              <w:rPr>
                                <w:rFonts w:cs="Times New Roman" w:asciiTheme="minorEastAsia" w:hAnsiTheme="minorEastAsia" w:eastAsiaTheme="minorEastAsia"/>
                                <w:color w:val="000000" w:themeColor="text1"/>
                                <w:sz w:val="24"/>
                                <w:szCs w:val="24"/>
                                <w14:textFill>
                                  <w14:solidFill>
                                    <w14:schemeClr w14:val="tx1"/>
                                  </w14:solidFill>
                                </w14:textFill>
                              </w:rPr>
                              <w:instrText xml:space="preserve"> </w:instrText>
                            </w:r>
                            <w:r>
                              <w:rPr>
                                <w:rFonts w:hint="eastAsia" w:cs="Times New Roman" w:asciiTheme="minorEastAsia" w:hAnsiTheme="minorEastAsia" w:eastAsiaTheme="minorEastAsia"/>
                                <w:color w:val="000000" w:themeColor="text1"/>
                                <w:sz w:val="24"/>
                                <w:szCs w:val="24"/>
                                <w14:textFill>
                                  <w14:solidFill>
                                    <w14:schemeClr w14:val="tx1"/>
                                  </w14:solidFill>
                                </w14:textFill>
                              </w:rPr>
                              <w:instrText xml:space="preserve">SEQ 图 \* ARABIC</w:instrText>
                            </w:r>
                            <w:r>
                              <w:rPr>
                                <w:rFonts w:cs="Times New Roman" w:asciiTheme="minorEastAsia" w:hAnsiTheme="minorEastAsia" w:eastAsiaTheme="minorEastAsia"/>
                                <w:color w:val="000000" w:themeColor="text1"/>
                                <w:sz w:val="24"/>
                                <w:szCs w:val="24"/>
                                <w14:textFill>
                                  <w14:solidFill>
                                    <w14:schemeClr w14:val="tx1"/>
                                  </w14:solidFill>
                                </w14:textFill>
                              </w:rPr>
                              <w:instrText xml:space="preserve"> </w:instrText>
                            </w:r>
                            <w:r>
                              <w:rPr>
                                <w:rFonts w:cs="Times New Roman" w:asciiTheme="minorEastAsia" w:hAnsiTheme="minorEastAsia" w:eastAsiaTheme="minorEastAsia"/>
                                <w:color w:val="000000" w:themeColor="text1"/>
                                <w:sz w:val="24"/>
                                <w:szCs w:val="24"/>
                                <w14:textFill>
                                  <w14:solidFill>
                                    <w14:schemeClr w14:val="tx1"/>
                                  </w14:solidFill>
                                </w14:textFill>
                              </w:rPr>
                              <w:fldChar w:fldCharType="separate"/>
                            </w:r>
                            <w:r>
                              <w:rPr>
                                <w:rFonts w:hint="eastAsia" w:cs="Times New Roman" w:asciiTheme="minorEastAsia" w:hAnsiTheme="minorEastAsia" w:eastAsiaTheme="minorEastAsia"/>
                                <w:color w:val="000000" w:themeColor="text1"/>
                                <w:sz w:val="24"/>
                                <w:szCs w:val="24"/>
                                <w14:textFill>
                                  <w14:solidFill>
                                    <w14:schemeClr w14:val="tx1"/>
                                  </w14:solidFill>
                                </w14:textFill>
                              </w:rPr>
                              <w:t>1</w:t>
                            </w:r>
                            <w:r>
                              <w:rPr>
                                <w:rFonts w:cs="Times New Roman" w:asciiTheme="minorEastAsia" w:hAnsiTheme="minorEastAsia" w:eastAsiaTheme="minorEastAsia"/>
                                <w:color w:val="000000" w:themeColor="text1"/>
                                <w:sz w:val="24"/>
                                <w:szCs w:val="24"/>
                                <w14:textFill>
                                  <w14:solidFill>
                                    <w14:schemeClr w14:val="tx1"/>
                                  </w14:solidFill>
                                </w14:textFill>
                              </w:rPr>
                              <w:fldChar w:fldCharType="end"/>
                            </w:r>
                            <w:r>
                              <w:rPr>
                                <w:rFonts w:cs="Times New Roman" w:asciiTheme="minorEastAsia" w:hAnsiTheme="minorEastAsia" w:eastAsiaTheme="minorEastAsia"/>
                                <w:color w:val="000000" w:themeColor="text1"/>
                                <w:sz w:val="24"/>
                                <w:szCs w:val="24"/>
                                <w14:textFill>
                                  <w14:solidFill>
                                    <w14:schemeClr w14:val="tx1"/>
                                  </w14:solidFill>
                                </w14:textFill>
                              </w:rPr>
                              <w:t xml:space="preserve"> ADP</w:t>
                            </w:r>
                            <w:r>
                              <w:rPr>
                                <w:rFonts w:ascii="Cambria Math" w:hAnsi="Cambria Math" w:cs="Cambria Math" w:eastAsiaTheme="minorEastAsia"/>
                                <w:color w:val="000000" w:themeColor="text1"/>
                                <w:sz w:val="24"/>
                                <w:szCs w:val="24"/>
                                <w14:textFill>
                                  <w14:solidFill>
                                    <w14:schemeClr w14:val="tx1"/>
                                  </w14:solidFill>
                                </w14:textFill>
                              </w:rPr>
                              <w:t>‑</w:t>
                            </w:r>
                            <w:r>
                              <w:rPr>
                                <w:rFonts w:cs="Times New Roman" w:asciiTheme="minorEastAsia" w:hAnsiTheme="minorEastAsia" w:eastAsiaTheme="minorEastAsia"/>
                                <w:color w:val="000000" w:themeColor="text1"/>
                                <w:sz w:val="24"/>
                                <w:szCs w:val="24"/>
                                <w14:textFill>
                                  <w14:solidFill>
                                    <w14:schemeClr w14:val="tx1"/>
                                  </w14:solidFill>
                                </w14:textFill>
                              </w:rPr>
                              <w:t>DEM模型的框架图</w:t>
                            </w:r>
                            <w:bookmarkEnd w:id="89"/>
                            <w:bookmarkEnd w:id="90"/>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10.95pt;margin-top:544.5pt;height:34.85pt;width:414.75pt;mso-wrap-distance-left:9pt;mso-wrap-distance-right:9pt;z-index:-251656192;mso-width-relative:page;mso-height-relative:page;" filled="f" stroked="f" coordsize="21600,21600" wrapcoords="0 0 0 21383 21561 21383 21561 0 0 0" o:gfxdata="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bQ+63ZAAAADAEAAA8AAAAAAAAAAQAgAAAAIgAAAGRycy9kb3ducmV2&#10;LnhtbFBLAQIUABQAAAAIAIdO4kCZusPcNAIAAFUEAAAOAAAAAAAAAAEAIAAAACgBAABkcnMvZTJv&#10;RG9jLnhtbFBLBQYAAAAABgAGAFkBAADOBQAAAAA=&#10;">
                <v:fill on="f" focussize="0,0"/>
                <v:stroke on="f"/>
                <v:imagedata o:title=""/>
                <o:lock v:ext="edit" aspectratio="f"/>
                <v:textbox inset="0mm,0mm,0mm,0mm">
                  <w:txbxContent>
                    <w:p w14:paraId="003A9BD0">
                      <w:pPr>
                        <w:pStyle w:val="5"/>
                        <w:jc w:val="center"/>
                        <w:rPr>
                          <w:rFonts w:hint="eastAsia" w:cs="Times New Roman" w:asciiTheme="minorEastAsia" w:hAnsiTheme="minorEastAsia" w:eastAsiaTheme="minorEastAsia"/>
                          <w:color w:val="000000" w:themeColor="text1"/>
                          <w:sz w:val="24"/>
                          <w:szCs w:val="24"/>
                          <w14:textFill>
                            <w14:solidFill>
                              <w14:schemeClr w14:val="tx1"/>
                            </w14:solidFill>
                          </w14:textFill>
                        </w:rPr>
                      </w:pPr>
                      <w:bookmarkStart w:id="89" w:name="_Toc228654606"/>
                      <w:bookmarkStart w:id="90" w:name="_Toc228655992"/>
                      <w:r>
                        <w:rPr>
                          <w:rFonts w:hint="eastAsia" w:cs="Times New Roman" w:asciiTheme="minorEastAsia" w:hAnsiTheme="minorEastAsia" w:eastAsiaTheme="minorEastAsia"/>
                          <w:color w:val="000000" w:themeColor="text1"/>
                          <w:sz w:val="24"/>
                          <w:szCs w:val="24"/>
                          <w14:textFill>
                            <w14:solidFill>
                              <w14:schemeClr w14:val="tx1"/>
                            </w14:solidFill>
                          </w14:textFill>
                        </w:rPr>
                        <w:t xml:space="preserve">图 </w:t>
                      </w:r>
                      <w:r>
                        <w:rPr>
                          <w:rFonts w:cs="Times New Roman" w:asciiTheme="minorEastAsia" w:hAnsiTheme="minorEastAsia" w:eastAsiaTheme="minorEastAsia"/>
                          <w:color w:val="000000" w:themeColor="text1"/>
                          <w:sz w:val="24"/>
                          <w:szCs w:val="24"/>
                          <w14:textFill>
                            <w14:solidFill>
                              <w14:schemeClr w14:val="tx1"/>
                            </w14:solidFill>
                          </w14:textFill>
                        </w:rPr>
                        <w:fldChar w:fldCharType="begin"/>
                      </w:r>
                      <w:r>
                        <w:rPr>
                          <w:rFonts w:cs="Times New Roman" w:asciiTheme="minorEastAsia" w:hAnsiTheme="minorEastAsia" w:eastAsiaTheme="minorEastAsia"/>
                          <w:color w:val="000000" w:themeColor="text1"/>
                          <w:sz w:val="24"/>
                          <w:szCs w:val="24"/>
                          <w14:textFill>
                            <w14:solidFill>
                              <w14:schemeClr w14:val="tx1"/>
                            </w14:solidFill>
                          </w14:textFill>
                        </w:rPr>
                        <w:instrText xml:space="preserve"> </w:instrText>
                      </w:r>
                      <w:r>
                        <w:rPr>
                          <w:rFonts w:hint="eastAsia" w:cs="Times New Roman" w:asciiTheme="minorEastAsia" w:hAnsiTheme="minorEastAsia" w:eastAsiaTheme="minorEastAsia"/>
                          <w:color w:val="000000" w:themeColor="text1"/>
                          <w:sz w:val="24"/>
                          <w:szCs w:val="24"/>
                          <w14:textFill>
                            <w14:solidFill>
                              <w14:schemeClr w14:val="tx1"/>
                            </w14:solidFill>
                          </w14:textFill>
                        </w:rPr>
                        <w:instrText xml:space="preserve">SEQ 图 \* ARABIC</w:instrText>
                      </w:r>
                      <w:r>
                        <w:rPr>
                          <w:rFonts w:cs="Times New Roman" w:asciiTheme="minorEastAsia" w:hAnsiTheme="minorEastAsia" w:eastAsiaTheme="minorEastAsia"/>
                          <w:color w:val="000000" w:themeColor="text1"/>
                          <w:sz w:val="24"/>
                          <w:szCs w:val="24"/>
                          <w14:textFill>
                            <w14:solidFill>
                              <w14:schemeClr w14:val="tx1"/>
                            </w14:solidFill>
                          </w14:textFill>
                        </w:rPr>
                        <w:instrText xml:space="preserve"> </w:instrText>
                      </w:r>
                      <w:r>
                        <w:rPr>
                          <w:rFonts w:cs="Times New Roman" w:asciiTheme="minorEastAsia" w:hAnsiTheme="minorEastAsia" w:eastAsiaTheme="minorEastAsia"/>
                          <w:color w:val="000000" w:themeColor="text1"/>
                          <w:sz w:val="24"/>
                          <w:szCs w:val="24"/>
                          <w14:textFill>
                            <w14:solidFill>
                              <w14:schemeClr w14:val="tx1"/>
                            </w14:solidFill>
                          </w14:textFill>
                        </w:rPr>
                        <w:fldChar w:fldCharType="separate"/>
                      </w:r>
                      <w:r>
                        <w:rPr>
                          <w:rFonts w:hint="eastAsia" w:cs="Times New Roman" w:asciiTheme="minorEastAsia" w:hAnsiTheme="minorEastAsia" w:eastAsiaTheme="minorEastAsia"/>
                          <w:color w:val="000000" w:themeColor="text1"/>
                          <w:sz w:val="24"/>
                          <w:szCs w:val="24"/>
                          <w14:textFill>
                            <w14:solidFill>
                              <w14:schemeClr w14:val="tx1"/>
                            </w14:solidFill>
                          </w14:textFill>
                        </w:rPr>
                        <w:t>1</w:t>
                      </w:r>
                      <w:r>
                        <w:rPr>
                          <w:rFonts w:cs="Times New Roman" w:asciiTheme="minorEastAsia" w:hAnsiTheme="minorEastAsia" w:eastAsiaTheme="minorEastAsia"/>
                          <w:color w:val="000000" w:themeColor="text1"/>
                          <w:sz w:val="24"/>
                          <w:szCs w:val="24"/>
                          <w14:textFill>
                            <w14:solidFill>
                              <w14:schemeClr w14:val="tx1"/>
                            </w14:solidFill>
                          </w14:textFill>
                        </w:rPr>
                        <w:fldChar w:fldCharType="end"/>
                      </w:r>
                      <w:r>
                        <w:rPr>
                          <w:rFonts w:cs="Times New Roman" w:asciiTheme="minorEastAsia" w:hAnsiTheme="minorEastAsia" w:eastAsiaTheme="minorEastAsia"/>
                          <w:color w:val="000000" w:themeColor="text1"/>
                          <w:sz w:val="24"/>
                          <w:szCs w:val="24"/>
                          <w14:textFill>
                            <w14:solidFill>
                              <w14:schemeClr w14:val="tx1"/>
                            </w14:solidFill>
                          </w14:textFill>
                        </w:rPr>
                        <w:t xml:space="preserve"> ADP</w:t>
                      </w:r>
                      <w:r>
                        <w:rPr>
                          <w:rFonts w:ascii="Cambria Math" w:hAnsi="Cambria Math" w:cs="Cambria Math" w:eastAsiaTheme="minorEastAsia"/>
                          <w:color w:val="000000" w:themeColor="text1"/>
                          <w:sz w:val="24"/>
                          <w:szCs w:val="24"/>
                          <w14:textFill>
                            <w14:solidFill>
                              <w14:schemeClr w14:val="tx1"/>
                            </w14:solidFill>
                          </w14:textFill>
                        </w:rPr>
                        <w:t>‑</w:t>
                      </w:r>
                      <w:r>
                        <w:rPr>
                          <w:rFonts w:cs="Times New Roman" w:asciiTheme="minorEastAsia" w:hAnsiTheme="minorEastAsia" w:eastAsiaTheme="minorEastAsia"/>
                          <w:color w:val="000000" w:themeColor="text1"/>
                          <w:sz w:val="24"/>
                          <w:szCs w:val="24"/>
                          <w14:textFill>
                            <w14:solidFill>
                              <w14:schemeClr w14:val="tx1"/>
                            </w14:solidFill>
                          </w14:textFill>
                        </w:rPr>
                        <w:t>DEM模型的框架图</w:t>
                      </w:r>
                      <w:bookmarkEnd w:id="89"/>
                      <w:bookmarkEnd w:id="90"/>
                    </w:p>
                  </w:txbxContent>
                </v:textbox>
                <w10:wrap type="tight"/>
              </v:shape>
            </w:pict>
          </mc:Fallback>
        </mc:AlternateContent>
      </w:r>
      <w:r>
        <w:rPr>
          <w:rFonts w:ascii="Times New Roman" w:hAnsi="Times New Roman" w:eastAsia="宋体" w:cs="Times New Roman"/>
          <w:color w:val="000000" w:themeColor="text1"/>
          <w:kern w:val="0"/>
          <w:sz w:val="24"/>
          <w:lang w:bidi="ar"/>
          <w14:textFill>
            <w14:solidFill>
              <w14:schemeClr w14:val="tx1"/>
            </w14:solidFill>
          </w14:textFill>
        </w:rPr>
        <w:t>物开发提供了新的方法途径。</w:t>
      </w:r>
      <w:bookmarkEnd w:id="9"/>
    </w:p>
    <w:bookmarkEnd w:id="10"/>
    <w:bookmarkEnd w:id="11"/>
    <w:p w14:paraId="74353370">
      <w:pPr>
        <w:keepNext w:val="0"/>
        <w:keepLines w:val="0"/>
        <w:pageBreakBefore w:val="0"/>
        <w:widowControl w:val="0"/>
        <w:kinsoku/>
        <w:wordWrap/>
        <w:overflowPunct/>
        <w:topLinePunct w:val="0"/>
        <w:autoSpaceDE/>
        <w:autoSpaceDN/>
        <w:bidi w:val="0"/>
        <w:adjustRightInd w:val="0"/>
        <w:snapToGrid/>
        <w:spacing w:line="480" w:lineRule="exact"/>
        <w:textAlignment w:val="auto"/>
        <w:outlineLvl w:val="0"/>
        <w:rPr>
          <w:rFonts w:hint="eastAsia" w:ascii="黑体" w:hAnsi="黑体" w:eastAsia="黑体"/>
          <w:b/>
          <w:bCs/>
          <w:sz w:val="30"/>
          <w:szCs w:val="30"/>
        </w:rPr>
      </w:pPr>
      <w:bookmarkStart w:id="12" w:name="_Toc27169"/>
      <w:r>
        <w:rPr>
          <w:rFonts w:hint="eastAsia" w:ascii="黑体" w:hAnsi="黑体" w:eastAsia="黑体"/>
          <w:b/>
          <w:bCs/>
          <w:sz w:val="30"/>
          <w:szCs w:val="30"/>
        </w:rPr>
        <w:t>二、</w:t>
      </w:r>
      <w:r>
        <w:rPr>
          <w:rFonts w:ascii="黑体" w:hAnsi="黑体" w:eastAsia="黑体"/>
          <w:b/>
          <w:bCs/>
          <w:sz w:val="30"/>
          <w:szCs w:val="30"/>
        </w:rPr>
        <w:t>材料与方法</w:t>
      </w:r>
      <w:bookmarkEnd w:id="12"/>
    </w:p>
    <w:p w14:paraId="380334C4">
      <w:pPr>
        <w:pStyle w:val="3"/>
        <w:rPr>
          <w:rFonts w:hint="eastAsia" w:ascii="楷体" w:hAnsi="楷体" w:eastAsia="楷体" w:cs="Times New Roman"/>
          <w:color w:val="000000" w:themeColor="text1"/>
          <w:sz w:val="28"/>
          <w:szCs w:val="28"/>
          <w14:textFill>
            <w14:solidFill>
              <w14:schemeClr w14:val="tx1"/>
            </w14:solidFill>
          </w14:textFill>
        </w:rPr>
      </w:pPr>
      <w:bookmarkStart w:id="13" w:name="_Toc4011"/>
      <w:r>
        <w:rPr>
          <w:rFonts w:hint="eastAsia" w:ascii="楷体" w:hAnsi="楷体" w:eastAsia="楷体" w:cs="Times New Roman"/>
          <w:color w:val="000000" w:themeColor="text1"/>
          <w:sz w:val="28"/>
          <w:szCs w:val="28"/>
          <w14:textFill>
            <w14:solidFill>
              <w14:schemeClr w14:val="tx1"/>
            </w14:solidFill>
          </w14:textFill>
        </w:rPr>
        <w:t>（一）</w:t>
      </w:r>
      <w:r>
        <w:rPr>
          <w:rFonts w:ascii="楷体" w:hAnsi="楷体" w:eastAsia="楷体" w:cs="Times New Roman"/>
          <w:color w:val="000000" w:themeColor="text1"/>
          <w:sz w:val="28"/>
          <w:szCs w:val="28"/>
          <w14:textFill>
            <w14:solidFill>
              <w14:schemeClr w14:val="tx1"/>
            </w14:solidFill>
          </w14:textFill>
        </w:rPr>
        <w:t>数据集构建</w:t>
      </w:r>
      <w:bookmarkEnd w:id="13"/>
    </w:p>
    <w:p w14:paraId="6E0C1E63">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bookmarkStart w:id="14" w:name="OLE_LINK2"/>
      <w:r>
        <w:rPr>
          <w:rFonts w:ascii="Times New Roman" w:hAnsi="Times New Roman" w:eastAsia="宋体" w:cs="Times New Roman"/>
          <w:color w:val="000000" w:themeColor="text1"/>
          <w:kern w:val="0"/>
          <w:sz w:val="24"/>
          <w:lang w:bidi="ar"/>
          <w14:textFill>
            <w14:solidFill>
              <w14:schemeClr w14:val="tx1"/>
            </w14:solidFill>
          </w14:textFill>
        </w:rPr>
        <w:t>数据质量是构建抗糖尿病肽预测模型的基础。由于目前该领域缺乏统一的金标准数据集，我们分别构建了正负样本集。正样本来AntiDMPpred数据集，经过去重、过滤非常见氨基酸及非法字符、统一大写格式、限制肽段长度等标准化处理，共获得236条抗糖尿病肽。负样本从UniProt数据库中筛选，选取未被标注为抗糖尿病或相关功能活性的肽段作为候选负样本；为进一步避免与正样本的功能或序列重叠，使用BLASTp工具（E-value阈值1e-5）将候选负样本与正样本集进行比对，剔除与已知抗糖尿病肽序列一致性高于30%的序列，得到候选负样本池。随后从该负样本池中随机采样236条序列，并执行与正样本相同的标准化清洗，最终获得等量的非抗糖尿病肽。以上步骤构建了包含472条样本（正负等量）的二分类数据集，为Stage‑1主筛模型和Stage‑2结构感知精排模型的训练提供基础。数据集按8:2的比例分层划分为训练集与独立测试集，并在训练中采用五折交叉验证评估模型稳定性。数据集详细信息见表1。</w:t>
      </w:r>
    </w:p>
    <w:bookmarkEnd w:id="14"/>
    <w:p w14:paraId="61F6BE57">
      <w:pPr>
        <w:pStyle w:val="5"/>
        <w:jc w:val="center"/>
        <w:rPr>
          <w:rFonts w:hint="eastAsia" w:cs="Times New Roman" w:asciiTheme="minorEastAsia" w:hAnsiTheme="minorEastAsia" w:eastAsiaTheme="minorEastAsia"/>
          <w:color w:val="000000" w:themeColor="text1"/>
          <w:sz w:val="24"/>
          <w:szCs w:val="24"/>
          <w14:textFill>
            <w14:solidFill>
              <w14:schemeClr w14:val="tx1"/>
            </w14:solidFill>
          </w14:textFill>
        </w:rPr>
      </w:pPr>
      <w:bookmarkStart w:id="15" w:name="_Toc228654622"/>
      <w:bookmarkStart w:id="16" w:name="_Toc228655972"/>
      <w:r>
        <w:rPr>
          <w:rFonts w:cs="Times New Roman" w:asciiTheme="minorEastAsia" w:hAnsiTheme="minorEastAsia" w:eastAsiaTheme="minorEastAsia"/>
          <w:color w:val="000000" w:themeColor="text1"/>
          <w:sz w:val="24"/>
          <w:szCs w:val="24"/>
          <w14:textFill>
            <w14:solidFill>
              <w14:schemeClr w14:val="tx1"/>
            </w14:solidFill>
          </w14:textFill>
        </w:rPr>
        <w:t xml:space="preserve">表 </w:t>
      </w:r>
      <w:r>
        <w:rPr>
          <w:rFonts w:cs="Times New Roman" w:asciiTheme="minorEastAsia" w:hAnsiTheme="minorEastAsia" w:eastAsiaTheme="minorEastAsia"/>
          <w:color w:val="000000" w:themeColor="text1"/>
          <w:sz w:val="24"/>
          <w:szCs w:val="24"/>
          <w14:textFill>
            <w14:solidFill>
              <w14:schemeClr w14:val="tx1"/>
            </w14:solidFill>
          </w14:textFill>
        </w:rPr>
        <w:fldChar w:fldCharType="begin"/>
      </w:r>
      <w:r>
        <w:rPr>
          <w:rFonts w:cs="Times New Roman" w:asciiTheme="minorEastAsia" w:hAnsiTheme="minorEastAsia" w:eastAsiaTheme="minorEastAsia"/>
          <w:color w:val="000000" w:themeColor="text1"/>
          <w:sz w:val="24"/>
          <w:szCs w:val="24"/>
          <w14:textFill>
            <w14:solidFill>
              <w14:schemeClr w14:val="tx1"/>
            </w14:solidFill>
          </w14:textFill>
        </w:rPr>
        <w:instrText xml:space="preserve"> SEQ 表 \* ARABIC </w:instrText>
      </w:r>
      <w:r>
        <w:rPr>
          <w:rFonts w:cs="Times New Roman" w:asciiTheme="minorEastAsia" w:hAnsiTheme="minorEastAsia" w:eastAsiaTheme="minorEastAsia"/>
          <w:color w:val="000000" w:themeColor="text1"/>
          <w:sz w:val="24"/>
          <w:szCs w:val="24"/>
          <w14:textFill>
            <w14:solidFill>
              <w14:schemeClr w14:val="tx1"/>
            </w14:solidFill>
          </w14:textFill>
        </w:rPr>
        <w:fldChar w:fldCharType="separate"/>
      </w:r>
      <w:r>
        <w:rPr>
          <w:rFonts w:cs="Times New Roman" w:asciiTheme="minorEastAsia" w:hAnsiTheme="minorEastAsia" w:eastAsiaTheme="minorEastAsia"/>
          <w:color w:val="000000" w:themeColor="text1"/>
          <w:sz w:val="24"/>
          <w:szCs w:val="24"/>
          <w14:textFill>
            <w14:solidFill>
              <w14:schemeClr w14:val="tx1"/>
            </w14:solidFill>
          </w14:textFill>
        </w:rPr>
        <w:t>1</w:t>
      </w:r>
      <w:r>
        <w:rPr>
          <w:rFonts w:cs="Times New Roman" w:asciiTheme="minorEastAsia" w:hAnsiTheme="minorEastAsia" w:eastAsiaTheme="minorEastAsia"/>
          <w:color w:val="000000" w:themeColor="text1"/>
          <w:sz w:val="24"/>
          <w:szCs w:val="24"/>
          <w14:textFill>
            <w14:solidFill>
              <w14:schemeClr w14:val="tx1"/>
            </w14:solidFill>
          </w14:textFill>
        </w:rPr>
        <w:fldChar w:fldCharType="end"/>
      </w:r>
      <w:bookmarkStart w:id="17" w:name="_Toc28291"/>
      <w:r>
        <w:rPr>
          <w:rFonts w:cs="Times New Roman" w:asciiTheme="minorEastAsia" w:hAnsiTheme="minorEastAsia" w:eastAsiaTheme="minorEastAsia"/>
          <w:color w:val="000000" w:themeColor="text1"/>
          <w:sz w:val="24"/>
          <w:szCs w:val="24"/>
          <w14:textFill>
            <w14:solidFill>
              <w14:schemeClr w14:val="tx1"/>
            </w14:solidFill>
          </w14:textFill>
        </w:rPr>
        <w:t>数据集的详细信息</w:t>
      </w:r>
      <w:bookmarkEnd w:id="15"/>
      <w:bookmarkEnd w:id="16"/>
      <w:bookmarkEnd w:id="17"/>
    </w:p>
    <w:tbl>
      <w:tblPr>
        <w:tblStyle w:val="26"/>
        <w:tblW w:w="759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6"/>
        <w:gridCol w:w="1836"/>
        <w:gridCol w:w="1939"/>
        <w:gridCol w:w="1985"/>
      </w:tblGrid>
      <w:tr w14:paraId="44C751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836" w:type="dxa"/>
            <w:tcBorders>
              <w:top w:val="single" w:color="000000" w:sz="12" w:space="0"/>
              <w:bottom w:val="single" w:color="000000" w:sz="4" w:space="0"/>
              <w:tl2br w:val="nil"/>
            </w:tcBorders>
            <w:shd w:val="clear" w:color="auto" w:fill="FFFFFF"/>
          </w:tcPr>
          <w:p w14:paraId="51F0EB8B">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p>
        </w:tc>
        <w:tc>
          <w:tcPr>
            <w:tcW w:w="1836" w:type="dxa"/>
            <w:tcBorders>
              <w:top w:val="single" w:color="000000" w:sz="12" w:space="0"/>
              <w:bottom w:val="single" w:color="000000" w:sz="4" w:space="0"/>
            </w:tcBorders>
            <w:shd w:val="clear" w:color="auto" w:fill="FFFFFF"/>
          </w:tcPr>
          <w:p w14:paraId="22890878">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样本数量</w:t>
            </w:r>
          </w:p>
        </w:tc>
        <w:tc>
          <w:tcPr>
            <w:tcW w:w="1939" w:type="dxa"/>
            <w:tcBorders>
              <w:top w:val="single" w:color="000000" w:sz="12" w:space="0"/>
              <w:bottom w:val="single" w:color="000000" w:sz="4" w:space="0"/>
            </w:tcBorders>
            <w:shd w:val="clear" w:color="auto" w:fill="FFFFFF"/>
          </w:tcPr>
          <w:p w14:paraId="7E169651">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训练数据集</w:t>
            </w:r>
          </w:p>
        </w:tc>
        <w:tc>
          <w:tcPr>
            <w:tcW w:w="1985" w:type="dxa"/>
            <w:tcBorders>
              <w:top w:val="single" w:color="000000" w:sz="12" w:space="0"/>
              <w:bottom w:val="single" w:color="000000" w:sz="4" w:space="0"/>
            </w:tcBorders>
            <w:shd w:val="clear" w:color="auto" w:fill="FFFFFF"/>
          </w:tcPr>
          <w:p w14:paraId="4391A081">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测试数据集</w:t>
            </w:r>
          </w:p>
        </w:tc>
      </w:tr>
      <w:tr w14:paraId="26CC6A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1836" w:type="dxa"/>
            <w:tcBorders>
              <w:top w:val="single" w:color="000000" w:sz="4" w:space="0"/>
            </w:tcBorders>
            <w:shd w:val="clear" w:color="auto" w:fill="FFFFFF"/>
          </w:tcPr>
          <w:p w14:paraId="2D7F1CED">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阳性样本</w:t>
            </w:r>
          </w:p>
        </w:tc>
        <w:tc>
          <w:tcPr>
            <w:tcW w:w="1836" w:type="dxa"/>
            <w:tcBorders>
              <w:top w:val="single" w:color="000000" w:sz="4" w:space="0"/>
            </w:tcBorders>
            <w:shd w:val="clear" w:color="auto" w:fill="FFFFFF"/>
          </w:tcPr>
          <w:p w14:paraId="008578B5">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236</w:t>
            </w:r>
          </w:p>
        </w:tc>
        <w:tc>
          <w:tcPr>
            <w:tcW w:w="1939" w:type="dxa"/>
            <w:tcBorders>
              <w:top w:val="single" w:color="000000" w:sz="4" w:space="0"/>
            </w:tcBorders>
            <w:shd w:val="clear" w:color="auto" w:fill="FFFFFF"/>
          </w:tcPr>
          <w:p w14:paraId="1B746B9B">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189</w:t>
            </w:r>
          </w:p>
        </w:tc>
        <w:tc>
          <w:tcPr>
            <w:tcW w:w="1985" w:type="dxa"/>
            <w:tcBorders>
              <w:top w:val="single" w:color="000000" w:sz="4" w:space="0"/>
            </w:tcBorders>
            <w:shd w:val="clear" w:color="auto" w:fill="FFFFFF"/>
          </w:tcPr>
          <w:p w14:paraId="5C50E775">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47</w:t>
            </w:r>
          </w:p>
        </w:tc>
      </w:tr>
      <w:tr w14:paraId="756341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836" w:type="dxa"/>
            <w:tcBorders>
              <w:bottom w:val="single" w:color="000000" w:sz="12" w:space="0"/>
            </w:tcBorders>
            <w:shd w:val="clear" w:color="auto" w:fill="FFFFFF"/>
          </w:tcPr>
          <w:p w14:paraId="0B1138E2">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阴性样本</w:t>
            </w:r>
          </w:p>
        </w:tc>
        <w:tc>
          <w:tcPr>
            <w:tcW w:w="1836" w:type="dxa"/>
            <w:tcBorders>
              <w:bottom w:val="single" w:color="000000" w:sz="12" w:space="0"/>
            </w:tcBorders>
            <w:shd w:val="clear" w:color="auto" w:fill="FFFFFF"/>
          </w:tcPr>
          <w:p w14:paraId="2EBFD9FE">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236</w:t>
            </w:r>
          </w:p>
        </w:tc>
        <w:tc>
          <w:tcPr>
            <w:tcW w:w="1939" w:type="dxa"/>
            <w:tcBorders>
              <w:bottom w:val="single" w:color="000000" w:sz="12" w:space="0"/>
            </w:tcBorders>
            <w:shd w:val="clear" w:color="auto" w:fill="FFFFFF"/>
          </w:tcPr>
          <w:p w14:paraId="111ABF57">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189</w:t>
            </w:r>
          </w:p>
        </w:tc>
        <w:tc>
          <w:tcPr>
            <w:tcW w:w="1985" w:type="dxa"/>
            <w:tcBorders>
              <w:bottom w:val="single" w:color="000000" w:sz="12" w:space="0"/>
            </w:tcBorders>
            <w:shd w:val="clear" w:color="auto" w:fill="FFFFFF"/>
          </w:tcPr>
          <w:p w14:paraId="4A2B2CD2">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47</w:t>
            </w:r>
          </w:p>
        </w:tc>
      </w:tr>
    </w:tbl>
    <w:p w14:paraId="7BCD8FC6">
      <w:pPr>
        <w:pStyle w:val="3"/>
        <w:rPr>
          <w:rFonts w:hint="eastAsia" w:ascii="楷体" w:hAnsi="楷体" w:eastAsia="楷体" w:cs="Times New Roman"/>
          <w:color w:val="000000" w:themeColor="text1"/>
          <w:sz w:val="28"/>
          <w:szCs w:val="28"/>
          <w14:textFill>
            <w14:solidFill>
              <w14:schemeClr w14:val="tx1"/>
            </w14:solidFill>
          </w14:textFill>
        </w:rPr>
      </w:pPr>
      <w:bookmarkStart w:id="18" w:name="_Toc22414"/>
      <w:r>
        <w:rPr>
          <w:rFonts w:hint="eastAsia" w:ascii="楷体" w:hAnsi="楷体" w:eastAsia="楷体" w:cs="Times New Roman"/>
          <w:color w:val="000000" w:themeColor="text1"/>
          <w:sz w:val="28"/>
          <w:szCs w:val="28"/>
          <w14:textFill>
            <w14:solidFill>
              <w14:schemeClr w14:val="tx1"/>
            </w14:solidFill>
          </w14:textFill>
        </w:rPr>
        <w:t>（二）</w:t>
      </w:r>
      <w:r>
        <w:rPr>
          <w:rFonts w:ascii="楷体" w:hAnsi="楷体" w:eastAsia="楷体" w:cs="Times New Roman"/>
          <w:color w:val="000000" w:themeColor="text1"/>
          <w:sz w:val="28"/>
          <w:szCs w:val="28"/>
          <w14:textFill>
            <w14:solidFill>
              <w14:schemeClr w14:val="tx1"/>
            </w14:solidFill>
          </w14:textFill>
        </w:rPr>
        <w:t>氨基酸组成分析</w:t>
      </w:r>
      <w:bookmarkEnd w:id="18"/>
    </w:p>
    <w:p w14:paraId="1811868F">
      <w:pPr>
        <w:widowControl/>
        <w:ind w:firstLine="420" w:firstLineChars="200"/>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anchor distT="0" distB="0" distL="114300" distR="114300" simplePos="0" relativeHeight="251663360" behindDoc="0" locked="0" layoutInCell="1" allowOverlap="1">
            <wp:simplePos x="0" y="0"/>
            <wp:positionH relativeFrom="column">
              <wp:posOffset>673100</wp:posOffset>
            </wp:positionH>
            <wp:positionV relativeFrom="paragraph">
              <wp:posOffset>871855</wp:posOffset>
            </wp:positionV>
            <wp:extent cx="4044950" cy="2261235"/>
            <wp:effectExtent l="0" t="0" r="0" b="5715"/>
            <wp:wrapTopAndBottom/>
            <wp:docPr id="1619904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04976"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044950" cy="2261235"/>
                    </a:xfrm>
                    <a:prstGeom prst="rect">
                      <a:avLst/>
                    </a:prstGeom>
                    <a:noFill/>
                    <a:ln>
                      <a:noFill/>
                    </a:ln>
                  </pic:spPr>
                </pic:pic>
              </a:graphicData>
            </a:graphic>
          </wp:anchor>
        </w:drawing>
      </w:r>
      <w:r>
        <w:rPr>
          <w:rFonts w:ascii="Times New Roman" w:hAnsi="Times New Roman" w:eastAsia="宋体" w:cs="Times New Roman"/>
          <w:color w:val="000000" w:themeColor="text1"/>
          <w:kern w:val="0"/>
          <w:sz w:val="24"/>
          <w:lang w:bidi="ar"/>
          <w14:textFill>
            <w14:solidFill>
              <w14:schemeClr w14:val="tx1"/>
            </w14:solidFill>
          </w14:textFill>
        </w:rPr>
        <w:t>为了分析抗糖尿病肽与非抗糖尿病肽在氨基酸组成上的差异，图2展示了正负样本中氨基酸频率的分布情况。</w:t>
      </w: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2878455</wp:posOffset>
                </wp:positionV>
                <wp:extent cx="5313045" cy="635"/>
                <wp:effectExtent l="0" t="0" r="1905" b="0"/>
                <wp:wrapSquare wrapText="bothSides"/>
                <wp:docPr id="357231619" name="文本框 1"/>
                <wp:cNvGraphicFramePr/>
                <a:graphic xmlns:a="http://schemas.openxmlformats.org/drawingml/2006/main">
                  <a:graphicData uri="http://schemas.microsoft.com/office/word/2010/wordprocessingShape">
                    <wps:wsp>
                      <wps:cNvSpPr txBox="1"/>
                      <wps:spPr>
                        <a:xfrm>
                          <a:off x="0" y="0"/>
                          <a:ext cx="5313045" cy="635"/>
                        </a:xfrm>
                        <a:prstGeom prst="rect">
                          <a:avLst/>
                        </a:prstGeom>
                        <a:solidFill>
                          <a:prstClr val="white"/>
                        </a:solidFill>
                        <a:ln>
                          <a:noFill/>
                        </a:ln>
                      </wps:spPr>
                      <wps:txbx>
                        <w:txbxContent>
                          <w:p w14:paraId="144EAA06">
                            <w:pPr>
                              <w:pStyle w:val="5"/>
                              <w:jc w:val="center"/>
                              <w:rPr>
                                <w:rFonts w:hint="eastAsia" w:cs="Times New Roman" w:asciiTheme="minorEastAsia" w:hAnsiTheme="minorEastAsia" w:eastAsiaTheme="minorEastAsia"/>
                                <w:color w:val="000000" w:themeColor="text1"/>
                                <w:sz w:val="24"/>
                                <w:szCs w:val="24"/>
                                <w14:textFill>
                                  <w14:solidFill>
                                    <w14:schemeClr w14:val="tx1"/>
                                  </w14:solidFill>
                                </w14:textFill>
                              </w:rPr>
                            </w:pPr>
                            <w:bookmarkStart w:id="91" w:name="_Toc228654607"/>
                            <w:bookmarkStart w:id="92" w:name="_Toc228655993"/>
                            <w:r>
                              <w:rPr>
                                <w:rFonts w:hint="eastAsia" w:asciiTheme="minorEastAsia" w:hAnsiTheme="minorEastAsia" w:eastAsiaTheme="minorEastAsia"/>
                                <w:sz w:val="24"/>
                                <w:szCs w:val="24"/>
                              </w:rPr>
                              <w:t xml:space="preserve">图 </w:t>
                            </w:r>
                            <w:r>
                              <w:rPr>
                                <w:rFonts w:asciiTheme="minorEastAsia" w:hAnsiTheme="minorEastAsia" w:eastAsiaTheme="minorEastAsia"/>
                                <w:sz w:val="24"/>
                                <w:szCs w:val="24"/>
                              </w:rPr>
                              <w:fldChar w:fldCharType="begin"/>
                            </w:r>
                            <w:r>
                              <w:rPr>
                                <w:rFonts w:asciiTheme="minorEastAsia" w:hAnsiTheme="minorEastAsia" w:eastAsiaTheme="minorEastAsia"/>
                                <w:sz w:val="24"/>
                                <w:szCs w:val="24"/>
                              </w:rPr>
                              <w:instrText xml:space="preserve"> </w:instrText>
                            </w:r>
                            <w:r>
                              <w:rPr>
                                <w:rFonts w:hint="eastAsia" w:asciiTheme="minorEastAsia" w:hAnsiTheme="minorEastAsia" w:eastAsiaTheme="minorEastAsia"/>
                                <w:sz w:val="24"/>
                                <w:szCs w:val="24"/>
                              </w:rPr>
                              <w:instrText xml:space="preserve">SEQ 图 \* ARABIC</w:instrText>
                            </w:r>
                            <w:r>
                              <w:rPr>
                                <w:rFonts w:asciiTheme="minorEastAsia" w:hAnsiTheme="minorEastAsia" w:eastAsiaTheme="minorEastAsia"/>
                                <w:sz w:val="24"/>
                                <w:szCs w:val="24"/>
                              </w:rPr>
                              <w:instrText xml:space="preserve"> </w:instrText>
                            </w:r>
                            <w:r>
                              <w:rPr>
                                <w:rFonts w:asciiTheme="minorEastAsia" w:hAnsiTheme="minorEastAsia" w:eastAsiaTheme="minorEastAsia"/>
                                <w:sz w:val="24"/>
                                <w:szCs w:val="24"/>
                              </w:rPr>
                              <w:fldChar w:fldCharType="separate"/>
                            </w:r>
                            <w:r>
                              <w:rPr>
                                <w:rFonts w:hint="eastAsia" w:asciiTheme="minorEastAsia" w:hAnsiTheme="minorEastAsia" w:eastAsiaTheme="minorEastAsia"/>
                                <w:sz w:val="24"/>
                                <w:szCs w:val="24"/>
                              </w:rPr>
                              <w:t>2</w:t>
                            </w:r>
                            <w:r>
                              <w:rPr>
                                <w:rFonts w:asciiTheme="minorEastAsia" w:hAnsiTheme="minorEastAsia" w:eastAsiaTheme="minorEastAsia"/>
                                <w:sz w:val="24"/>
                                <w:szCs w:val="24"/>
                              </w:rPr>
                              <w:fldChar w:fldCharType="end"/>
                            </w:r>
                            <w:r>
                              <w:rPr>
                                <w:rFonts w:asciiTheme="minorEastAsia" w:hAnsiTheme="minorEastAsia" w:eastAsiaTheme="minorEastAsia"/>
                                <w:sz w:val="24"/>
                                <w:szCs w:val="24"/>
                              </w:rPr>
                              <w:t>数据集中氨基酸频率分布情况</w:t>
                            </w:r>
                            <w:bookmarkEnd w:id="91"/>
                            <w:bookmarkEnd w:id="9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pt;margin-top:226.65pt;height:0.05pt;width:418.35pt;mso-wrap-distance-bottom:0pt;mso-wrap-distance-left:9pt;mso-wrap-distance-right:9pt;mso-wrap-distance-top:0pt;z-index:251664384;mso-width-relative:page;mso-height-relative:page;" fillcolor="#FFFFFF" filled="t" stroked="f" coordsize="21600,21600" o:gfxdata="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ooUa1NkAAAAIAQAADwAAAAAAAAABACAAAAAi&#10;AAAAZHJzL2Rvd25yZXYueG1sUEsBAhQAFAAAAAgAh07iQMAb8fxCAgAAegQAAA4AAAAAAAAAAQAg&#10;AAAAKAEAAGRycy9lMm9Eb2MueG1sUEsFBgAAAAAGAAYAWQEAANwFAAAAAA==&#10;">
                <v:fill on="t" focussize="0,0"/>
                <v:stroke on="f"/>
                <v:imagedata o:title=""/>
                <o:lock v:ext="edit" aspectratio="f"/>
                <v:textbox inset="0mm,0mm,0mm,0mm" style="mso-fit-shape-to-text:t;">
                  <w:txbxContent>
                    <w:p w14:paraId="144EAA06">
                      <w:pPr>
                        <w:pStyle w:val="5"/>
                        <w:jc w:val="center"/>
                        <w:rPr>
                          <w:rFonts w:hint="eastAsia" w:cs="Times New Roman" w:asciiTheme="minorEastAsia" w:hAnsiTheme="minorEastAsia" w:eastAsiaTheme="minorEastAsia"/>
                          <w:color w:val="000000" w:themeColor="text1"/>
                          <w:sz w:val="24"/>
                          <w:szCs w:val="24"/>
                          <w14:textFill>
                            <w14:solidFill>
                              <w14:schemeClr w14:val="tx1"/>
                            </w14:solidFill>
                          </w14:textFill>
                        </w:rPr>
                      </w:pPr>
                      <w:bookmarkStart w:id="91" w:name="_Toc228654607"/>
                      <w:bookmarkStart w:id="92" w:name="_Toc228655993"/>
                      <w:r>
                        <w:rPr>
                          <w:rFonts w:hint="eastAsia" w:asciiTheme="minorEastAsia" w:hAnsiTheme="minorEastAsia" w:eastAsiaTheme="minorEastAsia"/>
                          <w:sz w:val="24"/>
                          <w:szCs w:val="24"/>
                        </w:rPr>
                        <w:t xml:space="preserve">图 </w:t>
                      </w:r>
                      <w:r>
                        <w:rPr>
                          <w:rFonts w:asciiTheme="minorEastAsia" w:hAnsiTheme="minorEastAsia" w:eastAsiaTheme="minorEastAsia"/>
                          <w:sz w:val="24"/>
                          <w:szCs w:val="24"/>
                        </w:rPr>
                        <w:fldChar w:fldCharType="begin"/>
                      </w:r>
                      <w:r>
                        <w:rPr>
                          <w:rFonts w:asciiTheme="minorEastAsia" w:hAnsiTheme="minorEastAsia" w:eastAsiaTheme="minorEastAsia"/>
                          <w:sz w:val="24"/>
                          <w:szCs w:val="24"/>
                        </w:rPr>
                        <w:instrText xml:space="preserve"> </w:instrText>
                      </w:r>
                      <w:r>
                        <w:rPr>
                          <w:rFonts w:hint="eastAsia" w:asciiTheme="minorEastAsia" w:hAnsiTheme="minorEastAsia" w:eastAsiaTheme="minorEastAsia"/>
                          <w:sz w:val="24"/>
                          <w:szCs w:val="24"/>
                        </w:rPr>
                        <w:instrText xml:space="preserve">SEQ 图 \* ARABIC</w:instrText>
                      </w:r>
                      <w:r>
                        <w:rPr>
                          <w:rFonts w:asciiTheme="minorEastAsia" w:hAnsiTheme="minorEastAsia" w:eastAsiaTheme="minorEastAsia"/>
                          <w:sz w:val="24"/>
                          <w:szCs w:val="24"/>
                        </w:rPr>
                        <w:instrText xml:space="preserve"> </w:instrText>
                      </w:r>
                      <w:r>
                        <w:rPr>
                          <w:rFonts w:asciiTheme="minorEastAsia" w:hAnsiTheme="minorEastAsia" w:eastAsiaTheme="minorEastAsia"/>
                          <w:sz w:val="24"/>
                          <w:szCs w:val="24"/>
                        </w:rPr>
                        <w:fldChar w:fldCharType="separate"/>
                      </w:r>
                      <w:r>
                        <w:rPr>
                          <w:rFonts w:hint="eastAsia" w:asciiTheme="minorEastAsia" w:hAnsiTheme="minorEastAsia" w:eastAsiaTheme="minorEastAsia"/>
                          <w:sz w:val="24"/>
                          <w:szCs w:val="24"/>
                        </w:rPr>
                        <w:t>2</w:t>
                      </w:r>
                      <w:r>
                        <w:rPr>
                          <w:rFonts w:asciiTheme="minorEastAsia" w:hAnsiTheme="minorEastAsia" w:eastAsiaTheme="minorEastAsia"/>
                          <w:sz w:val="24"/>
                          <w:szCs w:val="24"/>
                        </w:rPr>
                        <w:fldChar w:fldCharType="end"/>
                      </w:r>
                      <w:r>
                        <w:rPr>
                          <w:rFonts w:asciiTheme="minorEastAsia" w:hAnsiTheme="minorEastAsia" w:eastAsiaTheme="minorEastAsia"/>
                          <w:sz w:val="24"/>
                          <w:szCs w:val="24"/>
                        </w:rPr>
                        <w:t>数据集中氨基酸频率分布情况</w:t>
                      </w:r>
                      <w:bookmarkEnd w:id="91"/>
                      <w:bookmarkEnd w:id="92"/>
                    </w:p>
                  </w:txbxContent>
                </v:textbox>
                <w10:wrap type="square"/>
              </v:shape>
            </w:pict>
          </mc:Fallback>
        </mc:AlternateContent>
      </w:r>
    </w:p>
    <w:p w14:paraId="7363D784">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bookmarkStart w:id="19" w:name="OLE_LINK5"/>
      <w:r>
        <w:rPr>
          <w:rFonts w:ascii="Times New Roman" w:hAnsi="Times New Roman" w:eastAsia="宋体" w:cs="Times New Roman"/>
          <w:color w:val="000000" w:themeColor="text1"/>
          <w:kern w:val="0"/>
          <w:sz w:val="24"/>
          <w:lang w:bidi="ar"/>
          <w14:textFill>
            <w14:solidFill>
              <w14:schemeClr w14:val="tx1"/>
            </w14:solidFill>
          </w14:textFill>
        </w:rPr>
        <w:t>图2展示了正负样本中氨基酸频率的分布情况。由图可知，正负样本在氨基酸组成上存在较为明显的差异。具体而言，正样本中A（丙氨酸）、G（甘氨酸）、P（脯氨酸）、M（甲硫氨酸）、V（缬氨酸）等氨基酸的频率相对较高；而负样本中E（谷氨酸）、I（异亮氨酸）、K（赖氨酸）、L（亮氨酸）、N（天冬酰胺）、Q（谷氨酰胺）等氨基酸的频率相对较高。总体来看，两类样本在多种氨基酸上的分布存在差异，说明抗糖尿病肽与非抗糖尿病肽在序列组成层面具有一定的可区分性。因此，可以从肽段的氨基酸组成中提取有效特征，为后续分类模型的构建提供有价值的信息。</w:t>
      </w:r>
    </w:p>
    <w:bookmarkEnd w:id="19"/>
    <w:p w14:paraId="584FCC4D">
      <w:pPr>
        <w:pStyle w:val="3"/>
        <w:rPr>
          <w:rFonts w:hint="eastAsia" w:ascii="楷体" w:hAnsi="楷体" w:eastAsia="楷体" w:cs="Times New Roman"/>
          <w:color w:val="000000" w:themeColor="text1"/>
          <w:sz w:val="28"/>
          <w:szCs w:val="28"/>
          <w14:textFill>
            <w14:solidFill>
              <w14:schemeClr w14:val="tx1"/>
            </w14:solidFill>
          </w14:textFill>
        </w:rPr>
      </w:pPr>
      <w:bookmarkStart w:id="20" w:name="_Toc14801"/>
      <w:r>
        <w:rPr>
          <w:rFonts w:hint="eastAsia" w:ascii="楷体" w:hAnsi="楷体" w:eastAsia="楷体" w:cs="Times New Roman"/>
          <w:color w:val="000000" w:themeColor="text1"/>
          <w:sz w:val="28"/>
          <w:szCs w:val="28"/>
          <w14:textFill>
            <w14:solidFill>
              <w14:schemeClr w14:val="tx1"/>
            </w14:solidFill>
          </w14:textFill>
        </w:rPr>
        <w:t>（三）</w:t>
      </w:r>
      <w:r>
        <w:rPr>
          <w:rFonts w:ascii="楷体" w:hAnsi="楷体" w:eastAsia="楷体" w:cs="Times New Roman"/>
          <w:color w:val="000000" w:themeColor="text1"/>
          <w:sz w:val="28"/>
          <w:szCs w:val="28"/>
          <w14:textFill>
            <w14:solidFill>
              <w14:schemeClr w14:val="tx1"/>
            </w14:solidFill>
          </w14:textFill>
        </w:rPr>
        <w:t>特征表示</w:t>
      </w:r>
      <w:bookmarkEnd w:id="20"/>
    </w:p>
    <w:p w14:paraId="085D8ECD">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eastAsia="宋体" w:cs="Times New Roman"/>
          <w:color w:val="000000" w:themeColor="text1"/>
          <w:kern w:val="0"/>
          <w:sz w:val="24"/>
          <w:lang w:bidi="ar"/>
          <w14:textFill>
            <w14:solidFill>
              <w14:schemeClr w14:val="tx1"/>
            </w14:solidFill>
          </w14:textFill>
        </w:rPr>
        <w:t>本节详细阐述上述ADP‑DEM模型中各类特征的具体提取方式与实现细节，包括蛋白质预训练语言模型特征、手工理化与组成特征、长度分箱特征以及结构感知特征（SaProt）的构建流程。</w:t>
      </w:r>
    </w:p>
    <w:p w14:paraId="083C065F">
      <w:pPr>
        <w:pStyle w:val="5"/>
        <w:jc w:val="center"/>
        <w:rPr>
          <w:rFonts w:hint="eastAsia" w:cs="Times New Roman" w:asciiTheme="minorEastAsia" w:hAnsiTheme="minorEastAsia" w:eastAsiaTheme="minorEastAsia"/>
          <w:color w:val="000000" w:themeColor="text1"/>
          <w:sz w:val="24"/>
          <w:szCs w:val="24"/>
          <w14:textFill>
            <w14:solidFill>
              <w14:schemeClr w14:val="tx1"/>
            </w14:solidFill>
          </w14:textFill>
        </w:rPr>
      </w:pPr>
      <w:bookmarkStart w:id="21" w:name="_Toc228654623"/>
      <w:bookmarkStart w:id="22" w:name="_Toc228655973"/>
      <w:r>
        <w:rPr>
          <w:rFonts w:cs="Times New Roman" w:asciiTheme="minorEastAsia" w:hAnsiTheme="minorEastAsia" w:eastAsiaTheme="minorEastAsia"/>
          <w:color w:val="000000" w:themeColor="text1"/>
          <w:sz w:val="24"/>
          <w:szCs w:val="24"/>
          <w14:textFill>
            <w14:solidFill>
              <w14:schemeClr w14:val="tx1"/>
            </w14:solidFill>
          </w14:textFill>
        </w:rPr>
        <w:t xml:space="preserve">表 </w:t>
      </w:r>
      <w:r>
        <w:rPr>
          <w:rFonts w:cs="Times New Roman" w:asciiTheme="minorEastAsia" w:hAnsiTheme="minorEastAsia" w:eastAsiaTheme="minorEastAsia"/>
          <w:color w:val="000000" w:themeColor="text1"/>
          <w:sz w:val="24"/>
          <w:szCs w:val="24"/>
          <w14:textFill>
            <w14:solidFill>
              <w14:schemeClr w14:val="tx1"/>
            </w14:solidFill>
          </w14:textFill>
        </w:rPr>
        <w:fldChar w:fldCharType="begin"/>
      </w:r>
      <w:r>
        <w:rPr>
          <w:rFonts w:cs="Times New Roman" w:asciiTheme="minorEastAsia" w:hAnsiTheme="minorEastAsia" w:eastAsiaTheme="minorEastAsia"/>
          <w:color w:val="000000" w:themeColor="text1"/>
          <w:sz w:val="24"/>
          <w:szCs w:val="24"/>
          <w14:textFill>
            <w14:solidFill>
              <w14:schemeClr w14:val="tx1"/>
            </w14:solidFill>
          </w14:textFill>
        </w:rPr>
        <w:instrText xml:space="preserve"> SEQ 表 \* ARABIC </w:instrText>
      </w:r>
      <w:r>
        <w:rPr>
          <w:rFonts w:cs="Times New Roman" w:asciiTheme="minorEastAsia" w:hAnsiTheme="minorEastAsia" w:eastAsiaTheme="minorEastAsia"/>
          <w:color w:val="000000" w:themeColor="text1"/>
          <w:sz w:val="24"/>
          <w:szCs w:val="24"/>
          <w14:textFill>
            <w14:solidFill>
              <w14:schemeClr w14:val="tx1"/>
            </w14:solidFill>
          </w14:textFill>
        </w:rPr>
        <w:fldChar w:fldCharType="separate"/>
      </w:r>
      <w:r>
        <w:rPr>
          <w:rFonts w:cs="Times New Roman" w:asciiTheme="minorEastAsia" w:hAnsiTheme="minorEastAsia" w:eastAsiaTheme="minorEastAsia"/>
          <w:color w:val="000000" w:themeColor="text1"/>
          <w:sz w:val="24"/>
          <w:szCs w:val="24"/>
          <w14:textFill>
            <w14:solidFill>
              <w14:schemeClr w14:val="tx1"/>
            </w14:solidFill>
          </w14:textFill>
        </w:rPr>
        <w:t>2</w:t>
      </w:r>
      <w:r>
        <w:rPr>
          <w:rFonts w:cs="Times New Roman" w:asciiTheme="minorEastAsia" w:hAnsiTheme="minorEastAsia" w:eastAsiaTheme="minorEastAsia"/>
          <w:color w:val="000000" w:themeColor="text1"/>
          <w:sz w:val="24"/>
          <w:szCs w:val="24"/>
          <w14:textFill>
            <w14:solidFill>
              <w14:schemeClr w14:val="tx1"/>
            </w14:solidFill>
          </w14:textFill>
        </w:rPr>
        <w:fldChar w:fldCharType="end"/>
      </w:r>
      <w:bookmarkStart w:id="23" w:name="_Toc31991"/>
      <w:r>
        <w:rPr>
          <w:rFonts w:cs="Times New Roman" w:asciiTheme="minorEastAsia" w:hAnsiTheme="minorEastAsia" w:eastAsiaTheme="minorEastAsia"/>
          <w:color w:val="000000" w:themeColor="text1"/>
          <w:sz w:val="24"/>
          <w:szCs w:val="24"/>
          <w14:textFill>
            <w14:solidFill>
              <w14:schemeClr w14:val="tx1"/>
            </w14:solidFill>
          </w14:textFill>
        </w:rPr>
        <w:t>不同特征的维度信息</w:t>
      </w:r>
      <w:bookmarkEnd w:id="21"/>
      <w:bookmarkEnd w:id="22"/>
      <w:bookmarkEnd w:id="23"/>
    </w:p>
    <w:tbl>
      <w:tblPr>
        <w:tblStyle w:val="26"/>
        <w:tblW w:w="452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3"/>
        <w:gridCol w:w="2263"/>
      </w:tblGrid>
      <w:tr w14:paraId="22BE99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jc w:val="center"/>
        </w:trPr>
        <w:tc>
          <w:tcPr>
            <w:tcW w:w="2263" w:type="dxa"/>
            <w:tcBorders>
              <w:top w:val="single" w:color="000000" w:sz="12" w:space="0"/>
              <w:bottom w:val="single" w:color="000000" w:sz="4" w:space="0"/>
              <w:tl2br w:val="nil"/>
            </w:tcBorders>
            <w:shd w:val="clear" w:color="auto" w:fill="FFFFFF"/>
          </w:tcPr>
          <w:p w14:paraId="01CD3153">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特征名称</w:t>
            </w:r>
          </w:p>
        </w:tc>
        <w:tc>
          <w:tcPr>
            <w:tcW w:w="2263" w:type="dxa"/>
            <w:tcBorders>
              <w:top w:val="single" w:color="000000" w:sz="12" w:space="0"/>
              <w:bottom w:val="single" w:color="000000" w:sz="4" w:space="0"/>
            </w:tcBorders>
            <w:shd w:val="clear" w:color="auto" w:fill="FFFFFF"/>
          </w:tcPr>
          <w:p w14:paraId="37E9E337">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特征维度</w:t>
            </w:r>
          </w:p>
        </w:tc>
      </w:tr>
      <w:tr w14:paraId="7EBCEE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jc w:val="center"/>
        </w:trPr>
        <w:tc>
          <w:tcPr>
            <w:tcW w:w="2263" w:type="dxa"/>
            <w:tcBorders>
              <w:top w:val="single" w:color="000000" w:sz="4" w:space="0"/>
            </w:tcBorders>
            <w:shd w:val="clear" w:color="auto" w:fill="FFFFFF"/>
          </w:tcPr>
          <w:p w14:paraId="050C64DD">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AAC特征</w:t>
            </w:r>
          </w:p>
        </w:tc>
        <w:tc>
          <w:tcPr>
            <w:tcW w:w="2263" w:type="dxa"/>
            <w:tcBorders>
              <w:top w:val="single" w:color="000000" w:sz="4" w:space="0"/>
            </w:tcBorders>
            <w:shd w:val="clear" w:color="auto" w:fill="FFFFFF"/>
            <w:vAlign w:val="center"/>
          </w:tcPr>
          <w:p w14:paraId="47861ABF">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20</w:t>
            </w:r>
          </w:p>
        </w:tc>
      </w:tr>
      <w:tr w14:paraId="1194AC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jc w:val="center"/>
        </w:trPr>
        <w:tc>
          <w:tcPr>
            <w:tcW w:w="2263" w:type="dxa"/>
            <w:shd w:val="clear" w:color="auto" w:fill="FFFFFF"/>
          </w:tcPr>
          <w:p w14:paraId="31175C0E">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理化性质特征</w:t>
            </w:r>
          </w:p>
        </w:tc>
        <w:tc>
          <w:tcPr>
            <w:tcW w:w="2263" w:type="dxa"/>
            <w:shd w:val="clear" w:color="auto" w:fill="FFFFFF"/>
            <w:vAlign w:val="center"/>
          </w:tcPr>
          <w:p w14:paraId="683342C0">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9</w:t>
            </w:r>
          </w:p>
        </w:tc>
      </w:tr>
      <w:tr w14:paraId="2D59D6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jc w:val="center"/>
        </w:trPr>
        <w:tc>
          <w:tcPr>
            <w:tcW w:w="2263" w:type="dxa"/>
            <w:shd w:val="clear" w:color="auto" w:fill="FFFFFF"/>
          </w:tcPr>
          <w:p w14:paraId="0FA68712">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CTD特征</w:t>
            </w:r>
          </w:p>
        </w:tc>
        <w:tc>
          <w:tcPr>
            <w:tcW w:w="2263" w:type="dxa"/>
            <w:shd w:val="clear" w:color="auto" w:fill="FFFFFF"/>
            <w:vAlign w:val="center"/>
          </w:tcPr>
          <w:p w14:paraId="029871FE">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6</w:t>
            </w:r>
          </w:p>
        </w:tc>
      </w:tr>
      <w:tr w14:paraId="705E97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jc w:val="center"/>
        </w:trPr>
        <w:tc>
          <w:tcPr>
            <w:tcW w:w="2263" w:type="dxa"/>
            <w:shd w:val="clear" w:color="auto" w:fill="FFFFFF"/>
          </w:tcPr>
          <w:p w14:paraId="6A849D98">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长度分箱特征</w:t>
            </w:r>
          </w:p>
        </w:tc>
        <w:tc>
          <w:tcPr>
            <w:tcW w:w="2263" w:type="dxa"/>
            <w:shd w:val="clear" w:color="auto" w:fill="FFFFFF"/>
            <w:vAlign w:val="center"/>
          </w:tcPr>
          <w:p w14:paraId="7C9EBA50">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4</w:t>
            </w:r>
          </w:p>
        </w:tc>
      </w:tr>
      <w:tr w14:paraId="724906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jc w:val="center"/>
        </w:trPr>
        <w:tc>
          <w:tcPr>
            <w:tcW w:w="2263" w:type="dxa"/>
            <w:shd w:val="clear" w:color="auto" w:fill="FFFFFF"/>
          </w:tcPr>
          <w:p w14:paraId="77D5E7FF">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ESM2</w:t>
            </w:r>
          </w:p>
        </w:tc>
        <w:tc>
          <w:tcPr>
            <w:tcW w:w="2263" w:type="dxa"/>
            <w:shd w:val="clear" w:color="auto" w:fill="FFFFFF"/>
          </w:tcPr>
          <w:p w14:paraId="643221D6">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1280</w:t>
            </w:r>
          </w:p>
        </w:tc>
      </w:tr>
      <w:tr w14:paraId="6A9180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jc w:val="center"/>
        </w:trPr>
        <w:tc>
          <w:tcPr>
            <w:tcW w:w="2263" w:type="dxa"/>
            <w:shd w:val="clear" w:color="auto" w:fill="FFFFFF"/>
          </w:tcPr>
          <w:p w14:paraId="7698B98D">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ProtBert</w:t>
            </w:r>
          </w:p>
        </w:tc>
        <w:tc>
          <w:tcPr>
            <w:tcW w:w="2263" w:type="dxa"/>
            <w:shd w:val="clear" w:color="auto" w:fill="FFFFFF"/>
          </w:tcPr>
          <w:p w14:paraId="5C1346D7">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1024</w:t>
            </w:r>
          </w:p>
        </w:tc>
      </w:tr>
      <w:tr w14:paraId="70A10C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jc w:val="center"/>
        </w:trPr>
        <w:tc>
          <w:tcPr>
            <w:tcW w:w="2263" w:type="dxa"/>
            <w:tcBorders>
              <w:bottom w:val="single" w:color="000000" w:sz="12" w:space="0"/>
            </w:tcBorders>
            <w:shd w:val="clear" w:color="auto" w:fill="FFFFFF"/>
          </w:tcPr>
          <w:p w14:paraId="6AF1B811">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Saprot</w:t>
            </w:r>
          </w:p>
        </w:tc>
        <w:tc>
          <w:tcPr>
            <w:tcW w:w="2263" w:type="dxa"/>
            <w:tcBorders>
              <w:bottom w:val="single" w:color="000000" w:sz="12" w:space="0"/>
            </w:tcBorders>
            <w:shd w:val="clear" w:color="auto" w:fill="FFFFFF"/>
          </w:tcPr>
          <w:p w14:paraId="562F5371">
            <w:pPr>
              <w:spacing w:line="240" w:lineRule="auto"/>
              <w:ind w:firstLine="480" w:firstLineChars="200"/>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480</w:t>
            </w:r>
          </w:p>
        </w:tc>
      </w:tr>
    </w:tbl>
    <w:p w14:paraId="6D5E5E9D">
      <w:pPr>
        <w:spacing w:line="400" w:lineRule="exact"/>
        <w:ind w:firstLine="480" w:firstLineChars="200"/>
        <w:rPr>
          <w:rFonts w:ascii="Times New Roman" w:hAnsi="Times New Roman" w:cs="Times New Roman"/>
          <w:color w:val="000000" w:themeColor="text1"/>
          <w:sz w:val="24"/>
          <w14:textFill>
            <w14:solidFill>
              <w14:schemeClr w14:val="tx1"/>
            </w14:solidFill>
          </w14:textFill>
        </w:rPr>
      </w:pPr>
    </w:p>
    <w:p w14:paraId="5860958F">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24" w:name="_Toc31482"/>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1、AAC</w:t>
      </w:r>
      <w:bookmarkEnd w:id="24"/>
    </w:p>
    <w:p w14:paraId="0C5677C7">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eastAsia="宋体" w:cs="Times New Roman"/>
          <w:color w:val="000000" w:themeColor="text1"/>
          <w:kern w:val="0"/>
          <w:sz w:val="24"/>
          <w:lang w:bidi="ar"/>
          <w14:textFill>
            <w14:solidFill>
              <w14:schemeClr w14:val="tx1"/>
            </w14:solidFill>
          </w14:textFill>
        </w:rPr>
        <w:t>AAC（Amino Acid Composition，氨基酸组成）用于计算肽段序列中20种标准氨基酸的相对频率。对于给定肽段序列，某一氨基酸类型t的组成比例定义为：</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63"/>
        <w:gridCol w:w="759"/>
      </w:tblGrid>
      <w:tr w14:paraId="7FD7C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763" w:type="dxa"/>
          </w:tcPr>
          <w:p w14:paraId="089AFDE1">
            <w:pPr>
              <w:spacing w:line="720" w:lineRule="auto"/>
              <w:ind w:firstLine="480" w:firstLineChars="200"/>
              <w:jc w:val="center"/>
              <w:rPr>
                <w:rFonts w:hint="default" w:hAnsi="Cambria Math" w:cs="Times New Roman"/>
                <w:i w:val="0"/>
                <w:color w:val="000000" w:themeColor="text1"/>
                <w:sz w:val="24"/>
                <w:lang w:val="en-US" w:eastAsia="zh-CN"/>
                <w14:textFill>
                  <w14:solidFill>
                    <w14:schemeClr w14:val="tx1"/>
                  </w14:solidFill>
                </w14:textFill>
              </w:rPr>
            </w:pPr>
            <m:oMathPara>
              <m:oMath>
                <m:eqArr>
                  <m:eqArrPr>
                    <m:maxDist m:val="1"/>
                    <m:ctrlPr>
                      <w:rPr>
                        <w:rFonts w:hint="default" w:hAnsi="Cambria Math" w:cs="Times New Roman"/>
                        <w:i w:val="0"/>
                        <w:color w:val="000000" w:themeColor="text1"/>
                        <w:sz w:val="24"/>
                        <w:lang w:val="en-US" w:eastAsia="zh-CN"/>
                        <w14:textFill>
                          <w14:solidFill>
                            <w14:schemeClr w14:val="tx1"/>
                          </w14:solidFill>
                        </w14:textFill>
                      </w:rPr>
                    </m:ctrlPr>
                  </m:eqArrPr>
                  <m:e>
                    <m:r>
                      <m:rPr/>
                      <w:rPr>
                        <w:rFonts w:ascii="Cambria Math" w:hAnsi="Cambria Math" w:cs="Times New Roman"/>
                        <w:color w:val="000000" w:themeColor="text1"/>
                        <w:sz w:val="24"/>
                        <w14:textFill>
                          <w14:solidFill>
                            <w14:schemeClr w14:val="tx1"/>
                          </w14:solidFill>
                        </w14:textFill>
                      </w:rPr>
                      <m:t>AAC</m:t>
                    </m:r>
                    <m:d>
                      <m:dPr>
                        <m:ctrlPr>
                          <w:rPr>
                            <w:rFonts w:ascii="Cambria Math" w:hAnsi="Cambria Math" w:cs="Times New Roman"/>
                            <w:i/>
                            <w:color w:val="000000" w:themeColor="text1"/>
                            <w:sz w:val="24"/>
                            <w14:textFill>
                              <w14:solidFill>
                                <w14:schemeClr w14:val="tx1"/>
                              </w14:solidFill>
                            </w14:textFill>
                          </w:rPr>
                        </m:ctrlPr>
                      </m:dPr>
                      <m:e>
                        <m:r>
                          <m:rPr/>
                          <w:rPr>
                            <w:rFonts w:ascii="Cambria Math" w:hAnsi="Cambria Math" w:cs="Times New Roman"/>
                            <w:color w:val="000000" w:themeColor="text1"/>
                            <w:sz w:val="24"/>
                            <w14:textFill>
                              <w14:solidFill>
                                <w14:schemeClr w14:val="tx1"/>
                              </w14:solidFill>
                            </w14:textFill>
                          </w:rPr>
                          <m:t>t</m:t>
                        </m:r>
                        <m:ctrlPr>
                          <w:rPr>
                            <w:rFonts w:ascii="Cambria Math" w:hAnsi="Cambria Math" w:cs="Times New Roman"/>
                            <w:i/>
                            <w:color w:val="000000" w:themeColor="text1"/>
                            <w:sz w:val="24"/>
                            <w14:textFill>
                              <w14:solidFill>
                                <w14:schemeClr w14:val="tx1"/>
                              </w14:solidFill>
                            </w14:textFill>
                          </w:rPr>
                        </m:ctrlPr>
                      </m:e>
                    </m:d>
                    <m:r>
                      <m:rPr/>
                      <w:rPr>
                        <w:rFonts w:ascii="Cambria Math" w:hAnsi="Cambria Math" w:cs="Times New Roman"/>
                        <w:color w:val="000000" w:themeColor="text1"/>
                        <w:sz w:val="24"/>
                        <w14:textFill>
                          <w14:solidFill>
                            <w14:schemeClr w14:val="tx1"/>
                          </w14:solidFill>
                        </w14:textFill>
                      </w:rPr>
                      <m:t>=</m:t>
                    </m:r>
                    <m:f>
                      <m:fPr>
                        <m:ctrlPr>
                          <w:rPr>
                            <w:rFonts w:ascii="Cambria Math" w:hAnsi="Cambria Math" w:cs="Times New Roman"/>
                            <w:i/>
                            <w:color w:val="000000" w:themeColor="text1"/>
                            <w:sz w:val="24"/>
                            <w14:textFill>
                              <w14:solidFill>
                                <w14:schemeClr w14:val="tx1"/>
                              </w14:solidFill>
                            </w14:textFill>
                          </w:rPr>
                        </m:ctrlPr>
                      </m:fPr>
                      <m:num>
                        <m:r>
                          <m:rPr/>
                          <w:rPr>
                            <w:rFonts w:ascii="Cambria Math" w:hAnsi="Cambria Math" w:cs="Times New Roman"/>
                            <w:color w:val="000000" w:themeColor="text1"/>
                            <w:sz w:val="24"/>
                            <w14:textFill>
                              <w14:solidFill>
                                <w14:schemeClr w14:val="tx1"/>
                              </w14:solidFill>
                            </w14:textFill>
                          </w:rPr>
                          <m:t>N</m:t>
                        </m:r>
                        <m:d>
                          <m:dPr>
                            <m:ctrlPr>
                              <w:rPr>
                                <w:rFonts w:ascii="Cambria Math" w:hAnsi="Cambria Math" w:cs="Times New Roman"/>
                                <w:i/>
                                <w:color w:val="000000" w:themeColor="text1"/>
                                <w:sz w:val="24"/>
                                <w14:textFill>
                                  <w14:solidFill>
                                    <w14:schemeClr w14:val="tx1"/>
                                  </w14:solidFill>
                                </w14:textFill>
                              </w:rPr>
                            </m:ctrlPr>
                          </m:dPr>
                          <m:e>
                            <m:r>
                              <m:rPr/>
                              <w:rPr>
                                <w:rFonts w:ascii="Cambria Math" w:hAnsi="Cambria Math" w:cs="Times New Roman"/>
                                <w:color w:val="000000" w:themeColor="text1"/>
                                <w:sz w:val="24"/>
                                <w14:textFill>
                                  <w14:solidFill>
                                    <w14:schemeClr w14:val="tx1"/>
                                  </w14:solidFill>
                                </w14:textFill>
                              </w:rPr>
                              <m:t>t</m:t>
                            </m:r>
                            <m:ctrlPr>
                              <w:rPr>
                                <w:rFonts w:ascii="Cambria Math" w:hAnsi="Cambria Math" w:cs="Times New Roman"/>
                                <w:i/>
                                <w:color w:val="000000" w:themeColor="text1"/>
                                <w:sz w:val="24"/>
                                <w14:textFill>
                                  <w14:solidFill>
                                    <w14:schemeClr w14:val="tx1"/>
                                  </w14:solidFill>
                                </w14:textFill>
                              </w:rPr>
                            </m:ctrlPr>
                          </m:e>
                        </m:d>
                        <m:ctrlPr>
                          <w:rPr>
                            <w:rFonts w:ascii="Cambria Math" w:hAnsi="Cambria Math" w:cs="Times New Roman"/>
                            <w:i/>
                            <w:color w:val="000000" w:themeColor="text1"/>
                            <w:sz w:val="24"/>
                            <w14:textFill>
                              <w14:solidFill>
                                <w14:schemeClr w14:val="tx1"/>
                              </w14:solidFill>
                            </w14:textFill>
                          </w:rPr>
                        </m:ctrlPr>
                      </m:num>
                      <m:den>
                        <m:r>
                          <m:rPr/>
                          <w:rPr>
                            <w:rFonts w:ascii="Cambria Math" w:hAnsi="Cambria Math" w:cs="Times New Roman"/>
                            <w:color w:val="000000" w:themeColor="text1"/>
                            <w:sz w:val="24"/>
                            <w14:textFill>
                              <w14:solidFill>
                                <w14:schemeClr w14:val="tx1"/>
                              </w14:solidFill>
                            </w14:textFill>
                          </w:rPr>
                          <m:t>N</m:t>
                        </m:r>
                        <m:ctrlPr>
                          <w:rPr>
                            <w:rFonts w:ascii="Cambria Math" w:hAnsi="Cambria Math" w:cs="Times New Roman"/>
                            <w:i/>
                            <w:color w:val="000000" w:themeColor="text1"/>
                            <w:sz w:val="24"/>
                            <w14:textFill>
                              <w14:solidFill>
                                <w14:schemeClr w14:val="tx1"/>
                              </w14:solidFill>
                            </w14:textFill>
                          </w:rPr>
                        </m:ctrlPr>
                      </m:den>
                    </m:f>
                    <m:r>
                      <m:rPr>
                        <m:sty m:val="p"/>
                      </m:rPr>
                      <w:rPr>
                        <w:rFonts w:hint="default" w:ascii="Cambria Math" w:hAnsi="Cambria Math" w:cs="Times New Roman"/>
                        <w:color w:val="000000" w:themeColor="text1"/>
                        <w:sz w:val="24"/>
                        <w:lang w:val="en-US" w:eastAsia="zh-CN"/>
                        <w14:textFill>
                          <w14:solidFill>
                            <w14:schemeClr w14:val="tx1"/>
                          </w14:solidFill>
                        </w14:textFill>
                      </w:rPr>
                      <m:t>#(1)</m:t>
                    </m:r>
                    <m:ctrlPr>
                      <w:rPr>
                        <w:rFonts w:hint="default" w:hAnsi="Cambria Math" w:cs="Times New Roman"/>
                        <w:i w:val="0"/>
                        <w:color w:val="000000" w:themeColor="text1"/>
                        <w:sz w:val="24"/>
                        <w:lang w:val="en-US" w:eastAsia="zh-CN"/>
                        <w14:textFill>
                          <w14:solidFill>
                            <w14:schemeClr w14:val="tx1"/>
                          </w14:solidFill>
                        </w14:textFill>
                      </w:rPr>
                    </m:ctrlPr>
                  </m:e>
                </m:eqArr>
              </m:oMath>
            </m:oMathPara>
          </w:p>
        </w:tc>
        <w:tc>
          <w:tcPr>
            <w:tcW w:w="759" w:type="dxa"/>
          </w:tcPr>
          <w:p w14:paraId="18C2AF9C">
            <w:pPr>
              <w:rPr>
                <w:rFonts w:ascii="Times New Roman" w:hAnsi="Times New Roman" w:cs="Times New Roman"/>
                <w:color w:val="000000" w:themeColor="text1"/>
                <w:sz w:val="24"/>
                <w14:textFill>
                  <w14:solidFill>
                    <w14:schemeClr w14:val="tx1"/>
                  </w14:solidFill>
                </w14:textFill>
              </w:rPr>
            </w:pPr>
          </w:p>
        </w:tc>
      </w:tr>
    </w:tbl>
    <w:p w14:paraId="12F44349">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eastAsia="宋体" w:cs="Times New Roman"/>
          <w:color w:val="000000" w:themeColor="text1"/>
          <w:kern w:val="0"/>
          <w:sz w:val="24"/>
          <w:lang w:bidi="ar"/>
          <w14:textFill>
            <w14:solidFill>
              <w14:schemeClr w14:val="tx1"/>
            </w14:solidFill>
          </w14:textFill>
        </w:rPr>
        <w:t>其中，N(t)表示序列中第t类氨基酸的出现次数，N表示肽段序列总长度。本文代码中依次统计A、C、D、E、F、G、H、I、K、L、M、N、P、Q、R、S、T、V、W、Y共20种标准氨基酸的频率，因此AAC特征维度为20维。AAC能够反映肽段整体氨基酸组成差异，是肽类功能预测任务中常用的基础序列特征</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24"/>
          <w:vertAlign w:val="superscript"/>
          <w:lang w:bidi="ar"/>
          <w14:textFill>
            <w14:solidFill>
              <w14:schemeClr w14:val="tx1"/>
            </w14:solidFill>
          </w14:textFill>
        </w:rPr>
        <w:instrText xml:space="preserve"> ADDIN ZOTERO_ITEM CSL_CITATION {"citationID":"OMzloZZN","properties":{"unsorted":false,"formattedCitation":"\\super [10]\\nosupersub{}","plainCitation":"[10]","noteIndex":0},"citationItems":[{"id":28,"uris":["http://zotero.org/users/local/j3apxnFx/items/RIB2PG33"],"itemData":{"id":28,"type":"article-journal","abstract":"We present a method for predicting protein folding class based on global protein chain description and a voting process. Selection of the best descriptors was achieved by a computer-simulated neural network trained on a data base consisting of 83 folding classes. Protein-chain descriptors include overall composition, transition, and distribution of amino acid attributes, such as relative hydrophobicity, predicted secondary structure, and predicted solvent exposure. Cross-validation testing was performed on 15 of the largest classes. The test shows that proteins were assigned to the correct class (correct positive prediction) with an average accuracy of 71.7%, whereas the inverse prediction of proteins as not belonging to a particular class (correct negative prediction) was 90-95% accurate. When tested on 254 structures used in this study, the top two predictions contained the correct class in 91% of the cases.","container-title":"Proceedings of the National Academy of Sciences","DOI":"10.1073/pnas.92.19.8700","ISSN":"0027-8424, 1091-6490","issue":"19","journalAbbreviation":"Proc. Natl. Acad. Sci. U.S.A.","language":"en","page":"8700-8704","source":"DOI.org (Crossref)","title":"Prediction of protein folding class using global description of amino acid sequence.","volume":"92","author":[{"family":"Dubchak","given":"I"},{"family":"Muchnik","given":"I"},{"family":"Holbrook","given":"S R"},{"family":"Kim","given":"S H"}],"issued":{"date-parts":[["1995",9,12]]}}}],"schema":"https://github.com/citation-style-language/schema/raw/master/csl-citation.json"} </w:instrTex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separate"/>
      </w:r>
      <w:r>
        <w:rPr>
          <w:rFonts w:ascii="Times New Roman" w:hAnsi="Times New Roman" w:eastAsia="宋体" w:cs="Times New Roman"/>
          <w:color w:val="000000" w:themeColor="text1"/>
          <w:kern w:val="0"/>
          <w:sz w:val="24"/>
          <w:vertAlign w:val="superscript"/>
          <w:lang w:bidi="ar"/>
          <w14:textFill>
            <w14:solidFill>
              <w14:schemeClr w14:val="tx1"/>
            </w14:solidFill>
          </w14:textFill>
        </w:rPr>
        <w:t>[10]</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。AAC特征已成功应用于抗冠状病毒肽、神经肽和抗癌肽。</w:t>
      </w:r>
    </w:p>
    <w:p w14:paraId="3FC5FF31">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25" w:name="_Toc32404"/>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2、</w:t>
      </w:r>
      <w:r>
        <w:rPr>
          <w:rFonts w:cs="Times New Roman" w:asciiTheme="majorEastAsia" w:hAnsiTheme="majorEastAsia" w:eastAsiaTheme="majorEastAsia"/>
          <w:b/>
          <w:bCs/>
          <w:color w:val="000000" w:themeColor="text1"/>
          <w:kern w:val="0"/>
          <w:sz w:val="24"/>
          <w:lang w:bidi="ar"/>
          <w14:textFill>
            <w14:solidFill>
              <w14:schemeClr w14:val="tx1"/>
            </w14:solidFill>
          </w14:textFill>
        </w:rPr>
        <w:t>理化性质特征</w:t>
      </w:r>
      <w:bookmarkEnd w:id="25"/>
    </w:p>
    <w:p w14:paraId="29DBD311">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eastAsia="宋体" w:cs="Times New Roman"/>
          <w:color w:val="000000" w:themeColor="text1"/>
          <w:kern w:val="0"/>
          <w:sz w:val="24"/>
          <w:lang w:bidi="ar"/>
          <w14:textFill>
            <w14:solidFill>
              <w14:schemeClr w14:val="tx1"/>
            </w14:solidFill>
          </w14:textFill>
        </w:rPr>
        <w:t>本文进一步提取肽段的基础理化性质特征，用于描述序列的整体物理化学属性。具体而言，包括序列长度、分子量、净电荷、疏水性残基比例、芳香族残基比例、极性残基比例、正电荷残基比例、负电荷残基比例和不稳定性代理指标，共9维</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24"/>
          <w:vertAlign w:val="superscript"/>
          <w:lang w:bidi="ar"/>
          <w14:textFill>
            <w14:solidFill>
              <w14:schemeClr w14:val="tx1"/>
            </w14:solidFill>
          </w14:textFill>
        </w:rPr>
        <w:instrText xml:space="preserve"> ADDIN ZOTERO_ITEM CSL_CITATION {"citationID":"4hRwk4a6","properties":{"unsorted":false,"formattedCitation":"\\super [10]\\nosupersub{}","plainCitation":"[10]","noteIndex":0},"citationItems":[{"id":28,"uris":["http://zotero.org/users/local/j3apxnFx/items/RIB2PG33"],"itemData":{"id":28,"type":"article-journal","abstract":"We present a method for predicting protein folding class based on global protein chain description and a voting process. Selection of the best descriptors was achieved by a computer-simulated neural network trained on a data base consisting of 83 folding classes. Protein-chain descriptors include overall composition, transition, and distribution of amino acid attributes, such as relative hydrophobicity, predicted secondary structure, and predicted solvent exposure. Cross-validation testing was performed on 15 of the largest classes. The test shows that proteins were assigned to the correct class (correct positive prediction) with an average accuracy of 71.7%, whereas the inverse prediction of proteins as not belonging to a particular class (correct negative prediction) was 90-95% accurate. When tested on 254 structures used in this study, the top two predictions contained the correct class in 91% of the cases.","container-title":"Proceedings of the National Academy of Sciences","DOI":"10.1073/pnas.92.19.8700","ISSN":"0027-8424, 1091-6490","issue":"19","journalAbbreviation":"Proc. Natl. Acad. Sci. U.S.A.","language":"en","page":"8700-8704","source":"DOI.org (Crossref)","title":"Prediction of protein folding class using global description of amino acid sequence.","volume":"92","author":[{"family":"Dubchak","given":"I"},{"family":"Muchnik","given":"I"},{"family":"Holbrook","given":"S R"},{"family":"Kim","given":"S H"}],"issued":{"date-parts":[["1995",9,12]]}}}],"schema":"https://github.com/citation-style-language/schema/raw/master/csl-citation.json"} </w:instrTex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separate"/>
      </w:r>
      <w:r>
        <w:rPr>
          <w:rFonts w:ascii="Times New Roman" w:hAnsi="Times New Roman" w:eastAsia="宋体" w:cs="Times New Roman"/>
          <w:color w:val="000000" w:themeColor="text1"/>
          <w:kern w:val="0"/>
          <w:sz w:val="24"/>
          <w:vertAlign w:val="superscript"/>
          <w:lang w:bidi="ar"/>
          <w14:textFill>
            <w14:solidFill>
              <w14:schemeClr w14:val="tx1"/>
            </w14:solidFill>
          </w14:textFill>
        </w:rPr>
        <w:t>[10]</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。其中，近似净电荷计算公式为：</w:t>
      </w:r>
    </w:p>
    <w:p w14:paraId="713D0BF7">
      <w:pPr>
        <w:pStyle w:val="14"/>
        <w:spacing w:line="400" w:lineRule="exact"/>
        <w:ind w:firstLine="480" w:firstLineChars="200"/>
        <w:rPr>
          <w:rFonts w:ascii="Times New Roman" w:hAnsi="Times New Roman" w:cs="Times New Roman"/>
          <w:color w:val="000000" w:themeColor="text1"/>
          <w14:textFill>
            <w14:solidFill>
              <w14:schemeClr w14:val="tx1"/>
            </w14:solidFill>
          </w14:textFill>
        </w:rPr>
      </w:pPr>
      <m:oMathPara>
        <m:oMath>
          <m:eqArr>
            <m:eqArrPr>
              <m:maxDist m:val="1"/>
              <m:ctrlPr>
                <w:rPr>
                  <w:rFonts w:ascii="Cambria Math" w:hAnsi="Cambria Math" w:cs="Times New Roman"/>
                  <w:color w:val="000000" w:themeColor="text1"/>
                  <w14:textFill>
                    <w14:solidFill>
                      <w14:schemeClr w14:val="tx1"/>
                    </w14:solidFill>
                  </w14:textFill>
                </w:rPr>
              </m:ctrlPr>
            </m:eqArrPr>
            <m:e>
              <m:r>
                <m:rPr/>
                <w:rPr>
                  <w:rFonts w:ascii="Cambria Math" w:hAnsi="Cambria Math" w:cs="Times New Roman"/>
                  <w:color w:val="000000" w:themeColor="text1"/>
                  <w14:textFill>
                    <w14:solidFill>
                      <w14:schemeClr w14:val="tx1"/>
                    </w14:solidFill>
                  </w14:textFill>
                </w:rPr>
                <m:t>Charge=N(K)+N(R)+0.1N(H)−N(D)−N(E)</m:t>
              </m:r>
              <m:r>
                <m:rPr>
                  <m:sty m:val="p"/>
                </m:rPr>
                <w:rPr>
                  <w:rFonts w:ascii="Cambria Math" w:hAnsi="Cambria Math" w:cs="Times New Roman"/>
                  <w:color w:val="000000" w:themeColor="text1"/>
                  <w14:textFill>
                    <w14:solidFill>
                      <w14:schemeClr w14:val="tx1"/>
                    </w14:solidFill>
                  </w14:textFill>
                </w:rPr>
                <m:t>#(2)</m:t>
              </m:r>
              <m:ctrlPr>
                <w:rPr>
                  <w:rFonts w:ascii="Cambria Math" w:hAnsi="Cambria Math" w:cs="Times New Roman"/>
                  <w:color w:val="000000" w:themeColor="text1"/>
                  <w14:textFill>
                    <w14:solidFill>
                      <w14:schemeClr w14:val="tx1"/>
                    </w14:solidFill>
                  </w14:textFill>
                </w:rPr>
              </m:ctrlPr>
            </m:e>
          </m:eqArr>
        </m:oMath>
      </m:oMathPara>
    </w:p>
    <w:p w14:paraId="4E00E5EF">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eastAsia="宋体" w:cs="Times New Roman"/>
          <w:color w:val="000000" w:themeColor="text1"/>
          <w:kern w:val="0"/>
          <w:sz w:val="24"/>
          <w:lang w:bidi="ar"/>
          <w14:textFill>
            <w14:solidFill>
              <w14:schemeClr w14:val="tx1"/>
            </w14:solidFill>
          </w14:textFill>
        </w:rPr>
        <w:t>其中，N(K)、N(R)、N(H)、N(D)、N(E)分别表示赖氨酸、精氨酸、组氨酸、天冬氨酸和谷氨酸在序列中的出现次数。疏水性、芳香族、极性、正电荷和负电荷残基比例则通过统计对应氨基酸集合在序列中的占比获得。分子量根据氨基酸残基分子量累加，并扣除肽键形成过程中脱去的水分子质量。该类特征能够为模型提供可解释的理化性质信息。</w:t>
      </w:r>
    </w:p>
    <w:p w14:paraId="1381EE8C">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26" w:name="_Toc25010"/>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3、</w:t>
      </w:r>
      <w:r>
        <w:rPr>
          <w:rFonts w:cs="Times New Roman" w:asciiTheme="majorEastAsia" w:hAnsiTheme="majorEastAsia" w:eastAsiaTheme="majorEastAsia"/>
          <w:b/>
          <w:bCs/>
          <w:color w:val="000000" w:themeColor="text1"/>
          <w:kern w:val="0"/>
          <w:sz w:val="24"/>
          <w:lang w:bidi="ar"/>
          <w14:textFill>
            <w14:solidFill>
              <w14:schemeClr w14:val="tx1"/>
            </w14:solidFill>
          </w14:textFill>
        </w:rPr>
        <w:t>CTD</w:t>
      </w:r>
      <w:bookmarkEnd w:id="26"/>
    </w:p>
    <w:p w14:paraId="7AA939D6">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eastAsia="宋体" w:cs="Times New Roman"/>
          <w:color w:val="000000" w:themeColor="text1"/>
          <w:kern w:val="0"/>
          <w:sz w:val="24"/>
          <w:lang w:bidi="ar"/>
          <w14:textFill>
            <w14:solidFill>
              <w14:schemeClr w14:val="tx1"/>
            </w14:solidFill>
          </w14:textFill>
        </w:rPr>
        <w:t>本文采用的CTD特征通过将氨基酸属性角度将残基划分为疏水性、极性和带电性三类，并分别计算每一类残基的组成比例和相邻残基转移比例</w:t>
      </w:r>
      <w:r>
        <w:rPr>
          <w:rFonts w:ascii="Times New Roman" w:hAnsi="Times New Roman" w:eastAsia="宋体" w:cs="Times New Roman"/>
          <w:color w:val="000000" w:themeColor="text1"/>
          <w:kern w:val="0"/>
          <w:sz w:val="24"/>
          <w:lang w:bidi="ar"/>
          <w14:textFill>
            <w14:solidFill>
              <w14:schemeClr w14:val="tx1"/>
            </w14:solidFill>
          </w14:textFill>
        </w:rPr>
        <w:fldChar w:fldCharType="begin"/>
      </w:r>
      <w:r>
        <w:rPr>
          <w:rFonts w:ascii="Times New Roman" w:hAnsi="Times New Roman" w:eastAsia="宋体" w:cs="Times New Roman"/>
          <w:color w:val="000000" w:themeColor="text1"/>
          <w:kern w:val="0"/>
          <w:sz w:val="24"/>
          <w:lang w:bidi="ar"/>
          <w14:textFill>
            <w14:solidFill>
              <w14:schemeClr w14:val="tx1"/>
            </w14:solidFill>
          </w14:textFill>
        </w:rPr>
        <w:instrText xml:space="preserve"> ADDIN ZOTERO_ITEM CSL_CITATION {"citationID":"sHhSTM67","properties":{"unsorted":false,"formattedCitation":"\\super [10]\\nosupersub{}","plainCitation":"[10]","noteIndex":0},"citationItems":[{"id":28,"uris":["http://zotero.org/users/local/j3apxnFx/items/RIB2PG33"],"itemData":{"id":28,"type":"article-journal","abstract":"We present a method for predicting protein folding class based on global protein chain description and a voting process. Selection of the best descriptors was achieved by a computer-simulated neural network trained on a data base consisting of 83 folding classes. Protein-chain descriptors include overall composition, transition, and distribution of amino acid attributes, such as relative hydrophobicity, predicted secondary structure, and predicted solvent exposure. Cross-validation testing was performed on 15 of the largest classes. The test shows that proteins were assigned to the correct class (correct positive prediction) with an average accuracy of 71.7%, whereas the inverse prediction of proteins as not belonging to a particular class (correct negative prediction) was 90-95% accurate. When tested on 254 structures used in this study, the top two predictions contained the correct class in 91% of the cases.","container-title":"Proceedings of the National Academy of Sciences","DOI":"10.1073/pnas.92.19.8700","ISSN":"0027-8424, 1091-6490","issue":"19","journalAbbreviation":"Proc. Natl. Acad. Sci. U.S.A.","language":"en","page":"8700-8704","source":"DOI.org (Crossref)","title":"Prediction of protein folding class using global description of amino acid sequence.","volume":"92","author":[{"family":"Dubchak","given":"I"},{"family":"Muchnik","given":"I"},{"family":"Holbrook","given":"S R"},{"family":"Kim","given":"S H"}],"issued":{"date-parts":[["1995",9,12]]}}}],"schema":"https://github.com/citation-style-language/schema/raw/master/csl-citation.json"} </w:instrText>
      </w:r>
      <w:r>
        <w:rPr>
          <w:rFonts w:ascii="Times New Roman" w:hAnsi="Times New Roman" w:eastAsia="宋体" w:cs="Times New Roman"/>
          <w:color w:val="000000" w:themeColor="text1"/>
          <w:kern w:val="0"/>
          <w:sz w:val="24"/>
          <w:lang w:bidi="ar"/>
          <w14:textFill>
            <w14:solidFill>
              <w14:schemeClr w14:val="tx1"/>
            </w14:solidFill>
          </w14:textFill>
        </w:rPr>
        <w:fldChar w:fldCharType="separate"/>
      </w:r>
      <w:r>
        <w:rPr>
          <w:rFonts w:ascii="Times New Roman" w:hAnsi="Times New Roman" w:eastAsia="宋体" w:cs="Times New Roman"/>
          <w:color w:val="000000" w:themeColor="text1"/>
          <w:kern w:val="0"/>
          <w:sz w:val="24"/>
          <w:lang w:bidi="ar"/>
          <w14:textFill>
            <w14:solidFill>
              <w14:schemeClr w14:val="tx1"/>
            </w14:solidFill>
          </w14:textFill>
        </w:rPr>
        <w:t>[10]</w:t>
      </w:r>
      <w:r>
        <w:rPr>
          <w:rFonts w:ascii="Times New Roman" w:hAnsi="Times New Roman" w:eastAsia="宋体" w:cs="Times New Roman"/>
          <w:color w:val="000000" w:themeColor="text1"/>
          <w:kern w:val="0"/>
          <w:sz w:val="24"/>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。对于某一氨基酸属性类别g，其组成比例定义为：</w:t>
      </w:r>
    </w:p>
    <w:p w14:paraId="491CC3CC">
      <w:pPr>
        <w:pStyle w:val="14"/>
        <w:spacing w:line="400" w:lineRule="exact"/>
        <w:ind w:firstLine="480" w:firstLineChars="200"/>
        <w:jc w:val="both"/>
        <w:rPr>
          <w:rFonts w:ascii="Times New Roman" w:hAnsi="Times New Roman" w:cs="Times New Roman" w:eastAsiaTheme="minorEastAsia"/>
          <w:color w:val="000000" w:themeColor="text1"/>
          <w14:textFill>
            <w14:solidFill>
              <w14:schemeClr w14:val="tx1"/>
            </w14:solidFill>
          </w14:textFill>
        </w:rPr>
      </w:pPr>
      <m:oMathPara>
        <m:oMath>
          <m:eqArr>
            <m:eqArrPr>
              <m:maxDist m:val="1"/>
              <m:ctrlPr>
                <w:rPr>
                  <w:rFonts w:ascii="Cambria Math" w:hAnsi="Cambria Math" w:cs="Times New Roman" w:eastAsiaTheme="minorEastAsia"/>
                  <w:color w:val="000000" w:themeColor="text1"/>
                  <w14:textFill>
                    <w14:solidFill>
                      <w14:schemeClr w14:val="tx1"/>
                    </w14:solidFill>
                  </w14:textFill>
                </w:rPr>
              </m:ctrlPr>
            </m:eqArrPr>
            <m:e>
              <m:r>
                <m:rPr/>
                <w:rPr>
                  <w:rFonts w:ascii="Cambria Math" w:hAnsi="Cambria Math" w:cs="Times New Roman" w:eastAsiaTheme="minorEastAsia"/>
                  <w:color w:val="000000" w:themeColor="text1"/>
                  <w14:textFill>
                    <w14:solidFill>
                      <w14:schemeClr w14:val="tx1"/>
                    </w14:solidFill>
                  </w14:textFill>
                </w:rPr>
                <m:t>Comp(g)=</m:t>
              </m:r>
              <m:f>
                <m:fPr>
                  <m:ctrlPr>
                    <w:rPr>
                      <w:rFonts w:ascii="Cambria Math" w:hAnsi="Cambria Math" w:cs="Times New Roman" w:eastAsiaTheme="minorEastAsia"/>
                      <w:i/>
                      <w:color w:val="000000" w:themeColor="text1"/>
                      <w14:textFill>
                        <w14:solidFill>
                          <w14:schemeClr w14:val="tx1"/>
                        </w14:solidFill>
                      </w14:textFill>
                    </w:rPr>
                  </m:ctrlPr>
                </m:fPr>
                <m:num>
                  <m:r>
                    <m:rPr/>
                    <w:rPr>
                      <w:rFonts w:ascii="Cambria Math" w:hAnsi="Cambria Math" w:cs="Times New Roman" w:eastAsiaTheme="minorEastAsia"/>
                      <w:color w:val="000000" w:themeColor="text1"/>
                      <w14:textFill>
                        <w14:solidFill>
                          <w14:schemeClr w14:val="tx1"/>
                        </w14:solidFill>
                      </w14:textFill>
                    </w:rPr>
                    <m:t>N</m:t>
                  </m:r>
                  <m:d>
                    <m:dPr>
                      <m:ctrlPr>
                        <w:rPr>
                          <w:rFonts w:ascii="Cambria Math" w:hAnsi="Cambria Math" w:cs="Times New Roman" w:eastAsiaTheme="minorEastAsia"/>
                          <w:i/>
                          <w:color w:val="000000" w:themeColor="text1"/>
                          <w14:textFill>
                            <w14:solidFill>
                              <w14:schemeClr w14:val="tx1"/>
                            </w14:solidFill>
                          </w14:textFill>
                        </w:rPr>
                      </m:ctrlPr>
                    </m:dPr>
                    <m:e>
                      <m:r>
                        <m:rPr/>
                        <w:rPr>
                          <w:rFonts w:ascii="Cambria Math" w:hAnsi="Cambria Math" w:cs="Times New Roman" w:eastAsiaTheme="minorEastAsia"/>
                          <w:color w:val="000000" w:themeColor="text1"/>
                          <w14:textFill>
                            <w14:solidFill>
                              <w14:schemeClr w14:val="tx1"/>
                            </w14:solidFill>
                          </w14:textFill>
                        </w:rPr>
                        <m:t>g</m:t>
                      </m:r>
                      <m:ctrlPr>
                        <w:rPr>
                          <w:rFonts w:ascii="Cambria Math" w:hAnsi="Cambria Math" w:cs="Times New Roman" w:eastAsiaTheme="minorEastAsia"/>
                          <w:i/>
                          <w:color w:val="000000" w:themeColor="text1"/>
                          <w14:textFill>
                            <w14:solidFill>
                              <w14:schemeClr w14:val="tx1"/>
                            </w14:solidFill>
                          </w14:textFill>
                        </w:rPr>
                      </m:ctrlPr>
                    </m:e>
                  </m:d>
                  <m:ctrlPr>
                    <w:rPr>
                      <w:rFonts w:ascii="Cambria Math" w:hAnsi="Cambria Math" w:cs="Times New Roman" w:eastAsiaTheme="minorEastAsia"/>
                      <w:i/>
                      <w:color w:val="000000" w:themeColor="text1"/>
                      <w14:textFill>
                        <w14:solidFill>
                          <w14:schemeClr w14:val="tx1"/>
                        </w14:solidFill>
                      </w14:textFill>
                    </w:rPr>
                  </m:ctrlPr>
                </m:num>
                <m:den>
                  <m:r>
                    <m:rPr/>
                    <w:rPr>
                      <w:rFonts w:ascii="Cambria Math" w:hAnsi="Cambria Math" w:cs="Times New Roman" w:eastAsiaTheme="minorEastAsia"/>
                      <w:color w:val="000000" w:themeColor="text1"/>
                      <w14:textFill>
                        <w14:solidFill>
                          <w14:schemeClr w14:val="tx1"/>
                        </w14:solidFill>
                      </w14:textFill>
                    </w:rPr>
                    <m:t>N</m:t>
                  </m:r>
                  <m:ctrlPr>
                    <w:rPr>
                      <w:rFonts w:ascii="Cambria Math" w:hAnsi="Cambria Math" w:cs="Times New Roman" w:eastAsiaTheme="minorEastAsia"/>
                      <w:i/>
                      <w:color w:val="000000" w:themeColor="text1"/>
                      <w14:textFill>
                        <w14:solidFill>
                          <w14:schemeClr w14:val="tx1"/>
                        </w14:solidFill>
                      </w14:textFill>
                    </w:rPr>
                  </m:ctrlPr>
                </m:den>
              </m:f>
              <m:r>
                <m:rPr>
                  <m:sty m:val="p"/>
                </m:rPr>
                <w:rPr>
                  <w:rFonts w:ascii="Cambria Math" w:hAnsi="Cambria Math" w:cs="Times New Roman" w:eastAsiaTheme="minorEastAsia"/>
                  <w:color w:val="000000" w:themeColor="text1"/>
                  <w14:textFill>
                    <w14:solidFill>
                      <w14:schemeClr w14:val="tx1"/>
                    </w14:solidFill>
                  </w14:textFill>
                </w:rPr>
                <m:t>#(3)</m:t>
              </m:r>
              <m:ctrlPr>
                <w:rPr>
                  <w:rFonts w:ascii="Cambria Math" w:hAnsi="Cambria Math" w:cs="Times New Roman" w:eastAsiaTheme="minorEastAsia"/>
                  <w:color w:val="000000" w:themeColor="text1"/>
                  <w14:textFill>
                    <w14:solidFill>
                      <w14:schemeClr w14:val="tx1"/>
                    </w14:solidFill>
                  </w14:textFill>
                </w:rPr>
              </m:ctrlPr>
            </m:e>
          </m:eqArr>
        </m:oMath>
      </m:oMathPara>
    </w:p>
    <w:p w14:paraId="6F904917">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eastAsia="宋体" w:cs="Times New Roman"/>
          <w:color w:val="000000" w:themeColor="text1"/>
          <w:kern w:val="0"/>
          <w:sz w:val="24"/>
          <w:lang w:bidi="ar"/>
          <w14:textFill>
            <w14:solidFill>
              <w14:schemeClr w14:val="tx1"/>
            </w14:solidFill>
          </w14:textFill>
        </w:rPr>
        <w:t>其中，N(g)表示序列中属于类别g的氨基酸数量，N表示肽段序列长度。相邻残基转移比例定义为：</w:t>
      </w:r>
    </w:p>
    <w:p w14:paraId="0D50EB59">
      <w:pPr>
        <w:pStyle w:val="14"/>
        <w:spacing w:before="0" w:beforeAutospacing="0" w:after="0" w:afterAutospacing="0" w:line="360" w:lineRule="auto"/>
        <w:ind w:firstLine="480" w:firstLineChars="200"/>
        <w:rPr>
          <w:rFonts w:ascii="Times New Roman" w:hAnsi="Times New Roman" w:cs="Times New Roman" w:eastAsiaTheme="minorEastAsia"/>
          <w:color w:val="000000" w:themeColor="text1"/>
          <w14:textFill>
            <w14:solidFill>
              <w14:schemeClr w14:val="tx1"/>
            </w14:solidFill>
          </w14:textFill>
        </w:rPr>
      </w:pPr>
      <m:oMathPara>
        <m:oMath>
          <m:eqArr>
            <m:eqArrPr>
              <m:maxDist m:val="1"/>
              <m:ctrlPr>
                <w:rPr>
                  <w:rFonts w:ascii="Cambria Math" w:hAnsi="Cambria Math" w:cs="Times New Roman" w:eastAsiaTheme="minorEastAsia"/>
                  <w:color w:val="000000" w:themeColor="text1"/>
                  <w14:textFill>
                    <w14:solidFill>
                      <w14:schemeClr w14:val="tx1"/>
                    </w14:solidFill>
                  </w14:textFill>
                </w:rPr>
              </m:ctrlPr>
            </m:eqArrPr>
            <m:e>
              <m:r>
                <m:rPr/>
                <w:rPr>
                  <w:rFonts w:ascii="Cambria Math" w:hAnsi="Cambria Math" w:cs="Times New Roman" w:eastAsiaTheme="minorEastAsia"/>
                  <w:color w:val="000000" w:themeColor="text1"/>
                  <w14:textFill>
                    <w14:solidFill>
                      <w14:schemeClr w14:val="tx1"/>
                    </w14:solidFill>
                  </w14:textFill>
                </w:rPr>
                <m:t>Trans(g)=</m:t>
              </m:r>
              <m:f>
                <m:fPr>
                  <m:ctrlPr>
                    <w:rPr>
                      <w:rFonts w:ascii="Cambria Math" w:hAnsi="Cambria Math" w:cs="Times New Roman" w:eastAsiaTheme="minorEastAsia"/>
                      <w:i/>
                      <w:color w:val="000000" w:themeColor="text1"/>
                      <w14:textFill>
                        <w14:solidFill>
                          <w14:schemeClr w14:val="tx1"/>
                        </w14:solidFill>
                      </w14:textFill>
                    </w:rPr>
                  </m:ctrlPr>
                </m:fPr>
                <m:num>
                  <m:r>
                    <m:rPr/>
                    <w:rPr>
                      <w:rFonts w:ascii="Cambria Math" w:hAnsi="Cambria Math" w:cs="Times New Roman" w:eastAsiaTheme="minorEastAsia"/>
                      <w:color w:val="000000" w:themeColor="text1"/>
                      <w14:textFill>
                        <w14:solidFill>
                          <w14:schemeClr w14:val="tx1"/>
                        </w14:solidFill>
                      </w14:textFill>
                    </w:rPr>
                    <m:t>1</m:t>
                  </m:r>
                  <m:ctrlPr>
                    <w:rPr>
                      <w:rFonts w:ascii="Cambria Math" w:hAnsi="Cambria Math" w:cs="Times New Roman" w:eastAsiaTheme="minorEastAsia"/>
                      <w:i/>
                      <w:color w:val="000000" w:themeColor="text1"/>
                      <w14:textFill>
                        <w14:solidFill>
                          <w14:schemeClr w14:val="tx1"/>
                        </w14:solidFill>
                      </w14:textFill>
                    </w:rPr>
                  </m:ctrlPr>
                </m:num>
                <m:den>
                  <m:r>
                    <m:rPr/>
                    <w:rPr>
                      <w:rFonts w:ascii="Cambria Math" w:hAnsi="Cambria Math" w:cs="Times New Roman" w:eastAsiaTheme="minorEastAsia"/>
                      <w:color w:val="000000" w:themeColor="text1"/>
                      <w14:textFill>
                        <w14:solidFill>
                          <w14:schemeClr w14:val="tx1"/>
                        </w14:solidFill>
                      </w14:textFill>
                    </w:rPr>
                    <m:t>N−1</m:t>
                  </m:r>
                  <m:ctrlPr>
                    <w:rPr>
                      <w:rFonts w:ascii="Cambria Math" w:hAnsi="Cambria Math" w:cs="Times New Roman" w:eastAsiaTheme="minorEastAsia"/>
                      <w:i/>
                      <w:color w:val="000000" w:themeColor="text1"/>
                      <w14:textFill>
                        <w14:solidFill>
                          <w14:schemeClr w14:val="tx1"/>
                        </w14:solidFill>
                      </w14:textFill>
                    </w:rPr>
                  </m:ctrlPr>
                </m:den>
              </m:f>
              <m:nary>
                <m:naryPr>
                  <m:chr m:val="∑"/>
                  <m:limLoc m:val="undOvr"/>
                  <m:ctrlPr>
                    <w:rPr>
                      <w:rFonts w:ascii="Cambria Math" w:hAnsi="Cambria Math" w:cs="Times New Roman" w:eastAsiaTheme="minorEastAsia"/>
                      <w:i/>
                      <w:color w:val="000000" w:themeColor="text1"/>
                      <w14:textFill>
                        <w14:solidFill>
                          <w14:schemeClr w14:val="tx1"/>
                        </w14:solidFill>
                      </w14:textFill>
                    </w:rPr>
                  </m:ctrlPr>
                </m:naryPr>
                <m:sub>
                  <m:r>
                    <m:rPr/>
                    <w:rPr>
                      <w:rFonts w:ascii="Cambria Math" w:hAnsi="Cambria Math" w:cs="Times New Roman" w:eastAsiaTheme="minorEastAsia"/>
                      <w:color w:val="000000" w:themeColor="text1"/>
                      <w14:textFill>
                        <w14:solidFill>
                          <w14:schemeClr w14:val="tx1"/>
                        </w14:solidFill>
                      </w14:textFill>
                    </w:rPr>
                    <m:t>i=1</m:t>
                  </m:r>
                  <m:ctrlPr>
                    <w:rPr>
                      <w:rFonts w:ascii="Cambria Math" w:hAnsi="Cambria Math" w:cs="Times New Roman" w:eastAsiaTheme="minorEastAsia"/>
                      <w:i/>
                      <w:color w:val="000000" w:themeColor="text1"/>
                      <w14:textFill>
                        <w14:solidFill>
                          <w14:schemeClr w14:val="tx1"/>
                        </w14:solidFill>
                      </w14:textFill>
                    </w:rPr>
                  </m:ctrlPr>
                </m:sub>
                <m:sup>
                  <m:r>
                    <m:rPr/>
                    <w:rPr>
                      <w:rFonts w:ascii="Cambria Math" w:hAnsi="Cambria Math" w:cs="Times New Roman" w:eastAsiaTheme="minorEastAsia"/>
                      <w:color w:val="000000" w:themeColor="text1"/>
                      <w14:textFill>
                        <w14:solidFill>
                          <w14:schemeClr w14:val="tx1"/>
                        </w14:solidFill>
                      </w14:textFill>
                    </w:rPr>
                    <m:t>N−1</m:t>
                  </m:r>
                  <m:ctrlPr>
                    <w:rPr>
                      <w:rFonts w:ascii="Cambria Math" w:hAnsi="Cambria Math" w:cs="Times New Roman" w:eastAsiaTheme="minorEastAsia"/>
                      <w:i/>
                      <w:color w:val="000000" w:themeColor="text1"/>
                      <w14:textFill>
                        <w14:solidFill>
                          <w14:schemeClr w14:val="tx1"/>
                        </w14:solidFill>
                      </w14:textFill>
                    </w:rPr>
                  </m:ctrlPr>
                </m:sup>
                <m:e>
                  <m:r>
                    <m:rPr/>
                    <w:rPr>
                      <w:rFonts w:ascii="Cambria Math" w:hAnsi="Cambria Math" w:cs="Times New Roman" w:eastAsiaTheme="minorEastAsia"/>
                      <w:color w:val="000000" w:themeColor="text1"/>
                      <w14:textFill>
                        <w14:solidFill>
                          <w14:schemeClr w14:val="tx1"/>
                        </w14:solidFill>
                      </w14:textFill>
                    </w:rPr>
                    <m:t>I</m:t>
                  </m:r>
                  <m:ctrlPr>
                    <w:rPr>
                      <w:rFonts w:ascii="Cambria Math" w:hAnsi="Cambria Math" w:cs="Times New Roman" w:eastAsiaTheme="minorEastAsia"/>
                      <w:i/>
                      <w:color w:val="000000" w:themeColor="text1"/>
                      <w14:textFill>
                        <w14:solidFill>
                          <w14:schemeClr w14:val="tx1"/>
                        </w14:solidFill>
                      </w14:textFill>
                    </w:rPr>
                  </m:ctrlPr>
                </m:e>
              </m:nary>
              <m:r>
                <m:rPr/>
                <w:rPr>
                  <w:rFonts w:ascii="Cambria Math" w:hAnsi="Cambria Math" w:cs="Times New Roman" w:eastAsiaTheme="minorEastAsia"/>
                  <w:color w:val="000000" w:themeColor="text1"/>
                  <w14:textFill>
                    <w14:solidFill>
                      <w14:schemeClr w14:val="tx1"/>
                    </w14:solidFill>
                  </w14:textFill>
                </w:rPr>
                <m:t>[(</m:t>
              </m:r>
              <m:sSub>
                <m:sSubPr>
                  <m:ctrlPr>
                    <w:rPr>
                      <w:rFonts w:ascii="Cambria Math" w:hAnsi="Cambria Math" w:cs="Times New Roman" w:eastAsiaTheme="minorEastAsia"/>
                      <w:i/>
                      <w:color w:val="000000" w:themeColor="text1"/>
                      <w14:textFill>
                        <w14:solidFill>
                          <w14:schemeClr w14:val="tx1"/>
                        </w14:solidFill>
                      </w14:textFill>
                    </w:rPr>
                  </m:ctrlPr>
                </m:sSubPr>
                <m:e>
                  <m:r>
                    <m:rPr/>
                    <w:rPr>
                      <w:rFonts w:ascii="Cambria Math" w:hAnsi="Cambria Math" w:cs="Times New Roman" w:eastAsiaTheme="minorEastAsia"/>
                      <w:color w:val="000000" w:themeColor="text1"/>
                      <w14:textFill>
                        <w14:solidFill>
                          <w14:schemeClr w14:val="tx1"/>
                        </w14:solidFill>
                      </w14:textFill>
                    </w:rPr>
                    <m:t>x</m:t>
                  </m:r>
                  <m:ctrlPr>
                    <w:rPr>
                      <w:rFonts w:ascii="Cambria Math" w:hAnsi="Cambria Math" w:cs="Times New Roman" w:eastAsiaTheme="minorEastAsia"/>
                      <w:i/>
                      <w:color w:val="000000" w:themeColor="text1"/>
                      <w14:textFill>
                        <w14:solidFill>
                          <w14:schemeClr w14:val="tx1"/>
                        </w14:solidFill>
                      </w14:textFill>
                    </w:rPr>
                  </m:ctrlPr>
                </m:e>
                <m:sub>
                  <m:r>
                    <m:rPr/>
                    <w:rPr>
                      <w:rFonts w:ascii="Cambria Math" w:hAnsi="Cambria Math" w:cs="Times New Roman" w:eastAsiaTheme="minorEastAsia"/>
                      <w:color w:val="000000" w:themeColor="text1"/>
                      <w14:textFill>
                        <w14:solidFill>
                          <w14:schemeClr w14:val="tx1"/>
                        </w14:solidFill>
                      </w14:textFill>
                    </w:rPr>
                    <m:t>i</m:t>
                  </m:r>
                  <m:ctrlPr>
                    <w:rPr>
                      <w:rFonts w:ascii="Cambria Math" w:hAnsi="Cambria Math" w:cs="Times New Roman" w:eastAsiaTheme="minorEastAsia"/>
                      <w:i/>
                      <w:color w:val="000000" w:themeColor="text1"/>
                      <w14:textFill>
                        <w14:solidFill>
                          <w14:schemeClr w14:val="tx1"/>
                        </w14:solidFill>
                      </w14:textFill>
                    </w:rPr>
                  </m:ctrlPr>
                </m:sub>
              </m:sSub>
              <m:r>
                <m:rPr/>
                <w:rPr>
                  <w:rFonts w:ascii="Cambria Math" w:hAnsi="Cambria Math" w:cs="Times New Roman" w:eastAsiaTheme="minorEastAsia"/>
                  <w:color w:val="000000" w:themeColor="text1"/>
                  <w14:textFill>
                    <w14:solidFill>
                      <w14:schemeClr w14:val="tx1"/>
                    </w14:solidFill>
                  </w14:textFill>
                </w:rPr>
                <m:t>∈g)≠(</m:t>
              </m:r>
              <m:sSub>
                <m:sSubPr>
                  <m:ctrlPr>
                    <w:rPr>
                      <w:rFonts w:ascii="Cambria Math" w:hAnsi="Cambria Math" w:cs="Times New Roman" w:eastAsiaTheme="minorEastAsia"/>
                      <w:i/>
                      <w:color w:val="000000" w:themeColor="text1"/>
                      <w14:textFill>
                        <w14:solidFill>
                          <w14:schemeClr w14:val="tx1"/>
                        </w14:solidFill>
                      </w14:textFill>
                    </w:rPr>
                  </m:ctrlPr>
                </m:sSubPr>
                <m:e>
                  <m:r>
                    <m:rPr/>
                    <w:rPr>
                      <w:rFonts w:ascii="Cambria Math" w:hAnsi="Cambria Math" w:cs="Times New Roman" w:eastAsiaTheme="minorEastAsia"/>
                      <w:color w:val="000000" w:themeColor="text1"/>
                      <w14:textFill>
                        <w14:solidFill>
                          <w14:schemeClr w14:val="tx1"/>
                        </w14:solidFill>
                      </w14:textFill>
                    </w:rPr>
                    <m:t>x</m:t>
                  </m:r>
                  <m:ctrlPr>
                    <w:rPr>
                      <w:rFonts w:ascii="Cambria Math" w:hAnsi="Cambria Math" w:cs="Times New Roman" w:eastAsiaTheme="minorEastAsia"/>
                      <w:i/>
                      <w:color w:val="000000" w:themeColor="text1"/>
                      <w14:textFill>
                        <w14:solidFill>
                          <w14:schemeClr w14:val="tx1"/>
                        </w14:solidFill>
                      </w14:textFill>
                    </w:rPr>
                  </m:ctrlPr>
                </m:e>
                <m:sub>
                  <m:r>
                    <m:rPr/>
                    <w:rPr>
                      <w:rFonts w:ascii="Cambria Math" w:hAnsi="Cambria Math" w:cs="Times New Roman" w:eastAsiaTheme="minorEastAsia"/>
                      <w:color w:val="000000" w:themeColor="text1"/>
                      <w14:textFill>
                        <w14:solidFill>
                          <w14:schemeClr w14:val="tx1"/>
                        </w14:solidFill>
                      </w14:textFill>
                    </w:rPr>
                    <m:t>i+1</m:t>
                  </m:r>
                  <m:ctrlPr>
                    <w:rPr>
                      <w:rFonts w:ascii="Cambria Math" w:hAnsi="Cambria Math" w:cs="Times New Roman" w:eastAsiaTheme="minorEastAsia"/>
                      <w:i/>
                      <w:color w:val="000000" w:themeColor="text1"/>
                      <w14:textFill>
                        <w14:solidFill>
                          <w14:schemeClr w14:val="tx1"/>
                        </w14:solidFill>
                      </w14:textFill>
                    </w:rPr>
                  </m:ctrlPr>
                </m:sub>
              </m:sSub>
              <m:r>
                <m:rPr/>
                <w:rPr>
                  <w:rFonts w:ascii="Cambria Math" w:hAnsi="Cambria Math" w:cs="Times New Roman" w:eastAsiaTheme="minorEastAsia"/>
                  <w:color w:val="000000" w:themeColor="text1"/>
                  <w14:textFill>
                    <w14:solidFill>
                      <w14:schemeClr w14:val="tx1"/>
                    </w14:solidFill>
                  </w14:textFill>
                </w:rPr>
                <m:t>∈g)]</m:t>
              </m:r>
              <m:r>
                <m:rPr>
                  <m:sty m:val="p"/>
                </m:rPr>
                <w:rPr>
                  <w:rFonts w:ascii="Cambria Math" w:hAnsi="Cambria Math" w:cs="Times New Roman" w:eastAsiaTheme="minorEastAsia"/>
                  <w:color w:val="000000" w:themeColor="text1"/>
                  <w14:textFill>
                    <w14:solidFill>
                      <w14:schemeClr w14:val="tx1"/>
                    </w14:solidFill>
                  </w14:textFill>
                </w:rPr>
                <m:t>#(4)</m:t>
              </m:r>
              <m:ctrlPr>
                <w:rPr>
                  <w:rFonts w:ascii="Cambria Math" w:hAnsi="Cambria Math" w:cs="Times New Roman" w:eastAsiaTheme="minorEastAsia"/>
                  <w:color w:val="000000" w:themeColor="text1"/>
                  <w14:textFill>
                    <w14:solidFill>
                      <w14:schemeClr w14:val="tx1"/>
                    </w14:solidFill>
                  </w14:textFill>
                </w:rPr>
              </m:ctrlPr>
            </m:e>
          </m:eqArr>
        </m:oMath>
      </m:oMathPara>
    </w:p>
    <w:p w14:paraId="74616FB3">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eastAsia="宋体" w:cs="Times New Roman"/>
          <w:color w:val="000000" w:themeColor="text1"/>
          <w:kern w:val="0"/>
          <w:sz w:val="24"/>
          <w:lang w:bidi="ar"/>
          <w14:textFill>
            <w14:solidFill>
              <w14:schemeClr w14:val="tx1"/>
            </w14:solidFill>
          </w14:textFill>
        </w:rPr>
        <w:t>其中，</w:t>
      </w:r>
      <m:oMath>
        <m:sSub>
          <m:sSubPr>
            <m:ctrlPr>
              <w:rPr>
                <w:rFonts w:ascii="Cambria Math" w:hAnsi="Cambria Math" w:eastAsia="宋体" w:cs="Times New Roman"/>
                <w:color w:val="000000" w:themeColor="text1"/>
                <w:kern w:val="0"/>
                <w:sz w:val="24"/>
                <w:lang w:bidi="ar"/>
                <w14:textFill>
                  <w14:solidFill>
                    <w14:schemeClr w14:val="tx1"/>
                  </w14:solidFill>
                </w14:textFill>
              </w:rPr>
            </m:ctrlPr>
          </m:sSubPr>
          <m:e>
            <m:r>
              <m:rPr>
                <m:nor/>
                <m:sty m:val="p"/>
              </m:rPr>
              <w:rPr>
                <w:rFonts w:ascii="Times New Roman" w:hAnsi="Times New Roman" w:eastAsia="宋体" w:cs="Times New Roman"/>
                <w:b w:val="0"/>
                <w:i w:val="0"/>
                <w:color w:val="000000" w:themeColor="text1"/>
                <w:kern w:val="0"/>
                <w:sz w:val="24"/>
                <w:lang w:bidi="ar"/>
                <w14:textFill>
                  <w14:solidFill>
                    <w14:schemeClr w14:val="tx1"/>
                  </w14:solidFill>
                </w14:textFill>
              </w:rPr>
              <m:t>x</m:t>
            </m:r>
            <m:ctrlPr>
              <w:rPr>
                <w:rFonts w:ascii="Cambria Math" w:hAnsi="Cambria Math" w:eastAsia="宋体" w:cs="Times New Roman"/>
                <w:color w:val="000000" w:themeColor="text1"/>
                <w:kern w:val="0"/>
                <w:sz w:val="24"/>
                <w:lang w:bidi="ar"/>
                <w14:textFill>
                  <w14:solidFill>
                    <w14:schemeClr w14:val="tx1"/>
                  </w14:solidFill>
                </w14:textFill>
              </w:rPr>
            </m:ctrlPr>
          </m:e>
          <m:sub>
            <m:r>
              <m:rPr>
                <m:nor/>
                <m:sty m:val="p"/>
              </m:rPr>
              <w:rPr>
                <w:rFonts w:ascii="Times New Roman" w:hAnsi="Times New Roman" w:eastAsia="宋体" w:cs="Times New Roman"/>
                <w:b w:val="0"/>
                <w:i w:val="0"/>
                <w:color w:val="000000" w:themeColor="text1"/>
                <w:kern w:val="0"/>
                <w:sz w:val="24"/>
                <w:lang w:bidi="ar"/>
                <w14:textFill>
                  <w14:solidFill>
                    <w14:schemeClr w14:val="tx1"/>
                  </w14:solidFill>
                </w14:textFill>
              </w:rPr>
              <m:t>i</m:t>
            </m:r>
            <m:ctrlPr>
              <w:rPr>
                <w:rFonts w:ascii="Cambria Math" w:hAnsi="Cambria Math" w:eastAsia="宋体" w:cs="Times New Roman"/>
                <w:color w:val="000000" w:themeColor="text1"/>
                <w:kern w:val="0"/>
                <w:sz w:val="24"/>
                <w:lang w:bidi="ar"/>
                <w14:textFill>
                  <w14:solidFill>
                    <w14:schemeClr w14:val="tx1"/>
                  </w14:solidFill>
                </w14:textFill>
              </w:rPr>
            </m:ctrlPr>
          </m:sub>
        </m:sSub>
      </m:oMath>
      <w:r>
        <w:rPr>
          <w:rFonts w:ascii="Times New Roman" w:hAnsi="Times New Roman" w:eastAsia="宋体" w:cs="Times New Roman"/>
          <w:color w:val="000000" w:themeColor="text1"/>
          <w:kern w:val="0"/>
          <w:sz w:val="24"/>
          <w:lang w:bidi="ar"/>
          <w14:textFill>
            <w14:solidFill>
              <w14:schemeClr w14:val="tx1"/>
            </w14:solidFill>
          </w14:textFill>
        </w:rPr>
        <w:t>表示序列中第</w:t>
      </w:r>
      <m:oMath>
        <m:r>
          <m:rPr>
            <m:nor/>
            <m:sty m:val="p"/>
          </m:rPr>
          <w:rPr>
            <w:rFonts w:ascii="Times New Roman" w:hAnsi="Times New Roman" w:eastAsia="宋体" w:cs="Times New Roman"/>
            <w:b w:val="0"/>
            <w:i w:val="0"/>
            <w:color w:val="000000" w:themeColor="text1"/>
            <w:kern w:val="0"/>
            <w:sz w:val="24"/>
            <w:lang w:bidi="ar"/>
            <w14:textFill>
              <w14:solidFill>
                <w14:schemeClr w14:val="tx1"/>
              </w14:solidFill>
            </w14:textFill>
          </w:rPr>
          <m:t>i</m:t>
        </m:r>
      </m:oMath>
      <w:r>
        <w:rPr>
          <w:rFonts w:ascii="Times New Roman" w:hAnsi="Times New Roman" w:eastAsia="宋体" w:cs="Times New Roman"/>
          <w:color w:val="000000" w:themeColor="text1"/>
          <w:kern w:val="0"/>
          <w:sz w:val="24"/>
          <w:lang w:bidi="ar"/>
          <w14:textFill>
            <w14:solidFill>
              <w14:schemeClr w14:val="tx1"/>
            </w14:solidFill>
          </w14:textFill>
        </w:rPr>
        <w:t>个氨基酸，</w:t>
      </w:r>
      <m:oMath>
        <m:r>
          <m:rPr/>
          <w:rPr>
            <w:rFonts w:ascii="Cambria Math" w:hAnsi="Cambria Math" w:eastAsia="宋体" w:cs="Times New Roman"/>
            <w:color w:val="000000" w:themeColor="text1"/>
            <w:kern w:val="0"/>
            <w:sz w:val="24"/>
            <w:lang w:bidi="ar"/>
            <w14:textFill>
              <w14:solidFill>
                <w14:schemeClr w14:val="tx1"/>
              </w14:solidFill>
            </w14:textFill>
          </w:rPr>
          <m:t>I</m:t>
        </m:r>
        <m:d>
          <m:dPr>
            <m:ctrlPr>
              <w:rPr>
                <w:rFonts w:ascii="Cambria Math" w:hAnsi="Cambria Math" w:eastAsia="宋体" w:cs="Times New Roman"/>
                <w:color w:val="000000" w:themeColor="text1"/>
                <w:kern w:val="0"/>
                <w:sz w:val="24"/>
                <w:lang w:bidi="ar"/>
                <w14:textFill>
                  <w14:solidFill>
                    <w14:schemeClr w14:val="tx1"/>
                  </w14:solidFill>
                </w14:textFill>
              </w:rPr>
            </m:ctrlPr>
          </m:dPr>
          <m:e>
            <m:r>
              <m:rPr>
                <m:sty m:val="p"/>
              </m:rPr>
              <w:rPr>
                <w:rFonts w:ascii="Cambria Math" w:hAnsi="Cambria Math" w:eastAsia="宋体" w:cs="Times New Roman"/>
                <w:color w:val="000000" w:themeColor="text1"/>
                <w:kern w:val="0"/>
                <w:sz w:val="24"/>
                <w:lang w:bidi="ar"/>
                <w14:textFill>
                  <w14:solidFill>
                    <w14:schemeClr w14:val="tx1"/>
                  </w14:solidFill>
                </w14:textFill>
              </w:rPr>
              <m:t>·</m:t>
            </m:r>
            <m:ctrlPr>
              <w:rPr>
                <w:rFonts w:ascii="Cambria Math" w:hAnsi="Cambria Math" w:eastAsia="宋体" w:cs="Times New Roman"/>
                <w:color w:val="000000" w:themeColor="text1"/>
                <w:kern w:val="0"/>
                <w:sz w:val="24"/>
                <w:lang w:bidi="ar"/>
                <w14:textFill>
                  <w14:solidFill>
                    <w14:schemeClr w14:val="tx1"/>
                  </w14:solidFill>
                </w14:textFill>
              </w:rPr>
            </m:ctrlPr>
          </m:e>
        </m:d>
      </m:oMath>
      <w:r>
        <w:rPr>
          <w:rFonts w:ascii="Times New Roman" w:hAnsi="Times New Roman" w:eastAsia="宋体" w:cs="Times New Roman"/>
          <w:color w:val="000000" w:themeColor="text1"/>
          <w:kern w:val="0"/>
          <w:sz w:val="24"/>
          <w:lang w:bidi="ar"/>
          <w14:textFill>
            <w14:solidFill>
              <w14:schemeClr w14:val="tx1"/>
            </w14:solidFill>
          </w14:textFill>
        </w:rPr>
        <w:t>为指示函数。当相邻两个残基中一个属于类别g、另一个不属于类别g时，记为一次转移。本文分别计算疏水性、极性和带电性三类残基的组成与相变，因此简化CTD特征共6维。</w:t>
      </w:r>
    </w:p>
    <w:p w14:paraId="590712F9">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27" w:name="_Toc25862"/>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4、</w:t>
      </w:r>
      <w:r>
        <w:rPr>
          <w:rFonts w:cs="Times New Roman" w:asciiTheme="majorEastAsia" w:hAnsiTheme="majorEastAsia" w:eastAsiaTheme="majorEastAsia"/>
          <w:b/>
          <w:bCs/>
          <w:color w:val="000000" w:themeColor="text1"/>
          <w:kern w:val="0"/>
          <w:sz w:val="24"/>
          <w:lang w:bidi="ar"/>
          <w14:textFill>
            <w14:solidFill>
              <w14:schemeClr w14:val="tx1"/>
            </w14:solidFill>
          </w14:textFill>
        </w:rPr>
        <w:t>长度分箱特征</w:t>
      </w:r>
      <w:bookmarkEnd w:id="27"/>
    </w:p>
    <w:p w14:paraId="7F6FB87D">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bookmarkStart w:id="28" w:name="OLE_LINK7"/>
      <w:r>
        <w:rPr>
          <w:rFonts w:ascii="Times New Roman" w:hAnsi="Times New Roman" w:eastAsia="宋体" w:cs="Times New Roman"/>
          <w:color w:val="000000" w:themeColor="text1"/>
          <w:kern w:val="0"/>
          <w:sz w:val="24"/>
          <w:lang w:bidi="ar"/>
          <w14:textFill>
            <w14:solidFill>
              <w14:schemeClr w14:val="tx1"/>
            </w14:solidFill>
          </w14:textFill>
        </w:rPr>
        <w:t>肽段长度是影响功能肽活性、稳定性和可开发性的重要因素。除将序列长度作为连续理化特征外，本文进一步构建长度分箱特征，以捕捉不同长度区间肽段的潜在功能差异。具体地，将肽段长度划分为四类别：short（5–8aa）、mid（9–15aa）、long（16–50aa）以及out（≤4aa或≥51aa），并采用one‑hot编码表示，维度为4。其表示形式如下：</w:t>
      </w:r>
    </w:p>
    <w:p w14:paraId="7C059209">
      <w:pPr>
        <w:pStyle w:val="14"/>
        <w:spacing w:line="400" w:lineRule="exact"/>
        <w:ind w:firstLine="480" w:firstLineChars="200"/>
        <w:jc w:val="both"/>
        <w:rPr>
          <w:rFonts w:ascii="Times New Roman" w:hAnsi="Times New Roman" w:cs="Times New Roman"/>
          <w:color w:val="000000" w:themeColor="text1"/>
          <w14:textFill>
            <w14:solidFill>
              <w14:schemeClr w14:val="tx1"/>
            </w14:solidFill>
          </w14:textFill>
        </w:rPr>
      </w:pPr>
      <m:oMathPara>
        <m:oMath>
          <m:eqArr>
            <m:eqArrPr>
              <m:maxDist m:val="1"/>
              <m:ctrlPr>
                <w:rPr>
                  <w:rFonts w:ascii="Cambria Math" w:hAnsi="Cambria Math" w:cs="Times New Roman"/>
                  <w:color w:val="000000" w:themeColor="text1"/>
                  <w14:textFill>
                    <w14:solidFill>
                      <w14:schemeClr w14:val="tx1"/>
                    </w14:solidFill>
                  </w14:textFill>
                </w:rPr>
              </m:ctrlPr>
            </m:eqArrPr>
            <m:e>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L</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bin</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l</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short</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l</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mid</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l</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long</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l</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out</m:t>
                  </m:r>
                  <m:ctrlPr>
                    <w:rPr>
                      <w:rFonts w:ascii="Cambria Math" w:hAnsi="Cambria Math" w:cs="Times New Roman"/>
                      <w:i/>
                      <w:color w:val="000000" w:themeColor="text1"/>
                      <w14:textFill>
                        <w14:solidFill>
                          <w14:schemeClr w14:val="tx1"/>
                        </w14:solidFill>
                      </w14:textFill>
                    </w:rPr>
                  </m:ctrlPr>
                </m:sub>
              </m:sSub>
              <m:r>
                <m:rPr>
                  <m:sty m:val="p"/>
                </m:rPr>
                <w:rPr>
                  <w:rFonts w:ascii="Cambria Math" w:hAnsi="Cambria Math" w:cs="Times New Roman"/>
                  <w:color w:val="000000" w:themeColor="text1"/>
                  <w14:textFill>
                    <w14:solidFill>
                      <w14:schemeClr w14:val="tx1"/>
                    </w14:solidFill>
                  </w14:textFill>
                </w:rPr>
                <m:t>]#(5)</m:t>
              </m:r>
              <m:ctrlPr>
                <w:rPr>
                  <w:rFonts w:ascii="Cambria Math" w:hAnsi="Cambria Math" w:cs="Times New Roman"/>
                  <w:color w:val="000000" w:themeColor="text1"/>
                  <w14:textFill>
                    <w14:solidFill>
                      <w14:schemeClr w14:val="tx1"/>
                    </w14:solidFill>
                  </w14:textFill>
                </w:rPr>
              </m:ctrlPr>
            </m:e>
          </m:eqArr>
        </m:oMath>
      </m:oMathPara>
    </w:p>
    <w:bookmarkEnd w:id="28"/>
    <w:p w14:paraId="7CC06292">
      <w:pPr>
        <w:pStyle w:val="14"/>
        <w:spacing w:before="0" w:beforeAutospacing="0" w:after="0" w:afterAutospacing="0" w:line="400" w:lineRule="exact"/>
        <w:ind w:firstLine="480" w:firstLineChars="200"/>
        <w:rPr>
          <w:rFonts w:ascii="Times New Roman" w:hAnsi="Times New Roman" w:cs="Times New Roman"/>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该特征与前述特征共同输入Stage-1模型。</w:t>
      </w:r>
    </w:p>
    <w:p w14:paraId="7B926C41">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29" w:name="_Toc12717"/>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5、</w:t>
      </w:r>
      <w:r>
        <w:rPr>
          <w:rFonts w:cs="Times New Roman" w:asciiTheme="majorEastAsia" w:hAnsiTheme="majorEastAsia" w:eastAsiaTheme="majorEastAsia"/>
          <w:b/>
          <w:bCs/>
          <w:color w:val="000000" w:themeColor="text1"/>
          <w:kern w:val="0"/>
          <w:sz w:val="24"/>
          <w:lang w:bidi="ar"/>
          <w14:textFill>
            <w14:solidFill>
              <w14:schemeClr w14:val="tx1"/>
            </w14:solidFill>
          </w14:textFill>
        </w:rPr>
        <w:t>ESM2</w:t>
      </w:r>
      <w:bookmarkEnd w:id="29"/>
    </w:p>
    <w:p w14:paraId="3B4FE523">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eastAsia="宋体" w:cs="Times New Roman"/>
          <w:color w:val="000000" w:themeColor="text1"/>
          <w:kern w:val="0"/>
          <w:sz w:val="24"/>
          <w:lang w:bidi="ar"/>
          <w14:textFill>
            <w14:solidFill>
              <w14:schemeClr w14:val="tx1"/>
            </w14:solidFill>
          </w14:textFill>
        </w:rPr>
        <w:t>ESM2(Evolutionary Scale Modeling2)是一种基于Transformer架构的深度学习模型，它通过学习蛋白质序列的进化信息实现原子级蛋白质预测</w:t>
      </w:r>
      <w:r>
        <w:rPr>
          <w:rFonts w:ascii="Times New Roman" w:hAnsi="Times New Roman" w:eastAsia="宋体" w:cs="Times New Roman"/>
          <w:color w:val="000000" w:themeColor="text1"/>
          <w:kern w:val="0"/>
          <w:sz w:val="24"/>
          <w:lang w:bidi="ar"/>
          <w14:textFill>
            <w14:solidFill>
              <w14:schemeClr w14:val="tx1"/>
            </w14:solidFill>
          </w14:textFill>
        </w:rPr>
        <w:fldChar w:fldCharType="begin"/>
      </w:r>
      <w:r>
        <w:rPr>
          <w:rFonts w:ascii="Times New Roman" w:hAnsi="Times New Roman" w:eastAsia="宋体" w:cs="Times New Roman"/>
          <w:color w:val="000000" w:themeColor="text1"/>
          <w:kern w:val="0"/>
          <w:sz w:val="24"/>
          <w:lang w:bidi="ar"/>
          <w14:textFill>
            <w14:solidFill>
              <w14:schemeClr w14:val="tx1"/>
            </w14:solidFill>
          </w14:textFill>
        </w:rPr>
        <w:instrText xml:space="preserve"> ADDIN ZOTERO_ITEM CSL_CITATION {"citationID":"WcLmNbCl","properties":{"unsorted":false,"formattedCitation":"\\super [9]\\nosupersub{}","plainCitation":"[9]","noteIndex":0},"citationItems":[{"id":26,"uris":["http://zotero.org/users/local/j3apxnFx/items/XNE8Y45A"],"itemData":{"id":26,"type":"article-journal","abstract":"摘要机器学习的最新进展利用多序列比对中的进化信息来预测蛋白质结构。我们通过大型语言模型演示了从初级序列直接推断出完整原子级蛋白质结构的方法。随着蛋白质序列的语言模型被扩展到150亿参数，蛋白质结构的原子分辨率图景在学习的表征中逐渐浮现。这导致高分辨率结构预测的数量级加速，从而实现宏基因组蛋白质的大规模结构表征。我们利用这一能力构建ESM宏基因组图谱，预测&gt;6.17亿条宏基因组蛋白序列的结构，其中包括&gt;2.25亿条高度信心预测，从而展现了自然蛋白的广泛多样性。","container-title":"Science","DOI":"10.1126/science.ade2574","issue":"6637","page":"1123-1130","publisher":"American Association for the Advancement of Science","source":"science.org (Atypon)","title":"Evolutionary-scale prediction of atomic-level protein structure with a language model","volume":"379","author":[{"family":"林","given":"泽明"},{"family":"·阿金","given":"哈利尔"},{"family":"拉奥","given":"罗山·"},{"family":"·海","given":"布莱恩"},{"family":"","given":"朱仲凯"},{"family":"鲁","given":"文廷"},{"family":"斯美塔宁","given":"尼基塔"},{"family":"弗库伊尔","given":"罗伯特"},{"family":"卡贝利","given":"奥里·"},{"family":"Shmueli","given":"Yaniv"},{"family":"Santos Costa","given":"Allan","non-dropping-particle":"dos"},{"family":"Fazel-Zarandi","given":"Maryam"},{"family":"Sercu","given":"Tom"},{"family":"Candido","given":"Salvatore"},{"family":"·里夫斯","given":"亚历山大"}],"issued":{"date-parts":[["2023",3,17]]}}}],"schema":"https://github.com/citation-style-language/schema/raw/master/csl-citation.json"} </w:instrText>
      </w:r>
      <w:r>
        <w:rPr>
          <w:rFonts w:ascii="Times New Roman" w:hAnsi="Times New Roman" w:eastAsia="宋体" w:cs="Times New Roman"/>
          <w:color w:val="000000" w:themeColor="text1"/>
          <w:kern w:val="0"/>
          <w:sz w:val="24"/>
          <w:lang w:bidi="ar"/>
          <w14:textFill>
            <w14:solidFill>
              <w14:schemeClr w14:val="tx1"/>
            </w14:solidFill>
          </w14:textFill>
        </w:rPr>
        <w:fldChar w:fldCharType="separate"/>
      </w:r>
      <w:r>
        <w:rPr>
          <w:rFonts w:ascii="Times New Roman" w:hAnsi="Times New Roman" w:eastAsia="宋体" w:cs="Times New Roman"/>
          <w:color w:val="000000" w:themeColor="text1"/>
          <w:kern w:val="0"/>
          <w:sz w:val="24"/>
          <w:lang w:bidi="ar"/>
          <w14:textFill>
            <w14:solidFill>
              <w14:schemeClr w14:val="tx1"/>
            </w14:solidFill>
          </w14:textFill>
        </w:rPr>
        <w:t>[9]</w:t>
      </w:r>
      <w:r>
        <w:rPr>
          <w:rFonts w:ascii="Times New Roman" w:hAnsi="Times New Roman" w:eastAsia="宋体" w:cs="Times New Roman"/>
          <w:color w:val="000000" w:themeColor="text1"/>
          <w:kern w:val="0"/>
          <w:sz w:val="24"/>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ESM2模型训练采用的序列来自UniRef数据库，模型训练中将1.38亿条序列聚类为0.43亿类别，等概率地从这0.43亿类别中取序列进行训练，因此，在整个训练过程中，模型共训练了0.65亿条独特的序列。通过随机将序列中15%的氨基酸以掩码表示，根据掩码周围的氨基酸预测出掩码表示的氨基酸，在此过程中模型可以学习到氨基酸之间的依赖关系，学习在演化过程形成的模式。相较于AlphaFold2中在进行结构预测前，需要从数据库中搜索相似的序列、进行多重序列比对，比较耗时，而ESM2模型将演化模式内化在了模型中，不再需要外部的数据库、多重序列比对和模板，能够显著提高结构预测的效率。目前，ESM2模型的参数量从800万到150亿，最新版本使用了48层Transformer编码器架构，随着模型增大，预测氨基酸的准确度提高。ESM2已广泛应用于基础科学发现、药物开发和可持续发展等领域，包括最先进的蛋白质设计模型和抗体优化等任务中。</w:t>
      </w:r>
    </w:p>
    <w:p w14:paraId="03163C5F">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30" w:name="_Toc29122"/>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6、</w:t>
      </w:r>
      <w:r>
        <w:rPr>
          <w:rFonts w:cs="Times New Roman" w:asciiTheme="majorEastAsia" w:hAnsiTheme="majorEastAsia" w:eastAsiaTheme="majorEastAsia"/>
          <w:b/>
          <w:bCs/>
          <w:color w:val="000000" w:themeColor="text1"/>
          <w:kern w:val="0"/>
          <w:sz w:val="24"/>
          <w:lang w:bidi="ar"/>
          <w14:textFill>
            <w14:solidFill>
              <w14:schemeClr w14:val="tx1"/>
            </w14:solidFill>
          </w14:textFill>
        </w:rPr>
        <w:t>ProtBert</w:t>
      </w:r>
      <w:bookmarkEnd w:id="30"/>
    </w:p>
    <w:p w14:paraId="0716B506">
      <w:pPr>
        <w:widowControl/>
        <w:ind w:firstLine="480" w:firstLineChars="200"/>
        <w:rPr>
          <w:rFonts w:ascii="Times New Roman" w:hAnsi="Times New Roman" w:eastAsia="宋体" w:cs="Times New Roman"/>
          <w:color w:val="000000" w:themeColor="text1"/>
          <w:kern w:val="0"/>
          <w:sz w:val="24"/>
          <w:lang w:bidi="ar"/>
          <w14:textFill>
            <w14:solidFill>
              <w14:schemeClr w14:val="tx1"/>
            </w14:solidFill>
          </w14:textFill>
        </w:rPr>
      </w:pPr>
      <w:r>
        <w:rPr>
          <w:rFonts w:ascii="Times New Roman" w:hAnsi="Times New Roman" w:eastAsia="宋体" w:cs="Times New Roman"/>
          <w:color w:val="000000" w:themeColor="text1"/>
          <w:kern w:val="0"/>
          <w:sz w:val="24"/>
          <w:lang w:bidi="ar"/>
          <w14:textFill>
            <w14:solidFill>
              <w14:schemeClr w14:val="tx1"/>
            </w14:solidFill>
          </w14:textFill>
        </w:rPr>
        <w:t>ProtBert是一种基于BERT架构的蛋白质预训练语言模型，其核心结构建立在Transformer编码器之上</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begin"/>
      </w:r>
      <w:r>
        <w:rPr>
          <w:rFonts w:ascii="Times New Roman" w:hAnsi="Times New Roman" w:eastAsia="宋体" w:cs="Times New Roman"/>
          <w:color w:val="000000" w:themeColor="text1"/>
          <w:kern w:val="0"/>
          <w:sz w:val="24"/>
          <w:vertAlign w:val="superscript"/>
          <w:lang w:bidi="ar"/>
          <w14:textFill>
            <w14:solidFill>
              <w14:schemeClr w14:val="tx1"/>
            </w14:solidFill>
          </w14:textFill>
        </w:rPr>
        <w:instrText xml:space="preserve"> ADDIN ZOTERO_ITEM CSL_CITATION {"citationID":"RdMrGdy4","properties":{"unsorted":false,"formattedCitation":"\\super [11]\\nosupersub{}","plainCitation":"[11]","noteIndex":0},"citationItems":[{"id":30,"uris":["http://zotero.org/users/local/j3apxnFx/items/Z43J7KB9"],"itemData":{"id":30,"type":"article","abstract":"Computational biology and bioinformatics provide vast data gold-mines from protein sequences, ideal for Language Models taken from NLP. These LMs reach for new prediction frontiers at low inference costs. Here, we trained two auto-regressive models (Transformer-XL, XLNet) and four auto-encoder models (BERT, Albert, Electra, T5) on data from UniRef and BFD containing up to 393 billion amino acids. The LMs were trained on the Summit supercomputer using 5616 GPUs and TPU Pod up-to 1024 cores. Dimensionality reduction revealed that the raw protein LM-embeddings from unlabeled data captured some biophysical features of protein sequences. We validated the advantage of using the embeddings as exclusive input for several subsequent tasks. The ﬁrst was a per-residue prediction of protein secondary structure (3-state accuracy Q3=81%-87%); the second were per-protein predictions of protein sub-cellular localization (ten-state accuracy: Q10=81%) and membrane vs. water-soluble (2-state accuracy Q2=91%). For the per-residue predictions the transfer of the most informative embeddings (ProtT5) for the ﬁrst time outperformed the state-of-the-art without using evolutionary information thereby bypassing expensive database searches. Taken together, the results implied that protein LMs learned some of the grammar of the language of life. To facilitate future work, we released our models at https://github.com/agemagician/ProtTrans.","DOI":"10.1101/2020.07.12.199554","language":"en","license":"http://creativecommons.org/licenses/by-nc-nd/4.0/","publisher":"Bioinformatics","source":"DOI.org (Crossref)","title":"ProtTrans: Towards Cracking the Language of Life’s Code Through Self-Supervised Learning","title-short":"ProtTrans","URL":"http://biorxiv.org/lookup/doi/10.1101/2020.07.12.199554","author":[{"family":"Elnaggar","given":"Ahmed"},{"family":"Heinzinger","given":"Michael"},{"family":"Dallago","given":"Christian"},{"family":"Rehawi","given":"Ghalia"},{"family":"Wang","given":"Yu"},{"family":"Jones","given":"Llion"},{"family":"Gibbs","given":"Tom"},{"family":"Feher","given":"Tamas"},{"family":"Angerer","given":"Christoph"},{"family":"Steinegger","given":"Martin"},{"family":"Bhowmik","given":"Debsindhu"},{"family":"Rost","given":"Burkhard"}],"accessed":{"date-parts":[["2026",5,1]]},"issued":{"date-parts":[["2020",7,12]]}}}],"schema":"https://github.com/citation-style-language/schema/raw/master/csl-citation.json"} </w:instrTex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separate"/>
      </w:r>
      <w:r>
        <w:rPr>
          <w:rFonts w:ascii="Times New Roman" w:hAnsi="Times New Roman" w:eastAsia="宋体" w:cs="Times New Roman"/>
          <w:color w:val="000000" w:themeColor="text1"/>
          <w:kern w:val="0"/>
          <w:sz w:val="24"/>
          <w:vertAlign w:val="superscript"/>
          <w:lang w:bidi="ar"/>
          <w14:textFill>
            <w14:solidFill>
              <w14:schemeClr w14:val="tx1"/>
            </w14:solidFill>
          </w14:textFill>
        </w:rPr>
        <w:t>[11]</w:t>
      </w:r>
      <w:r>
        <w:rPr>
          <w:rFonts w:ascii="Times New Roman" w:hAnsi="Times New Roman" w:eastAsia="宋体" w:cs="Times New Roman"/>
          <w:color w:val="000000" w:themeColor="text1"/>
          <w:kern w:val="0"/>
          <w:sz w:val="24"/>
          <w:vertAlign w:val="superscript"/>
          <w:lang w:bidi="ar"/>
          <w14:textFill>
            <w14:solidFill>
              <w14:schemeClr w14:val="tx1"/>
            </w14:solidFill>
          </w14:textFill>
        </w:rPr>
        <w:fldChar w:fldCharType="end"/>
      </w:r>
      <w:r>
        <w:rPr>
          <w:rFonts w:ascii="Times New Roman" w:hAnsi="Times New Roman" w:eastAsia="宋体" w:cs="Times New Roman"/>
          <w:color w:val="000000" w:themeColor="text1"/>
          <w:kern w:val="0"/>
          <w:sz w:val="24"/>
          <w:lang w:bidi="ar"/>
          <w14:textFill>
            <w14:solidFill>
              <w14:schemeClr w14:val="tx1"/>
            </w14:solidFill>
          </w14:textFill>
        </w:rPr>
        <w:t>。与自然语言处理中的BERT类似，ProtBert将蛋白质或肽段序列视为由氨基酸残基组成的“生物语言”，通过大规模蛋白质序列预训练学习氨基酸之间的上下文依赖关系和潜在功能模式。在预训练过程中，ProtBert采用掩码语言建模任务，即随机遮蔽序列中的部分氨基酸残基，并根据其上下文环境预测被遮蔽的残基类型，从而学习蛋白质序列中的局部语义信息和全局依赖关系。对于给定的肽段序列，ProtBert首先将氨基酸序列转化为token序列，并输入Transformer编码器，得到每个残基位置的上下文隐藏表示。随后，对残基层表示进行池化处理，得到肽段级全局语义向量。本文采用的ProtBert表征维度为1024维。该特征能够从预训练蛋白质语言模型角度刻画肽段序列的深层语义信息，为后续分类模型提供高维序列表示。</w:t>
      </w:r>
    </w:p>
    <w:p w14:paraId="0D2B569D">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31" w:name="_Toc405"/>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7、</w:t>
      </w:r>
      <w:r>
        <w:rPr>
          <w:rFonts w:cs="Times New Roman" w:asciiTheme="majorEastAsia" w:hAnsiTheme="majorEastAsia" w:eastAsiaTheme="majorEastAsia"/>
          <w:b/>
          <w:bCs/>
          <w:color w:val="000000" w:themeColor="text1"/>
          <w:kern w:val="0"/>
          <w:sz w:val="24"/>
          <w:lang w:bidi="ar"/>
          <w14:textFill>
            <w14:solidFill>
              <w14:schemeClr w14:val="tx1"/>
            </w14:solidFill>
          </w14:textFill>
        </w:rPr>
        <w:t>Saprot</w:t>
      </w:r>
      <w:bookmarkEnd w:id="31"/>
    </w:p>
    <w:p w14:paraId="52A68EAE">
      <w:pPr>
        <w:pStyle w:val="14"/>
        <w:spacing w:before="0" w:beforeAutospacing="0" w:after="0" w:afterAutospacing="0"/>
        <w:ind w:firstLine="480" w:firstLineChars="200"/>
        <w:jc w:val="both"/>
        <w:rPr>
          <w:rFonts w:ascii="Times New Roman" w:hAnsi="Times New Roman" w:cs="Times New Roman"/>
          <w:color w:val="000000" w:themeColor="text1"/>
          <w14:textFill>
            <w14:solidFill>
              <w14:schemeClr w14:val="tx1"/>
            </w14:solidFill>
          </w14:textFill>
        </w:rPr>
      </w:pPr>
      <w:bookmarkStart w:id="32" w:name="OLE_LINK8"/>
      <w:r>
        <w:rPr>
          <w:rFonts w:ascii="Times New Roman" w:hAnsi="Times New Roman" w:cs="Times New Roman" w:eastAsiaTheme="minorEastAsia"/>
          <w:color w:val="000000" w:themeColor="text1"/>
          <w14:textFill>
            <w14:solidFill>
              <w14:schemeClr w14:val="tx1"/>
            </w14:solidFill>
          </w14:textFill>
        </w:rPr>
        <w:t>SaProt是一种联合建模蛋白质序列与结构的预训练模型。与仅依赖氨基酸序列的传统蛋白质语言模型不同，SaProt同时引入序列信息和3Di结构token，后者是一种离散化结构表示，用于描述残基的局部三维环境。对于给定肽段，将其序列与对应的3Ditoken共同输SaProt模型（本文采用westlake-repl/SaProt_35M_AF2，隐藏层维度480维），经池化后获得480维的肽段级结构感知向量</w:t>
      </w:r>
      <w:r>
        <w:rPr>
          <w:rFonts w:ascii="Times New Roman" w:hAnsi="Times New Roman" w:cs="Times New Roman" w:eastAsiaTheme="minorEastAsia"/>
          <w:color w:val="000000" w:themeColor="text1"/>
          <w14:textFill>
            <w14:solidFill>
              <w14:schemeClr w14:val="tx1"/>
            </w14:solidFill>
          </w14:textFill>
        </w:rPr>
        <w:fldChar w:fldCharType="begin"/>
      </w:r>
      <w:r>
        <w:rPr>
          <w:rFonts w:ascii="Times New Roman" w:hAnsi="Times New Roman" w:cs="Times New Roman" w:eastAsiaTheme="minorEastAsia"/>
          <w:color w:val="000000" w:themeColor="text1"/>
          <w14:textFill>
            <w14:solidFill>
              <w14:schemeClr w14:val="tx1"/>
            </w14:solidFill>
          </w14:textFill>
        </w:rPr>
        <w:instrText xml:space="preserve"> ADDIN ZOTERO_ITEM CSL_CITATION {"citationID":"WxSGdm6N","properties":{"unsorted":false,"formattedCitation":"\\super [12]\\nosupersub{}","plainCitation":"[12]","noteIndex":0},"citationItems":[{"id":32,"uris":["http://zotero.org/users/local/j3apxnFx/items/9QB4B7CU"],"itemData":{"id":32,"type":"article","abstract":"Large-scale protein language models (PLMs), such as the ESM family, have achieved remarkable performance in various downstream tasks related to protein structure and function by undergoing unsupervised training on residue sequences. They have become essential tools for researchers and practitioners in biology. However, a limitation of vanilla PLMs is their lack of explicit consideration for protein structure information, which suggests the potential for further improvement. Motivated by this, we introduce the concept of a “structure-aware vocabulary” that integrates residue tokens with structure tokens. The structure tokens are derived by encoding the 3D structure of proteins using Foldseek. We then propose SaProt, a large-scale general-purpose PLM trained on an extensive dataset comprising approximately 40 million protein sequences and structures. Through extensive evaluation, our SaProt model surpasses well-established and renowned baselines across 10 significant downstream tasks, demonstrating its exceptional capacity and broad applicability. We have made the code1, pretrained model, and all relevant materials available at https://github.com/ westlake-repl/SaProt.","DOI":"10.1101/2023.10.01.560349","language":"en","publisher":"Bioinformatics","source":"DOI.org (Crossref)","title":"SaProt: Protein Language Modeling with Structure-aware Vocabulary","title-short":"SaProt","URL":"http://biorxiv.org/lookup/doi/10.1101/2023.10.01.560349","author":[{"family":"Su","given":"Jin"},{"family":"Han","given":"Chenchen"},{"family":"Zhou","given":"Yuyang"},{"family":"Shan","given":"Junjie"},{"family":"Zhou","given":"Xibin"},{"family":"Yuan","given":"Fajie"}],"accessed":{"date-parts":[["2026",5,1]]},"issued":{"date-parts":[["2023",10,2]]}}}],"schema":"https://github.com/citation-style-language/schema/raw/master/csl-citation.json"} </w:instrText>
      </w:r>
      <w:r>
        <w:rPr>
          <w:rFonts w:ascii="Times New Roman" w:hAnsi="Times New Roman" w:cs="Times New Roman" w:eastAsiaTheme="minorEastAsia"/>
          <w:color w:val="000000" w:themeColor="text1"/>
          <w14:textFill>
            <w14:solidFill>
              <w14:schemeClr w14:val="tx1"/>
            </w14:solidFill>
          </w14:textFill>
        </w:rPr>
        <w:fldChar w:fldCharType="separate"/>
      </w:r>
      <w:r>
        <w:rPr>
          <w:rFonts w:ascii="Times New Roman" w:hAnsi="Times New Roman" w:cs="Times New Roman"/>
          <w:color w:val="000000" w:themeColor="text1"/>
          <w:vertAlign w:val="superscript"/>
          <w14:textFill>
            <w14:solidFill>
              <w14:schemeClr w14:val="tx1"/>
            </w14:solidFill>
          </w14:textFill>
        </w:rPr>
        <w:t>[12]</w:t>
      </w:r>
      <w:r>
        <w:rPr>
          <w:rFonts w:ascii="Times New Roman" w:hAnsi="Times New Roman" w:cs="Times New Roman" w:eastAsiaTheme="minorEastAsia"/>
          <w:color w:val="000000" w:themeColor="text1"/>
          <w14:textFill>
            <w14:solidFill>
              <w14:schemeClr w14:val="tx1"/>
            </w14:solidFill>
          </w14:textFill>
        </w:rPr>
        <w:fldChar w:fldCharType="end"/>
      </w:r>
      <w:r>
        <w:rPr>
          <w:rFonts w:ascii="Times New Roman" w:hAnsi="Times New Roman" w:cs="Times New Roman" w:eastAsiaTheme="minorEastAsia"/>
          <w:color w:val="000000" w:themeColor="text1"/>
          <w14:textFill>
            <w14:solidFill>
              <w14:schemeClr w14:val="tx1"/>
            </w14:solidFill>
          </w14:textFill>
        </w:rPr>
        <w:t>。该特征能够在一级序列之外补充局部结构环境信息，为肽段功能识别提供结构层面的表征。</w:t>
      </w:r>
    </w:p>
    <w:bookmarkEnd w:id="32"/>
    <w:p w14:paraId="5ABC88FF">
      <w:pPr>
        <w:pStyle w:val="3"/>
        <w:rPr>
          <w:rFonts w:hint="eastAsia" w:ascii="楷体" w:hAnsi="楷体" w:eastAsia="楷体" w:cs="Times New Roman"/>
          <w:color w:val="000000" w:themeColor="text1"/>
          <w:sz w:val="28"/>
          <w:szCs w:val="28"/>
          <w14:textFill>
            <w14:solidFill>
              <w14:schemeClr w14:val="tx1"/>
            </w14:solidFill>
          </w14:textFill>
        </w:rPr>
      </w:pPr>
      <w:bookmarkStart w:id="33" w:name="_Toc23388"/>
      <w:r>
        <w:rPr>
          <w:rFonts w:hint="eastAsia" w:ascii="楷体" w:hAnsi="楷体" w:eastAsia="楷体" w:cs="Times New Roman"/>
          <w:color w:val="000000" w:themeColor="text1"/>
          <w:sz w:val="28"/>
          <w:szCs w:val="28"/>
          <w14:textFill>
            <w14:solidFill>
              <w14:schemeClr w14:val="tx1"/>
            </w14:solidFill>
          </w14:textFill>
        </w:rPr>
        <w:t>（四）</w:t>
      </w:r>
      <w:r>
        <w:rPr>
          <w:rFonts w:ascii="楷体" w:hAnsi="楷体" w:eastAsia="楷体" w:cs="Times New Roman"/>
          <w:color w:val="000000" w:themeColor="text1"/>
          <w:sz w:val="28"/>
          <w:szCs w:val="28"/>
          <w14:textFill>
            <w14:solidFill>
              <w14:schemeClr w14:val="tx1"/>
            </w14:solidFill>
          </w14:textFill>
        </w:rPr>
        <w:t>机器学习</w:t>
      </w:r>
      <w:bookmarkEnd w:id="33"/>
    </w:p>
    <w:p w14:paraId="0DE08524">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在本文提出的抗糖尿病肽双阶段证据精排模型（ADP-DEM）中，XGBoost与MLP分别承担了不同的关键角色。</w:t>
      </w:r>
    </w:p>
    <w:p w14:paraId="79607C22">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34" w:name="_Toc1522"/>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1、</w:t>
      </w:r>
      <w:r>
        <w:rPr>
          <w:rFonts w:cs="Times New Roman" w:asciiTheme="majorEastAsia" w:hAnsiTheme="majorEastAsia" w:eastAsiaTheme="majorEastAsia"/>
          <w:b/>
          <w:bCs/>
          <w:color w:val="000000" w:themeColor="text1"/>
          <w:kern w:val="0"/>
          <w:sz w:val="24"/>
          <w:lang w:bidi="ar"/>
          <w14:textFill>
            <w14:solidFill>
              <w14:schemeClr w14:val="tx1"/>
            </w14:solidFill>
          </w14:textFill>
        </w:rPr>
        <w:t>MLP</w:t>
      </w:r>
      <w:bookmarkEnd w:id="34"/>
    </w:p>
    <w:p w14:paraId="05871E30">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多层感知机是一种经典的前馈人工神经网络，由输入层、一个或多个全连接隐藏层以及输出层组成，每层神经元通过加权求和后经非线性激活函数（如ReLU）映射输出。MLP借助反向传播算法和梯度下降优化器训练，能够拟合输入特征中的复杂非线性关系，是深度神经网络的基本原型。在本文模型中，MLP应用于第一阶段的门控融合机制之中。具体而言，本文对每一类特征子集（预训练语言模型特征、手工理化与组成特征、长度分箱特征）分别采用轻量级MLP将其映射到统一维度空间；同时利用另一个MLP构建门控网络，根据肽段的当前特征表示动态计算各特征分支的贡献权重。最终，各分支的加权表示融合为统一的多源特征表示，输入后续的GAUR-XGB模块。MLP的自适应加权能力避免了简单特征拼接导致的权重失衡问题，显著提升了主筛模型对复杂肽段模式的识别效果。</w:t>
      </w:r>
    </w:p>
    <w:p w14:paraId="2B9DD867">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35" w:name="_Toc9052"/>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2、</w:t>
      </w:r>
      <w:r>
        <w:rPr>
          <w:rFonts w:cs="Times New Roman" w:asciiTheme="majorEastAsia" w:hAnsiTheme="majorEastAsia" w:eastAsiaTheme="majorEastAsia"/>
          <w:b/>
          <w:bCs/>
          <w:color w:val="000000" w:themeColor="text1"/>
          <w:kern w:val="0"/>
          <w:sz w:val="24"/>
          <w:lang w:bidi="ar"/>
          <w14:textFill>
            <w14:solidFill>
              <w14:schemeClr w14:val="tx1"/>
            </w14:solidFill>
          </w14:textFill>
        </w:rPr>
        <w:t>XGBoost</w:t>
      </w:r>
      <w:bookmarkEnd w:id="35"/>
    </w:p>
    <w:p w14:paraId="6183AD66">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XGBoost是一种基于梯度提升决策树的集成学习算法。与随机森林中决策树独立并行训练的Bagging策略不同，XGBoost采用Boosting思想按顺序依次构建决策树，每一棵新树都致力于拟合前一棵树预测残差的负梯度方向，最终将各棵树的预测结果加权求和形成强学习器。算法的主要创新包括：在目标函数中同时引入L1和L2正则化项以抑制过拟合；利用损失函数的二阶泰勒展开加速收敛；内置稀疏感知与缺失值处理机制；支持加权直方图并行计算以处理大规模数据。在本文提出的ADP-DEM框架中，XGBoost位于第一阶段的GAUR-XGB二级排序校准模块内。该模块分别设置了XGBoost分类头和XGBoost排序头：分类头用于增强抗糖尿病肽与非抗糖尿病肽的二分类判别能力，排序头用于学习候选肽之间的相对优先级。通过联合优化分类损失与排序损失，该模块输出经过校准的主筛分数，用于从大规模库中初步筛选高置信候选肽。</w:t>
      </w:r>
    </w:p>
    <w:p w14:paraId="13A014EC">
      <w:pPr>
        <w:pStyle w:val="3"/>
        <w:rPr>
          <w:rFonts w:hint="eastAsia" w:ascii="楷体" w:hAnsi="楷体" w:eastAsia="楷体" w:cs="Times New Roman"/>
          <w:color w:val="000000" w:themeColor="text1"/>
          <w:sz w:val="28"/>
          <w:szCs w:val="28"/>
          <w14:textFill>
            <w14:solidFill>
              <w14:schemeClr w14:val="tx1"/>
            </w14:solidFill>
          </w14:textFill>
        </w:rPr>
      </w:pPr>
      <w:bookmarkStart w:id="36" w:name="_Toc25805"/>
      <w:r>
        <w:rPr>
          <w:rFonts w:hint="eastAsia" w:ascii="楷体" w:hAnsi="楷体" w:eastAsia="楷体" w:cs="Times New Roman"/>
          <w:color w:val="000000" w:themeColor="text1"/>
          <w:sz w:val="28"/>
          <w:szCs w:val="28"/>
          <w14:textFill>
            <w14:solidFill>
              <w14:schemeClr w14:val="tx1"/>
            </w14:solidFill>
          </w14:textFill>
        </w:rPr>
        <w:t>（五）</w:t>
      </w:r>
      <w:r>
        <w:rPr>
          <w:rFonts w:ascii="楷体" w:hAnsi="楷体" w:eastAsia="楷体" w:cs="Times New Roman"/>
          <w:color w:val="000000" w:themeColor="text1"/>
          <w:sz w:val="28"/>
          <w:szCs w:val="28"/>
          <w14:textFill>
            <w14:solidFill>
              <w14:schemeClr w14:val="tx1"/>
            </w14:solidFill>
          </w14:textFill>
        </w:rPr>
        <w:t>性能评估</w:t>
      </w:r>
      <w:bookmarkEnd w:id="36"/>
    </w:p>
    <w:p w14:paraId="7F4F66AA">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本文中我们选择五个广泛用于二元分类任务的性能指标来评估分类模型的性能，包括准确性（ACC）、敏感性（SN）、特异性（SP）、马修斯相关系数（MCC）和AUC，具体计算公式如下：</w:t>
      </w:r>
    </w:p>
    <w:p w14:paraId="24228C28">
      <w:pPr>
        <w:spacing w:line="360" w:lineRule="auto"/>
        <w:ind w:firstLine="480" w:firstLineChars="200"/>
        <w:rPr>
          <w:rFonts w:ascii="Times New Roman" w:hAnsi="Times New Roman" w:cs="Times New Roman"/>
          <w:color w:val="000000" w:themeColor="text1"/>
          <w:sz w:val="24"/>
          <w14:textFill>
            <w14:solidFill>
              <w14:schemeClr w14:val="tx1"/>
            </w14:solidFill>
          </w14:textFill>
        </w:rPr>
      </w:pPr>
      <m:oMathPara>
        <m:oMath>
          <m:eqArr>
            <m:eqArrPr>
              <m:maxDist m:val="1"/>
              <m:ctrlPr>
                <w:rPr>
                  <w:rFonts w:ascii="Cambria Math" w:hAnsi="Cambria Math" w:cs="Times New Roman"/>
                  <w:color w:val="000000" w:themeColor="text1"/>
                  <w:sz w:val="24"/>
                  <w14:textFill>
                    <w14:solidFill>
                      <w14:schemeClr w14:val="tx1"/>
                    </w14:solidFill>
                  </w14:textFill>
                </w:rPr>
              </m:ctrlPr>
            </m:eqArrPr>
            <m:e>
              <m:r>
                <m:rPr/>
                <w:rPr>
                  <w:rFonts w:ascii="Cambria Math" w:hAnsi="Cambria Math" w:cs="Times New Roman"/>
                  <w:color w:val="000000" w:themeColor="text1"/>
                  <w:sz w:val="24"/>
                  <w14:textFill>
                    <w14:solidFill>
                      <w14:schemeClr w14:val="tx1"/>
                    </w14:solidFill>
                  </w14:textFill>
                </w:rPr>
                <m:t>SN=</m:t>
              </m:r>
              <m:f>
                <m:fPr>
                  <m:ctrlPr>
                    <w:rPr>
                      <w:rFonts w:ascii="Cambria Math" w:hAnsi="Cambria Math" w:cs="Times New Roman"/>
                      <w:i/>
                      <w:color w:val="000000" w:themeColor="text1"/>
                      <w:sz w:val="24"/>
                      <w14:textFill>
                        <w14:solidFill>
                          <w14:schemeClr w14:val="tx1"/>
                        </w14:solidFill>
                      </w14:textFill>
                    </w:rPr>
                  </m:ctrlPr>
                </m:fPr>
                <m:num>
                  <m:r>
                    <m:rPr/>
                    <w:rPr>
                      <w:rFonts w:ascii="Cambria Math" w:hAnsi="Cambria Math" w:cs="Times New Roman"/>
                      <w:color w:val="000000" w:themeColor="text1"/>
                      <w:sz w:val="24"/>
                      <w14:textFill>
                        <w14:solidFill>
                          <w14:schemeClr w14:val="tx1"/>
                        </w14:solidFill>
                      </w14:textFill>
                    </w:rPr>
                    <m:t>TP</m:t>
                  </m:r>
                  <m:ctrlPr>
                    <w:rPr>
                      <w:rFonts w:ascii="Cambria Math" w:hAnsi="Cambria Math" w:cs="Times New Roman"/>
                      <w:i/>
                      <w:color w:val="000000" w:themeColor="text1"/>
                      <w:sz w:val="24"/>
                      <w14:textFill>
                        <w14:solidFill>
                          <w14:schemeClr w14:val="tx1"/>
                        </w14:solidFill>
                      </w14:textFill>
                    </w:rPr>
                  </m:ctrlPr>
                </m:num>
                <m:den>
                  <m:r>
                    <m:rPr/>
                    <w:rPr>
                      <w:rFonts w:ascii="Cambria Math" w:hAnsi="Cambria Math" w:cs="Times New Roman"/>
                      <w:color w:val="000000" w:themeColor="text1"/>
                      <w:sz w:val="24"/>
                      <w14:textFill>
                        <w14:solidFill>
                          <w14:schemeClr w14:val="tx1"/>
                        </w14:solidFill>
                      </w14:textFill>
                    </w:rPr>
                    <m:t>TP+FN</m:t>
                  </m:r>
                  <m:ctrlPr>
                    <w:rPr>
                      <w:rFonts w:ascii="Cambria Math" w:hAnsi="Cambria Math" w:cs="Times New Roman"/>
                      <w:i/>
                      <w:color w:val="000000" w:themeColor="text1"/>
                      <w:sz w:val="24"/>
                      <w14:textFill>
                        <w14:solidFill>
                          <w14:schemeClr w14:val="tx1"/>
                        </w14:solidFill>
                      </w14:textFill>
                    </w:rPr>
                  </m:ctrlPr>
                </m:den>
              </m:f>
              <m:r>
                <m:rPr>
                  <m:sty m:val="p"/>
                </m:rPr>
                <w:rPr>
                  <w:rFonts w:ascii="Cambria Math" w:hAnsi="Cambria Math" w:cs="Times New Roman"/>
                  <w:color w:val="000000" w:themeColor="text1"/>
                  <w:sz w:val="24"/>
                  <w14:textFill>
                    <w14:solidFill>
                      <w14:schemeClr w14:val="tx1"/>
                    </w14:solidFill>
                  </w14:textFill>
                </w:rPr>
                <m:t>#(6)</m:t>
              </m:r>
              <m:ctrlPr>
                <w:rPr>
                  <w:rFonts w:ascii="Cambria Math" w:hAnsi="Cambria Math" w:cs="Times New Roman"/>
                  <w:color w:val="000000" w:themeColor="text1"/>
                  <w:sz w:val="24"/>
                  <w14:textFill>
                    <w14:solidFill>
                      <w14:schemeClr w14:val="tx1"/>
                    </w14:solidFill>
                  </w14:textFill>
                </w:rPr>
              </m:ctrlPr>
            </m:e>
          </m:eqArr>
        </m:oMath>
      </m:oMathPara>
    </w:p>
    <w:p w14:paraId="5C67B2DF">
      <w:pPr>
        <w:spacing w:line="360" w:lineRule="auto"/>
        <w:ind w:firstLine="480" w:firstLineChars="200"/>
        <w:rPr>
          <w:rFonts w:ascii="Times New Roman" w:hAnsi="Times New Roman" w:cs="Times New Roman"/>
          <w:color w:val="000000" w:themeColor="text1"/>
          <w:sz w:val="24"/>
          <w14:textFill>
            <w14:solidFill>
              <w14:schemeClr w14:val="tx1"/>
            </w14:solidFill>
          </w14:textFill>
        </w:rPr>
      </w:pPr>
      <m:oMathPara>
        <m:oMath>
          <m:eqArr>
            <m:eqArrPr>
              <m:maxDist m:val="1"/>
              <m:ctrlPr>
                <w:rPr>
                  <w:rFonts w:ascii="Cambria Math" w:hAnsi="Cambria Math" w:cs="Times New Roman"/>
                  <w:color w:val="000000" w:themeColor="text1"/>
                  <w:sz w:val="24"/>
                  <w14:textFill>
                    <w14:solidFill>
                      <w14:schemeClr w14:val="tx1"/>
                    </w14:solidFill>
                  </w14:textFill>
                </w:rPr>
              </m:ctrlPr>
            </m:eqArrPr>
            <m:e>
              <m:r>
                <m:rPr/>
                <w:rPr>
                  <w:rFonts w:ascii="Cambria Math" w:hAnsi="Cambria Math" w:cs="Times New Roman"/>
                  <w:color w:val="000000" w:themeColor="text1"/>
                  <w:sz w:val="24"/>
                  <w14:textFill>
                    <w14:solidFill>
                      <w14:schemeClr w14:val="tx1"/>
                    </w14:solidFill>
                  </w14:textFill>
                </w:rPr>
                <m:t>SP=</m:t>
              </m:r>
              <m:f>
                <m:fPr>
                  <m:ctrlPr>
                    <w:rPr>
                      <w:rFonts w:ascii="Cambria Math" w:hAnsi="Cambria Math" w:cs="Times New Roman"/>
                      <w:i/>
                      <w:color w:val="000000" w:themeColor="text1"/>
                      <w:sz w:val="24"/>
                      <w14:textFill>
                        <w14:solidFill>
                          <w14:schemeClr w14:val="tx1"/>
                        </w14:solidFill>
                      </w14:textFill>
                    </w:rPr>
                  </m:ctrlPr>
                </m:fPr>
                <m:num>
                  <m:r>
                    <m:rPr/>
                    <w:rPr>
                      <w:rFonts w:ascii="Cambria Math" w:hAnsi="Cambria Math" w:cs="Times New Roman"/>
                      <w:color w:val="000000" w:themeColor="text1"/>
                      <w:sz w:val="24"/>
                      <w14:textFill>
                        <w14:solidFill>
                          <w14:schemeClr w14:val="tx1"/>
                        </w14:solidFill>
                      </w14:textFill>
                    </w:rPr>
                    <m:t>TN</m:t>
                  </m:r>
                  <m:ctrlPr>
                    <w:rPr>
                      <w:rFonts w:ascii="Cambria Math" w:hAnsi="Cambria Math" w:cs="Times New Roman"/>
                      <w:i/>
                      <w:color w:val="000000" w:themeColor="text1"/>
                      <w:sz w:val="24"/>
                      <w14:textFill>
                        <w14:solidFill>
                          <w14:schemeClr w14:val="tx1"/>
                        </w14:solidFill>
                      </w14:textFill>
                    </w:rPr>
                  </m:ctrlPr>
                </m:num>
                <m:den>
                  <m:r>
                    <m:rPr/>
                    <w:rPr>
                      <w:rFonts w:ascii="Cambria Math" w:hAnsi="Cambria Math" w:cs="Times New Roman"/>
                      <w:color w:val="000000" w:themeColor="text1"/>
                      <w:sz w:val="24"/>
                      <w14:textFill>
                        <w14:solidFill>
                          <w14:schemeClr w14:val="tx1"/>
                        </w14:solidFill>
                      </w14:textFill>
                    </w:rPr>
                    <m:t>TN+FP</m:t>
                  </m:r>
                  <m:ctrlPr>
                    <w:rPr>
                      <w:rFonts w:ascii="Cambria Math" w:hAnsi="Cambria Math" w:cs="Times New Roman"/>
                      <w:i/>
                      <w:color w:val="000000" w:themeColor="text1"/>
                      <w:sz w:val="24"/>
                      <w14:textFill>
                        <w14:solidFill>
                          <w14:schemeClr w14:val="tx1"/>
                        </w14:solidFill>
                      </w14:textFill>
                    </w:rPr>
                  </m:ctrlPr>
                </m:den>
              </m:f>
              <m:r>
                <m:rPr>
                  <m:sty m:val="p"/>
                </m:rPr>
                <w:rPr>
                  <w:rFonts w:ascii="Cambria Math" w:hAnsi="Cambria Math" w:cs="Times New Roman"/>
                  <w:color w:val="000000" w:themeColor="text1"/>
                  <w:sz w:val="24"/>
                  <w14:textFill>
                    <w14:solidFill>
                      <w14:schemeClr w14:val="tx1"/>
                    </w14:solidFill>
                  </w14:textFill>
                </w:rPr>
                <m:t>#(7)</m:t>
              </m:r>
              <m:ctrlPr>
                <w:rPr>
                  <w:rFonts w:ascii="Cambria Math" w:hAnsi="Cambria Math" w:cs="Times New Roman"/>
                  <w:color w:val="000000" w:themeColor="text1"/>
                  <w:sz w:val="24"/>
                  <w14:textFill>
                    <w14:solidFill>
                      <w14:schemeClr w14:val="tx1"/>
                    </w14:solidFill>
                  </w14:textFill>
                </w:rPr>
              </m:ctrlPr>
            </m:e>
          </m:eqArr>
        </m:oMath>
      </m:oMathPara>
    </w:p>
    <w:p w14:paraId="1145F4C6">
      <w:pPr>
        <w:spacing w:line="360" w:lineRule="auto"/>
        <w:ind w:firstLine="480" w:firstLineChars="200"/>
        <w:rPr>
          <w:rFonts w:ascii="Times New Roman" w:hAnsi="Times New Roman" w:cs="Times New Roman"/>
          <w:color w:val="000000" w:themeColor="text1"/>
          <w:sz w:val="24"/>
          <w14:textFill>
            <w14:solidFill>
              <w14:schemeClr w14:val="tx1"/>
            </w14:solidFill>
          </w14:textFill>
        </w:rPr>
      </w:pPr>
      <m:oMathPara>
        <m:oMath>
          <m:eqArr>
            <m:eqArrPr>
              <m:maxDist m:val="1"/>
              <m:ctrlPr>
                <w:rPr>
                  <w:rFonts w:ascii="Cambria Math" w:hAnsi="Cambria Math" w:cs="Times New Roman"/>
                  <w:color w:val="000000" w:themeColor="text1"/>
                  <w:sz w:val="24"/>
                  <w14:textFill>
                    <w14:solidFill>
                      <w14:schemeClr w14:val="tx1"/>
                    </w14:solidFill>
                  </w14:textFill>
                </w:rPr>
              </m:ctrlPr>
            </m:eqArrPr>
            <m:e>
              <m:r>
                <m:rPr/>
                <w:rPr>
                  <w:rFonts w:ascii="Cambria Math" w:hAnsi="Cambria Math" w:cs="Times New Roman"/>
                  <w:color w:val="000000" w:themeColor="text1"/>
                  <w:sz w:val="24"/>
                  <w14:textFill>
                    <w14:solidFill>
                      <w14:schemeClr w14:val="tx1"/>
                    </w14:solidFill>
                  </w14:textFill>
                </w:rPr>
                <m:t>MCC=</m:t>
              </m:r>
              <m:f>
                <m:fPr>
                  <m:ctrlPr>
                    <w:rPr>
                      <w:rFonts w:ascii="Cambria Math" w:hAnsi="Cambria Math" w:cs="Times New Roman"/>
                      <w:i/>
                      <w:color w:val="000000" w:themeColor="text1"/>
                      <w:sz w:val="24"/>
                      <w14:textFill>
                        <w14:solidFill>
                          <w14:schemeClr w14:val="tx1"/>
                        </w14:solidFill>
                      </w14:textFill>
                    </w:rPr>
                  </m:ctrlPr>
                </m:fPr>
                <m:num>
                  <m:r>
                    <m:rPr/>
                    <w:rPr>
                      <w:rFonts w:ascii="Cambria Math" w:hAnsi="Cambria Math" w:cs="Times New Roman"/>
                      <w:color w:val="000000" w:themeColor="text1"/>
                      <w:sz w:val="24"/>
                      <w14:textFill>
                        <w14:solidFill>
                          <w14:schemeClr w14:val="tx1"/>
                        </w14:solidFill>
                      </w14:textFill>
                    </w:rPr>
                    <m:t>TP×TN−FP×FN</m:t>
                  </m:r>
                  <m:ctrlPr>
                    <w:rPr>
                      <w:rFonts w:ascii="Cambria Math" w:hAnsi="Cambria Math" w:cs="Times New Roman"/>
                      <w:i/>
                      <w:color w:val="000000" w:themeColor="text1"/>
                      <w:sz w:val="24"/>
                      <w14:textFill>
                        <w14:solidFill>
                          <w14:schemeClr w14:val="tx1"/>
                        </w14:solidFill>
                      </w14:textFill>
                    </w:rPr>
                  </m:ctrlPr>
                </m:num>
                <m:den>
                  <m:rad>
                    <m:radPr>
                      <m:degHide m:val="1"/>
                      <m:ctrlPr>
                        <w:rPr>
                          <w:rFonts w:ascii="Cambria Math" w:hAnsi="Cambria Math" w:cs="Times New Roman"/>
                          <w:i/>
                          <w:color w:val="000000" w:themeColor="text1"/>
                          <w:sz w:val="24"/>
                          <w14:textFill>
                            <w14:solidFill>
                              <w14:schemeClr w14:val="tx1"/>
                            </w14:solidFill>
                          </w14:textFill>
                        </w:rPr>
                      </m:ctrlPr>
                    </m:radPr>
                    <m:deg>
                      <m:ctrlPr>
                        <w:rPr>
                          <w:rFonts w:ascii="Cambria Math" w:hAnsi="Cambria Math" w:cs="Times New Roman"/>
                          <w:i/>
                          <w:color w:val="000000" w:themeColor="text1"/>
                          <w:sz w:val="24"/>
                          <w14:textFill>
                            <w14:solidFill>
                              <w14:schemeClr w14:val="tx1"/>
                            </w14:solidFill>
                          </w14:textFill>
                        </w:rPr>
                      </m:ctrlPr>
                    </m:deg>
                    <m:e>
                      <m:d>
                        <m:dPr>
                          <m:ctrlPr>
                            <w:rPr>
                              <w:rFonts w:ascii="Cambria Math" w:hAnsi="Cambria Math" w:cs="Times New Roman"/>
                              <w:i/>
                              <w:color w:val="000000" w:themeColor="text1"/>
                              <w:sz w:val="24"/>
                              <w14:textFill>
                                <w14:solidFill>
                                  <w14:schemeClr w14:val="tx1"/>
                                </w14:solidFill>
                              </w14:textFill>
                            </w:rPr>
                          </m:ctrlPr>
                        </m:dPr>
                        <m:e>
                          <m:r>
                            <m:rPr/>
                            <w:rPr>
                              <w:rFonts w:ascii="Cambria Math" w:hAnsi="Cambria Math" w:cs="Times New Roman"/>
                              <w:color w:val="000000" w:themeColor="text1"/>
                              <w:sz w:val="24"/>
                              <w14:textFill>
                                <w14:solidFill>
                                  <w14:schemeClr w14:val="tx1"/>
                                </w14:solidFill>
                              </w14:textFill>
                            </w:rPr>
                            <m:t>TP+FP</m:t>
                          </m:r>
                          <m:ctrlPr>
                            <w:rPr>
                              <w:rFonts w:ascii="Cambria Math" w:hAnsi="Cambria Math" w:cs="Times New Roman"/>
                              <w:i/>
                              <w:color w:val="000000" w:themeColor="text1"/>
                              <w:sz w:val="24"/>
                              <w14:textFill>
                                <w14:solidFill>
                                  <w14:schemeClr w14:val="tx1"/>
                                </w14:solidFill>
                              </w14:textFill>
                            </w:rPr>
                          </m:ctrlPr>
                        </m:e>
                      </m:d>
                      <m:d>
                        <m:dPr>
                          <m:ctrlPr>
                            <w:rPr>
                              <w:rFonts w:ascii="Cambria Math" w:hAnsi="Cambria Math" w:cs="Times New Roman"/>
                              <w:i/>
                              <w:color w:val="000000" w:themeColor="text1"/>
                              <w:sz w:val="24"/>
                              <w14:textFill>
                                <w14:solidFill>
                                  <w14:schemeClr w14:val="tx1"/>
                                </w14:solidFill>
                              </w14:textFill>
                            </w:rPr>
                          </m:ctrlPr>
                        </m:dPr>
                        <m:e>
                          <m:r>
                            <m:rPr/>
                            <w:rPr>
                              <w:rFonts w:ascii="Cambria Math" w:hAnsi="Cambria Math" w:cs="Times New Roman"/>
                              <w:color w:val="000000" w:themeColor="text1"/>
                              <w:sz w:val="24"/>
                              <w14:textFill>
                                <w14:solidFill>
                                  <w14:schemeClr w14:val="tx1"/>
                                </w14:solidFill>
                              </w14:textFill>
                            </w:rPr>
                            <m:t>TP+FN</m:t>
                          </m:r>
                          <m:ctrlPr>
                            <w:rPr>
                              <w:rFonts w:ascii="Cambria Math" w:hAnsi="Cambria Math" w:cs="Times New Roman"/>
                              <w:i/>
                              <w:color w:val="000000" w:themeColor="text1"/>
                              <w:sz w:val="24"/>
                              <w14:textFill>
                                <w14:solidFill>
                                  <w14:schemeClr w14:val="tx1"/>
                                </w14:solidFill>
                              </w14:textFill>
                            </w:rPr>
                          </m:ctrlPr>
                        </m:e>
                      </m:d>
                      <m:d>
                        <m:dPr>
                          <m:ctrlPr>
                            <w:rPr>
                              <w:rFonts w:ascii="Cambria Math" w:hAnsi="Cambria Math" w:cs="Times New Roman"/>
                              <w:i/>
                              <w:color w:val="000000" w:themeColor="text1"/>
                              <w:sz w:val="24"/>
                              <w14:textFill>
                                <w14:solidFill>
                                  <w14:schemeClr w14:val="tx1"/>
                                </w14:solidFill>
                              </w14:textFill>
                            </w:rPr>
                          </m:ctrlPr>
                        </m:dPr>
                        <m:e>
                          <m:r>
                            <m:rPr/>
                            <w:rPr>
                              <w:rFonts w:ascii="Cambria Math" w:hAnsi="Cambria Math" w:cs="Times New Roman"/>
                              <w:color w:val="000000" w:themeColor="text1"/>
                              <w:sz w:val="24"/>
                              <w14:textFill>
                                <w14:solidFill>
                                  <w14:schemeClr w14:val="tx1"/>
                                </w14:solidFill>
                              </w14:textFill>
                            </w:rPr>
                            <m:t>TN+FP</m:t>
                          </m:r>
                          <m:ctrlPr>
                            <w:rPr>
                              <w:rFonts w:ascii="Cambria Math" w:hAnsi="Cambria Math" w:cs="Times New Roman"/>
                              <w:i/>
                              <w:color w:val="000000" w:themeColor="text1"/>
                              <w:sz w:val="24"/>
                              <w14:textFill>
                                <w14:solidFill>
                                  <w14:schemeClr w14:val="tx1"/>
                                </w14:solidFill>
                              </w14:textFill>
                            </w:rPr>
                          </m:ctrlPr>
                        </m:e>
                      </m:d>
                      <m:d>
                        <m:dPr>
                          <m:ctrlPr>
                            <w:rPr>
                              <w:rFonts w:ascii="Cambria Math" w:hAnsi="Cambria Math" w:cs="Times New Roman"/>
                              <w:i/>
                              <w:color w:val="000000" w:themeColor="text1"/>
                              <w:sz w:val="24"/>
                              <w14:textFill>
                                <w14:solidFill>
                                  <w14:schemeClr w14:val="tx1"/>
                                </w14:solidFill>
                              </w14:textFill>
                            </w:rPr>
                          </m:ctrlPr>
                        </m:dPr>
                        <m:e>
                          <m:r>
                            <m:rPr/>
                            <w:rPr>
                              <w:rFonts w:ascii="Cambria Math" w:hAnsi="Cambria Math" w:cs="Times New Roman"/>
                              <w:color w:val="000000" w:themeColor="text1"/>
                              <w:sz w:val="24"/>
                              <w14:textFill>
                                <w14:solidFill>
                                  <w14:schemeClr w14:val="tx1"/>
                                </w14:solidFill>
                              </w14:textFill>
                            </w:rPr>
                            <m:t>TN+FN</m:t>
                          </m:r>
                          <m:ctrlPr>
                            <w:rPr>
                              <w:rFonts w:ascii="Cambria Math" w:hAnsi="Cambria Math" w:cs="Times New Roman"/>
                              <w:i/>
                              <w:color w:val="000000" w:themeColor="text1"/>
                              <w:sz w:val="24"/>
                              <w14:textFill>
                                <w14:solidFill>
                                  <w14:schemeClr w14:val="tx1"/>
                                </w14:solidFill>
                              </w14:textFill>
                            </w:rPr>
                          </m:ctrlPr>
                        </m:e>
                      </m:d>
                      <m:ctrlPr>
                        <w:rPr>
                          <w:rFonts w:ascii="Cambria Math" w:hAnsi="Cambria Math" w:cs="Times New Roman"/>
                          <w:i/>
                          <w:color w:val="000000" w:themeColor="text1"/>
                          <w:sz w:val="24"/>
                          <w14:textFill>
                            <w14:solidFill>
                              <w14:schemeClr w14:val="tx1"/>
                            </w14:solidFill>
                          </w14:textFill>
                        </w:rPr>
                      </m:ctrlPr>
                    </m:e>
                  </m:rad>
                  <m:ctrlPr>
                    <w:rPr>
                      <w:rFonts w:ascii="Cambria Math" w:hAnsi="Cambria Math" w:cs="Times New Roman"/>
                      <w:i/>
                      <w:color w:val="000000" w:themeColor="text1"/>
                      <w:sz w:val="24"/>
                      <w14:textFill>
                        <w14:solidFill>
                          <w14:schemeClr w14:val="tx1"/>
                        </w14:solidFill>
                      </w14:textFill>
                    </w:rPr>
                  </m:ctrlPr>
                </m:den>
              </m:f>
              <m:r>
                <m:rPr>
                  <m:sty m:val="p"/>
                </m:rPr>
                <w:rPr>
                  <w:rFonts w:ascii="Cambria Math" w:hAnsi="Cambria Math" w:cs="Times New Roman"/>
                  <w:color w:val="000000" w:themeColor="text1"/>
                  <w:sz w:val="24"/>
                  <w14:textFill>
                    <w14:solidFill>
                      <w14:schemeClr w14:val="tx1"/>
                    </w14:solidFill>
                  </w14:textFill>
                </w:rPr>
                <m:t>#(8)</m:t>
              </m:r>
              <m:ctrlPr>
                <w:rPr>
                  <w:rFonts w:ascii="Cambria Math" w:hAnsi="Cambria Math" w:cs="Times New Roman"/>
                  <w:color w:val="000000" w:themeColor="text1"/>
                  <w:sz w:val="24"/>
                  <w14:textFill>
                    <w14:solidFill>
                      <w14:schemeClr w14:val="tx1"/>
                    </w14:solidFill>
                  </w14:textFill>
                </w:rPr>
              </m:ctrlPr>
            </m:e>
          </m:eqArr>
        </m:oMath>
      </m:oMathPara>
    </w:p>
    <w:p w14:paraId="43CC08A7">
      <w:pPr>
        <w:spacing w:line="360" w:lineRule="auto"/>
        <w:ind w:firstLine="480" w:firstLineChars="200"/>
        <w:rPr>
          <w:rFonts w:ascii="Times New Roman" w:hAnsi="Times New Roman" w:cs="Times New Roman"/>
          <w:color w:val="000000" w:themeColor="text1"/>
          <w:sz w:val="24"/>
          <w14:textFill>
            <w14:solidFill>
              <w14:schemeClr w14:val="tx1"/>
            </w14:solidFill>
          </w14:textFill>
        </w:rPr>
      </w:pPr>
      <m:oMathPara>
        <m:oMath>
          <m:eqArr>
            <m:eqArrPr>
              <m:maxDist m:val="1"/>
              <m:ctrlPr>
                <w:rPr>
                  <w:rFonts w:ascii="Cambria Math" w:hAnsi="Cambria Math" w:cs="Times New Roman"/>
                  <w:color w:val="000000" w:themeColor="text1"/>
                  <w:sz w:val="24"/>
                  <w14:textFill>
                    <w14:solidFill>
                      <w14:schemeClr w14:val="tx1"/>
                    </w14:solidFill>
                  </w14:textFill>
                </w:rPr>
              </m:ctrlPr>
            </m:eqArrPr>
            <m:e>
              <m:r>
                <m:rPr/>
                <w:rPr>
                  <w:rFonts w:ascii="Cambria Math" w:hAnsi="Cambria Math" w:cs="Times New Roman"/>
                  <w:color w:val="000000" w:themeColor="text1"/>
                  <w:sz w:val="24"/>
                  <w14:textFill>
                    <w14:solidFill>
                      <w14:schemeClr w14:val="tx1"/>
                    </w14:solidFill>
                  </w14:textFill>
                </w:rPr>
                <m:t>ACC=</m:t>
              </m:r>
              <m:f>
                <m:fPr>
                  <m:ctrlPr>
                    <w:rPr>
                      <w:rFonts w:ascii="Cambria Math" w:hAnsi="Cambria Math" w:cs="Times New Roman"/>
                      <w:i/>
                      <w:color w:val="000000" w:themeColor="text1"/>
                      <w:sz w:val="24"/>
                      <w14:textFill>
                        <w14:solidFill>
                          <w14:schemeClr w14:val="tx1"/>
                        </w14:solidFill>
                      </w14:textFill>
                    </w:rPr>
                  </m:ctrlPr>
                </m:fPr>
                <m:num>
                  <m:r>
                    <m:rPr/>
                    <w:rPr>
                      <w:rFonts w:ascii="Cambria Math" w:hAnsi="Cambria Math" w:cs="Times New Roman"/>
                      <w:color w:val="000000" w:themeColor="text1"/>
                      <w:sz w:val="24"/>
                      <w14:textFill>
                        <w14:solidFill>
                          <w14:schemeClr w14:val="tx1"/>
                        </w14:solidFill>
                      </w14:textFill>
                    </w:rPr>
                    <m:t>TP+TN</m:t>
                  </m:r>
                  <m:ctrlPr>
                    <w:rPr>
                      <w:rFonts w:ascii="Cambria Math" w:hAnsi="Cambria Math" w:cs="Times New Roman"/>
                      <w:i/>
                      <w:color w:val="000000" w:themeColor="text1"/>
                      <w:sz w:val="24"/>
                      <w14:textFill>
                        <w14:solidFill>
                          <w14:schemeClr w14:val="tx1"/>
                        </w14:solidFill>
                      </w14:textFill>
                    </w:rPr>
                  </m:ctrlPr>
                </m:num>
                <m:den>
                  <m:r>
                    <m:rPr/>
                    <w:rPr>
                      <w:rFonts w:ascii="Cambria Math" w:hAnsi="Cambria Math" w:cs="Times New Roman"/>
                      <w:color w:val="000000" w:themeColor="text1"/>
                      <w:sz w:val="24"/>
                      <w14:textFill>
                        <w14:solidFill>
                          <w14:schemeClr w14:val="tx1"/>
                        </w14:solidFill>
                      </w14:textFill>
                    </w:rPr>
                    <m:t>TP+TN+FP+FN</m:t>
                  </m:r>
                  <m:ctrlPr>
                    <w:rPr>
                      <w:rFonts w:ascii="Cambria Math" w:hAnsi="Cambria Math" w:cs="Times New Roman"/>
                      <w:i/>
                      <w:color w:val="000000" w:themeColor="text1"/>
                      <w:sz w:val="24"/>
                      <w14:textFill>
                        <w14:solidFill>
                          <w14:schemeClr w14:val="tx1"/>
                        </w14:solidFill>
                      </w14:textFill>
                    </w:rPr>
                  </m:ctrlPr>
                </m:den>
              </m:f>
              <m:r>
                <m:rPr>
                  <m:sty m:val="p"/>
                </m:rPr>
                <w:rPr>
                  <w:rFonts w:ascii="Cambria Math" w:hAnsi="Cambria Math" w:cs="Times New Roman"/>
                  <w:color w:val="000000" w:themeColor="text1"/>
                  <w:sz w:val="24"/>
                  <w14:textFill>
                    <w14:solidFill>
                      <w14:schemeClr w14:val="tx1"/>
                    </w14:solidFill>
                  </w14:textFill>
                </w:rPr>
                <m:t>#(9)</m:t>
              </m:r>
              <m:ctrlPr>
                <w:rPr>
                  <w:rFonts w:ascii="Cambria Math" w:hAnsi="Cambria Math" w:cs="Times New Roman"/>
                  <w:color w:val="000000" w:themeColor="text1"/>
                  <w:sz w:val="24"/>
                  <w14:textFill>
                    <w14:solidFill>
                      <w14:schemeClr w14:val="tx1"/>
                    </w14:solidFill>
                  </w14:textFill>
                </w:rPr>
              </m:ctrlPr>
            </m:e>
          </m:eqArr>
        </m:oMath>
      </m:oMathPara>
    </w:p>
    <w:p w14:paraId="0574B567">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其中TP（真阳性）、FP（假阳性）、FN（假阴性）和TN（真阴性）分别表示被模型预测为正类的正样本、被模型预测为正类的负样本、被模型预测为负类的正样本和被模型预测为负类的负样本。SN和SP分别衡量模型对正和负样本的预测能力，ACC和MCC指标衡量模型的整体性能</w:t>
      </w:r>
      <w:r>
        <w:rPr>
          <w:rFonts w:ascii="Times New Roman" w:hAnsi="Times New Roman" w:cs="Times New Roman" w:eastAsiaTheme="minorEastAsia"/>
          <w:color w:val="000000" w:themeColor="text1"/>
          <w:vertAlign w:val="superscript"/>
          <w14:textFill>
            <w14:solidFill>
              <w14:schemeClr w14:val="tx1"/>
            </w14:solidFill>
          </w14:textFill>
        </w:rPr>
        <w:fldChar w:fldCharType="begin"/>
      </w:r>
      <w:r>
        <w:rPr>
          <w:rFonts w:ascii="Times New Roman" w:hAnsi="Times New Roman" w:cs="Times New Roman" w:eastAsiaTheme="minorEastAsia"/>
          <w:color w:val="000000" w:themeColor="text1"/>
          <w:vertAlign w:val="superscript"/>
          <w14:textFill>
            <w14:solidFill>
              <w14:schemeClr w14:val="tx1"/>
            </w14:solidFill>
          </w14:textFill>
        </w:rPr>
        <w:instrText xml:space="preserve"> ADDIN ZOTERO_ITEM CSL_CITATION {"citationID":"ZKzm22Rw","properties":{"unsorted":false,"formattedCitation":"\\super [13]\\nosupersub{}","plainCitation":"[13]","noteIndex":0},"citationItems":[{"id":34,"uris":["http://zotero.org/users/local/j3apxnFx/items/9I2BUJ6W"],"itemData":{"id":34,"type":"article-journal","abstract":"Binary classification is a common task for which machine learning and computational statistics are used, and the area under the receiver operating characteristic curve (ROC AUC) has become the common standard metric to evaluate binary classifications in most scientific fields. The ROC curve has true positive rate (also called sensitivity or recall) on the y axis and false positive rate on the x axis, and the ROC AUC can range from 0 (worst result) to 1 (perfect result). The ROC AUC, however, has several flaws and drawbacks. This score is generated including predictions that obtained insufficient sensitivity and specificity, and moreover it does not say anything about positive predictive value (also known as precision) nor negative predictive value (NPV) obtained by the classifier, therefore potentially generating inflated overoptimistic results. Since it is common to include ROC AUC alone without precision and negative predictive value, a researcher might erroneously conclude that their classification was successful. Furthermore, a given point in the ROC space does not identify a single confusion matrix nor a group of matrices sharing the same MCC value. Indeed, a given (sensitivity, specificity) pair can cover a broad MCC range, which casts doubts on the reliability of ROC AUC as a performance measure. In contrast, the Matthews correlation coefficient (MCC) generates a high score in its [−1; +1] interval only if the classifier scored a high value for all the four basic rates of the confusion matrix: sensitivity, specificity, precision, and negative predictive value. A high MCC (for example, MCC = 0.9), moreover, always corresponds to a high ROC AUC, and not vice versa. In this short study, we explain why the Matthews correlation coefficient should replace the ROC AUC as standard statistic in all the scientific studies involving a binary classification, in all scientific fields.","container-title":"BioData Mining","DOI":"10.1186/s13040-023-00322-4","ISSN":"1756-0381","issue":"1","journalAbbreviation":"BioData Mining","language":"en","page":"4","source":"DOI.org (Crossref)","title":"The Matthews correlation coefficient (MCC) should replace the ROC AUC as the standard metric for assessing binary classification","volume":"16","author":[{"family":"Chicco","given":"Davide"},{"family":"Jurman","given":"Giuseppe"}],"issued":{"date-parts":[["2023",2,17]]}}}],"schema":"https://github.com/citation-style-language/schema/raw/master/csl-citation.json"} </w:instrText>
      </w:r>
      <w:r>
        <w:rPr>
          <w:rFonts w:ascii="Times New Roman" w:hAnsi="Times New Roman" w:cs="Times New Roman" w:eastAsiaTheme="minorEastAsia"/>
          <w:color w:val="000000" w:themeColor="text1"/>
          <w:vertAlign w:val="superscript"/>
          <w14:textFill>
            <w14:solidFill>
              <w14:schemeClr w14:val="tx1"/>
            </w14:solidFill>
          </w14:textFill>
        </w:rPr>
        <w:fldChar w:fldCharType="separate"/>
      </w:r>
      <w:r>
        <w:rPr>
          <w:rFonts w:ascii="Times New Roman" w:hAnsi="Times New Roman" w:cs="Times New Roman" w:eastAsiaTheme="minorEastAsia"/>
          <w:color w:val="000000" w:themeColor="text1"/>
          <w:vertAlign w:val="superscript"/>
          <w14:textFill>
            <w14:solidFill>
              <w14:schemeClr w14:val="tx1"/>
            </w14:solidFill>
          </w14:textFill>
        </w:rPr>
        <w:t>[13]</w:t>
      </w:r>
      <w:r>
        <w:rPr>
          <w:rFonts w:ascii="Times New Roman" w:hAnsi="Times New Roman" w:cs="Times New Roman" w:eastAsiaTheme="minorEastAsia"/>
          <w:color w:val="000000" w:themeColor="text1"/>
          <w:vertAlign w:val="superscript"/>
          <w14:textFill>
            <w14:solidFill>
              <w14:schemeClr w14:val="tx1"/>
            </w14:solidFill>
          </w14:textFill>
        </w:rPr>
        <w:fldChar w:fldCharType="end"/>
      </w:r>
      <w:r>
        <w:rPr>
          <w:rFonts w:ascii="Times New Roman" w:hAnsi="Times New Roman" w:cs="Times New Roman" w:eastAsiaTheme="minorEastAsia"/>
          <w:color w:val="000000" w:themeColor="text1"/>
          <w14:textFill>
            <w14:solidFill>
              <w14:schemeClr w14:val="tx1"/>
            </w14:solidFill>
          </w14:textFill>
        </w:rPr>
        <w:t>。此外，我们还使用AUC（Area Under Curve, AUC）作为衡量模型性能的性能指标，AUC指的是接收器工作特性曲线（ROC）和坐标轴包围的面积，AUC得分越高，模型的性能越好</w:t>
      </w:r>
      <w:r>
        <w:rPr>
          <w:rFonts w:ascii="Times New Roman" w:hAnsi="Times New Roman" w:cs="Times New Roman" w:eastAsiaTheme="minorEastAsia"/>
          <w:color w:val="000000" w:themeColor="text1"/>
          <w:vertAlign w:val="superscript"/>
          <w14:textFill>
            <w14:solidFill>
              <w14:schemeClr w14:val="tx1"/>
            </w14:solidFill>
          </w14:textFill>
        </w:rPr>
        <w:fldChar w:fldCharType="begin"/>
      </w:r>
      <w:r>
        <w:rPr>
          <w:rFonts w:ascii="Times New Roman" w:hAnsi="Times New Roman" w:cs="Times New Roman" w:eastAsiaTheme="minorEastAsia"/>
          <w:color w:val="000000" w:themeColor="text1"/>
          <w:vertAlign w:val="superscript"/>
          <w14:textFill>
            <w14:solidFill>
              <w14:schemeClr w14:val="tx1"/>
            </w14:solidFill>
          </w14:textFill>
        </w:rPr>
        <w:instrText xml:space="preserve"> ADDIN ZOTERO_ITEM CSL_CITATION {"citationID":"W9wJlihM","properties":{"unsorted":false,"formattedCitation":"\\super [14]\\nosupersub{}","plainCitation":"[14]","noteIndex":0},"citationItems":[{"id":36,"uris":["http://zotero.org/users/local/j3apxnFx/items/5HQPVC95"],"itemData":{"id":36,"type":"article-journal","abstract":"The area under the ROC curve, or the equivalent Gini index, is a widely used measure of performance of supervised classiﬁcation rules. It has the attractive property that it side-steps the need to specify the costs of the different kinds of misclassiﬁcation. However, the simple form is only applicable to the case of two classes. We extend the deﬁnition to the case of more than two classes by averaging pairwise comparisons. This measure reduces to the standard form in the two class case. We compare its properties with the standard measure of proportion correct and an alternative deﬁnition of proportion correct based on pairwise comparison of classes for a simple artiﬁcial case and illustrate its application on eight data sets. On the data sets we examined, the measures produced similar, but not identical results, reﬂecting the different aspects of performance that they were measuring. Like the area under the ROC curve, the measure we propose is useful in those many situations where it is impossible to give costs for the different kinds of misclassiﬁcation.","language":"en","source":"Zotero","title":"A Simple Generalisation of the Area Under the ROC Curve for Multiple Class Classification Problems","author":[{"family":"Hand","given":"David J"},{"family":"Till","given":"Robert J"}]}}],"schema":"https://github.com/citation-style-language/schema/raw/master/csl-citation.json"} </w:instrText>
      </w:r>
      <w:r>
        <w:rPr>
          <w:rFonts w:ascii="Times New Roman" w:hAnsi="Times New Roman" w:cs="Times New Roman" w:eastAsiaTheme="minorEastAsia"/>
          <w:color w:val="000000" w:themeColor="text1"/>
          <w:vertAlign w:val="superscript"/>
          <w14:textFill>
            <w14:solidFill>
              <w14:schemeClr w14:val="tx1"/>
            </w14:solidFill>
          </w14:textFill>
        </w:rPr>
        <w:fldChar w:fldCharType="separate"/>
      </w:r>
      <w:r>
        <w:rPr>
          <w:rFonts w:ascii="Times New Roman" w:hAnsi="Times New Roman" w:cs="Times New Roman" w:eastAsiaTheme="minorEastAsia"/>
          <w:color w:val="000000" w:themeColor="text1"/>
          <w:vertAlign w:val="superscript"/>
          <w14:textFill>
            <w14:solidFill>
              <w14:schemeClr w14:val="tx1"/>
            </w14:solidFill>
          </w14:textFill>
        </w:rPr>
        <w:t>[14]</w:t>
      </w:r>
      <w:r>
        <w:rPr>
          <w:rFonts w:ascii="Times New Roman" w:hAnsi="Times New Roman" w:cs="Times New Roman" w:eastAsiaTheme="minorEastAsia"/>
          <w:color w:val="000000" w:themeColor="text1"/>
          <w:vertAlign w:val="superscript"/>
          <w14:textFill>
            <w14:solidFill>
              <w14:schemeClr w14:val="tx1"/>
            </w14:solidFill>
          </w14:textFill>
        </w:rPr>
        <w:fldChar w:fldCharType="end"/>
      </w:r>
      <w:r>
        <w:rPr>
          <w:rFonts w:ascii="Times New Roman" w:hAnsi="Times New Roman" w:cs="Times New Roman" w:eastAsiaTheme="minorEastAsia"/>
          <w:color w:val="000000" w:themeColor="text1"/>
          <w14:textFill>
            <w14:solidFill>
              <w14:schemeClr w14:val="tx1"/>
            </w14:solidFill>
          </w14:textFill>
        </w:rPr>
        <w:t>。</w:t>
      </w:r>
    </w:p>
    <w:p w14:paraId="695FF5E0">
      <w:pPr>
        <w:keepNext w:val="0"/>
        <w:keepLines w:val="0"/>
        <w:pageBreakBefore w:val="0"/>
        <w:widowControl w:val="0"/>
        <w:kinsoku/>
        <w:wordWrap/>
        <w:overflowPunct/>
        <w:topLinePunct w:val="0"/>
        <w:autoSpaceDE/>
        <w:autoSpaceDN/>
        <w:bidi w:val="0"/>
        <w:adjustRightInd w:val="0"/>
        <w:snapToGrid/>
        <w:spacing w:line="480" w:lineRule="exact"/>
        <w:textAlignment w:val="auto"/>
        <w:outlineLvl w:val="0"/>
        <w:rPr>
          <w:rFonts w:hint="eastAsia" w:ascii="黑体" w:hAnsi="黑体" w:eastAsia="黑体"/>
          <w:b/>
          <w:bCs/>
          <w:sz w:val="30"/>
          <w:szCs w:val="30"/>
        </w:rPr>
      </w:pPr>
      <w:bookmarkStart w:id="37" w:name="_Toc16346"/>
      <w:r>
        <w:rPr>
          <w:rFonts w:hint="eastAsia" w:ascii="黑体" w:hAnsi="黑体" w:eastAsia="黑体"/>
          <w:b/>
          <w:bCs/>
          <w:sz w:val="30"/>
          <w:szCs w:val="30"/>
        </w:rPr>
        <w:t>三、</w:t>
      </w:r>
      <w:r>
        <w:rPr>
          <w:rFonts w:ascii="黑体" w:hAnsi="黑体" w:eastAsia="黑体"/>
          <w:b/>
          <w:bCs/>
          <w:sz w:val="30"/>
          <w:szCs w:val="30"/>
        </w:rPr>
        <w:t>结果与讨论</w:t>
      </w:r>
      <w:bookmarkEnd w:id="37"/>
    </w:p>
    <w:p w14:paraId="21687AD4">
      <w:pPr>
        <w:pStyle w:val="3"/>
        <w:rPr>
          <w:rFonts w:hint="eastAsia" w:ascii="楷体" w:hAnsi="楷体" w:eastAsia="楷体" w:cs="Times New Roman"/>
          <w:color w:val="000000" w:themeColor="text1"/>
          <w:sz w:val="28"/>
          <w:szCs w:val="28"/>
          <w14:textFill>
            <w14:solidFill>
              <w14:schemeClr w14:val="tx1"/>
            </w14:solidFill>
          </w14:textFill>
        </w:rPr>
      </w:pPr>
      <w:bookmarkStart w:id="38" w:name="_Toc19270"/>
      <w:r>
        <w:rPr>
          <w:rFonts w:hint="eastAsia" w:ascii="楷体" w:hAnsi="楷体" w:eastAsia="楷体" w:cs="Times New Roman"/>
          <w:color w:val="000000" w:themeColor="text1"/>
          <w:sz w:val="28"/>
          <w:szCs w:val="28"/>
          <w14:textFill>
            <w14:solidFill>
              <w14:schemeClr w14:val="tx1"/>
            </w14:solidFill>
          </w14:textFill>
        </w:rPr>
        <w:t>（一）</w:t>
      </w:r>
      <w:r>
        <w:rPr>
          <w:rFonts w:ascii="楷体" w:hAnsi="楷体" w:eastAsia="楷体" w:cs="Times New Roman"/>
          <w:color w:val="000000" w:themeColor="text1"/>
          <w:sz w:val="28"/>
          <w:szCs w:val="28"/>
          <w14:textFill>
            <w14:solidFill>
              <w14:schemeClr w14:val="tx1"/>
            </w14:solidFill>
          </w14:textFill>
        </w:rPr>
        <w:t>实验结果</w:t>
      </w:r>
      <w:bookmarkEnd w:id="38"/>
    </w:p>
    <w:p w14:paraId="403CD26F">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39" w:name="_Toc9017"/>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1、</w:t>
      </w:r>
      <w:r>
        <w:rPr>
          <w:rFonts w:cs="Times New Roman" w:asciiTheme="majorEastAsia" w:hAnsiTheme="majorEastAsia" w:eastAsiaTheme="majorEastAsia"/>
          <w:b/>
          <w:bCs/>
          <w:color w:val="000000" w:themeColor="text1"/>
          <w:kern w:val="0"/>
          <w:sz w:val="24"/>
          <w:lang w:bidi="ar"/>
          <w14:textFill>
            <w14:solidFill>
              <w14:schemeClr w14:val="tx1"/>
            </w14:solidFill>
          </w14:textFill>
        </w:rPr>
        <w:t>实验结果分析</w:t>
      </w:r>
      <w:bookmarkEnd w:id="39"/>
    </w:p>
    <w:p w14:paraId="7861C7BC">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本文所有算法均采用5折交叉验证（5-fold cross-validation）和独立测试数据集评估模型的性能。在五折交叉验证中数据集被均分为五份，其中四份用于训练，一份用于测试，五次测试集的均值用作评估这次五折交叉验证的最终结果。表3和表4分别展示了stage-1模型和stage-2模型的五折交叉验证的实验结果，其中，Stage-1模型表示第一阶段多源特征筛选模型，主要用于大规模候选肽的高通量主筛；Stage-2（又称SaProt‑ADP）模型表示第二阶段结构感知模型，主要用于对Stage-1获得的高置信候选肽进行结构感知精排。</w:t>
      </w:r>
    </w:p>
    <w:p w14:paraId="5A386836">
      <w:pPr>
        <w:pStyle w:val="5"/>
        <w:jc w:val="center"/>
        <w:rPr>
          <w:rFonts w:hint="eastAsia" w:ascii="宋体" w:hAnsi="宋体" w:eastAsia="宋体" w:cs="Times New Roman"/>
          <w:color w:val="000000" w:themeColor="text1"/>
          <w:sz w:val="24"/>
          <w:szCs w:val="24"/>
          <w14:textFill>
            <w14:solidFill>
              <w14:schemeClr w14:val="tx1"/>
            </w14:solidFill>
          </w14:textFill>
        </w:rPr>
      </w:pPr>
      <w:bookmarkStart w:id="40" w:name="_Toc228654624"/>
      <w:bookmarkStart w:id="41" w:name="_Toc228655974"/>
      <w:bookmarkStart w:id="42" w:name="_Hlk191141660"/>
      <w:r>
        <w:rPr>
          <w:rFonts w:ascii="宋体" w:hAnsi="宋体" w:eastAsia="宋体" w:cs="Times New Roman"/>
          <w:color w:val="000000" w:themeColor="text1"/>
          <w:sz w:val="24"/>
          <w:szCs w:val="24"/>
          <w14:textFill>
            <w14:solidFill>
              <w14:schemeClr w14:val="tx1"/>
            </w14:solidFill>
          </w14:textFill>
        </w:rPr>
        <w:t xml:space="preserve">表 </w:t>
      </w:r>
      <w:r>
        <w:rPr>
          <w:rFonts w:ascii="宋体" w:hAnsi="宋体" w:eastAsia="宋体" w:cs="Times New Roman"/>
          <w:color w:val="000000" w:themeColor="text1"/>
          <w:sz w:val="24"/>
          <w:szCs w:val="24"/>
          <w14:textFill>
            <w14:solidFill>
              <w14:schemeClr w14:val="tx1"/>
            </w14:solidFill>
          </w14:textFill>
        </w:rPr>
        <w:fldChar w:fldCharType="begin"/>
      </w:r>
      <w:r>
        <w:rPr>
          <w:rFonts w:ascii="宋体" w:hAnsi="宋体" w:eastAsia="宋体" w:cs="Times New Roman"/>
          <w:color w:val="000000" w:themeColor="text1"/>
          <w:sz w:val="24"/>
          <w:szCs w:val="24"/>
          <w14:textFill>
            <w14:solidFill>
              <w14:schemeClr w14:val="tx1"/>
            </w14:solidFill>
          </w14:textFill>
        </w:rPr>
        <w:instrText xml:space="preserve"> SEQ 表 \* ARABIC </w:instrText>
      </w:r>
      <w:r>
        <w:rPr>
          <w:rFonts w:ascii="宋体" w:hAnsi="宋体" w:eastAsia="宋体" w:cs="Times New Roman"/>
          <w:color w:val="000000" w:themeColor="text1"/>
          <w:sz w:val="24"/>
          <w:szCs w:val="24"/>
          <w14:textFill>
            <w14:solidFill>
              <w14:schemeClr w14:val="tx1"/>
            </w14:solidFill>
          </w14:textFill>
        </w:rPr>
        <w:fldChar w:fldCharType="separate"/>
      </w:r>
      <w:r>
        <w:rPr>
          <w:rFonts w:ascii="宋体" w:hAnsi="宋体" w:eastAsia="宋体" w:cs="Times New Roman"/>
          <w:color w:val="000000" w:themeColor="text1"/>
          <w:sz w:val="24"/>
          <w:szCs w:val="24"/>
          <w14:textFill>
            <w14:solidFill>
              <w14:schemeClr w14:val="tx1"/>
            </w14:solidFill>
          </w14:textFill>
        </w:rPr>
        <w:t>3</w:t>
      </w:r>
      <w:r>
        <w:rPr>
          <w:rFonts w:ascii="宋体" w:hAnsi="宋体" w:eastAsia="宋体" w:cs="Times New Roman"/>
          <w:color w:val="000000" w:themeColor="text1"/>
          <w:sz w:val="24"/>
          <w:szCs w:val="24"/>
          <w14:textFill>
            <w14:solidFill>
              <w14:schemeClr w14:val="tx1"/>
            </w14:solidFill>
          </w14:textFill>
        </w:rPr>
        <w:fldChar w:fldCharType="end"/>
      </w:r>
      <w:bookmarkStart w:id="43" w:name="_Toc24247"/>
      <w:r>
        <w:rPr>
          <w:rFonts w:ascii="宋体" w:hAnsi="宋体" w:eastAsia="宋体" w:cs="Times New Roman"/>
          <w:color w:val="000000" w:themeColor="text1"/>
          <w:sz w:val="24"/>
          <w:szCs w:val="24"/>
          <w14:textFill>
            <w14:solidFill>
              <w14:schemeClr w14:val="tx1"/>
            </w14:solidFill>
          </w14:textFill>
        </w:rPr>
        <w:t xml:space="preserve"> Stage-1模型的五折交叉验证结果</w:t>
      </w:r>
      <w:bookmarkEnd w:id="40"/>
      <w:bookmarkEnd w:id="41"/>
      <w:bookmarkEnd w:id="43"/>
    </w:p>
    <w:tbl>
      <w:tblPr>
        <w:tblStyle w:val="18"/>
        <w:tblW w:w="842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2"/>
        <w:gridCol w:w="1458"/>
        <w:gridCol w:w="1458"/>
        <w:gridCol w:w="1458"/>
        <w:gridCol w:w="1458"/>
        <w:gridCol w:w="1458"/>
      </w:tblGrid>
      <w:tr w14:paraId="1B7BE7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891" w:type="dxa"/>
            <w:tcBorders>
              <w:top w:val="single" w:color="000000" w:sz="12" w:space="0"/>
              <w:bottom w:val="single" w:color="000000" w:sz="4" w:space="0"/>
              <w:tl2br w:val="nil"/>
            </w:tcBorders>
            <w:shd w:val="clear" w:color="auto" w:fill="FFFFFF"/>
          </w:tcPr>
          <w:p w14:paraId="4102D5A1">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Fold</w:t>
            </w:r>
          </w:p>
        </w:tc>
        <w:tc>
          <w:tcPr>
            <w:tcW w:w="963" w:type="dxa"/>
            <w:tcBorders>
              <w:top w:val="single" w:color="000000" w:sz="12" w:space="0"/>
              <w:bottom w:val="single" w:color="000000" w:sz="4" w:space="0"/>
            </w:tcBorders>
            <w:shd w:val="clear" w:color="auto" w:fill="FFFFFF"/>
          </w:tcPr>
          <w:p w14:paraId="24CA5E8D">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ACC(%)</w:t>
            </w:r>
          </w:p>
        </w:tc>
        <w:tc>
          <w:tcPr>
            <w:tcW w:w="1104" w:type="dxa"/>
            <w:tcBorders>
              <w:top w:val="single" w:color="000000" w:sz="12" w:space="0"/>
              <w:bottom w:val="single" w:color="000000" w:sz="4" w:space="0"/>
            </w:tcBorders>
            <w:shd w:val="clear" w:color="auto" w:fill="FFFFFF"/>
          </w:tcPr>
          <w:p w14:paraId="029A11A1">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SN(%)</w:t>
            </w:r>
          </w:p>
        </w:tc>
        <w:tc>
          <w:tcPr>
            <w:tcW w:w="1232" w:type="dxa"/>
            <w:tcBorders>
              <w:top w:val="single" w:color="000000" w:sz="12" w:space="0"/>
              <w:bottom w:val="single" w:color="000000" w:sz="4" w:space="0"/>
            </w:tcBorders>
            <w:shd w:val="clear" w:color="auto" w:fill="FFFFFF"/>
          </w:tcPr>
          <w:p w14:paraId="6BA30F20">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SP(%)</w:t>
            </w:r>
          </w:p>
        </w:tc>
        <w:tc>
          <w:tcPr>
            <w:tcW w:w="730" w:type="dxa"/>
            <w:tcBorders>
              <w:top w:val="single" w:color="000000" w:sz="12" w:space="0"/>
              <w:bottom w:val="single" w:color="000000" w:sz="4" w:space="0"/>
            </w:tcBorders>
            <w:shd w:val="clear" w:color="auto" w:fill="FFFFFF"/>
          </w:tcPr>
          <w:p w14:paraId="69881CF6">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MCC(%)</w:t>
            </w:r>
          </w:p>
        </w:tc>
        <w:tc>
          <w:tcPr>
            <w:tcW w:w="2501" w:type="dxa"/>
            <w:tcBorders>
              <w:top w:val="single" w:color="000000" w:sz="12" w:space="0"/>
              <w:bottom w:val="single" w:color="000000" w:sz="4" w:space="0"/>
            </w:tcBorders>
            <w:shd w:val="clear" w:color="auto" w:fill="FFFFFF"/>
          </w:tcPr>
          <w:p w14:paraId="25CBEE26">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AUC(%)</w:t>
            </w:r>
          </w:p>
        </w:tc>
      </w:tr>
      <w:tr w14:paraId="18EF6E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891" w:type="dxa"/>
            <w:tcBorders>
              <w:top w:val="single" w:color="000000" w:sz="4" w:space="0"/>
              <w:bottom w:val="nil"/>
            </w:tcBorders>
            <w:shd w:val="clear" w:color="auto" w:fill="FFFFFF"/>
          </w:tcPr>
          <w:p w14:paraId="7B5B7685">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1</w:t>
            </w:r>
          </w:p>
        </w:tc>
        <w:tc>
          <w:tcPr>
            <w:tcW w:w="963" w:type="dxa"/>
            <w:tcBorders>
              <w:top w:val="single" w:color="000000" w:sz="4" w:space="0"/>
              <w:bottom w:val="nil"/>
            </w:tcBorders>
            <w:shd w:val="clear" w:color="auto" w:fill="FFFFFF"/>
          </w:tcPr>
          <w:p w14:paraId="7EDED13C">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86.30</w:t>
            </w:r>
          </w:p>
        </w:tc>
        <w:tc>
          <w:tcPr>
            <w:tcW w:w="1104" w:type="dxa"/>
            <w:tcBorders>
              <w:top w:val="single" w:color="000000" w:sz="4" w:space="0"/>
              <w:bottom w:val="nil"/>
            </w:tcBorders>
            <w:shd w:val="clear" w:color="auto" w:fill="FFFFFF"/>
          </w:tcPr>
          <w:p w14:paraId="450DF3FE">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76.47</w:t>
            </w:r>
          </w:p>
        </w:tc>
        <w:tc>
          <w:tcPr>
            <w:tcW w:w="1232" w:type="dxa"/>
            <w:tcBorders>
              <w:top w:val="single" w:color="000000" w:sz="4" w:space="0"/>
              <w:bottom w:val="nil"/>
            </w:tcBorders>
            <w:shd w:val="clear" w:color="auto" w:fill="FFFFFF"/>
          </w:tcPr>
          <w:p w14:paraId="4356213A">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94.87</w:t>
            </w:r>
          </w:p>
        </w:tc>
        <w:tc>
          <w:tcPr>
            <w:tcW w:w="730" w:type="dxa"/>
            <w:tcBorders>
              <w:top w:val="single" w:color="000000" w:sz="4" w:space="0"/>
              <w:bottom w:val="nil"/>
            </w:tcBorders>
            <w:shd w:val="clear" w:color="auto" w:fill="FFFFFF"/>
          </w:tcPr>
          <w:p w14:paraId="5A45929F">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73.19</w:t>
            </w:r>
          </w:p>
        </w:tc>
        <w:tc>
          <w:tcPr>
            <w:tcW w:w="2501" w:type="dxa"/>
            <w:tcBorders>
              <w:top w:val="single" w:color="000000" w:sz="4" w:space="0"/>
              <w:bottom w:val="nil"/>
            </w:tcBorders>
            <w:shd w:val="clear" w:color="auto" w:fill="FFFFFF"/>
          </w:tcPr>
          <w:p w14:paraId="3A16D4D3">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95.63</w:t>
            </w:r>
          </w:p>
        </w:tc>
      </w:tr>
      <w:tr w14:paraId="394E41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891" w:type="dxa"/>
            <w:tcBorders>
              <w:top w:val="nil"/>
              <w:bottom w:val="nil"/>
            </w:tcBorders>
            <w:shd w:val="clear" w:color="auto" w:fill="FFFFFF"/>
          </w:tcPr>
          <w:p w14:paraId="3462B826">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2</w:t>
            </w:r>
          </w:p>
        </w:tc>
        <w:tc>
          <w:tcPr>
            <w:tcW w:w="963" w:type="dxa"/>
            <w:tcBorders>
              <w:top w:val="nil"/>
              <w:bottom w:val="nil"/>
            </w:tcBorders>
            <w:shd w:val="clear" w:color="auto" w:fill="FFFFFF"/>
          </w:tcPr>
          <w:p w14:paraId="4A3F50B0">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87.67</w:t>
            </w:r>
          </w:p>
        </w:tc>
        <w:tc>
          <w:tcPr>
            <w:tcW w:w="1104" w:type="dxa"/>
            <w:tcBorders>
              <w:top w:val="nil"/>
              <w:bottom w:val="nil"/>
            </w:tcBorders>
            <w:shd w:val="clear" w:color="auto" w:fill="FFFFFF"/>
          </w:tcPr>
          <w:p w14:paraId="7A074354">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87.80</w:t>
            </w:r>
          </w:p>
        </w:tc>
        <w:tc>
          <w:tcPr>
            <w:tcW w:w="1232" w:type="dxa"/>
            <w:tcBorders>
              <w:top w:val="nil"/>
              <w:bottom w:val="nil"/>
            </w:tcBorders>
            <w:shd w:val="clear" w:color="auto" w:fill="FFFFFF"/>
          </w:tcPr>
          <w:p w14:paraId="03AEF417">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87.50</w:t>
            </w:r>
          </w:p>
        </w:tc>
        <w:tc>
          <w:tcPr>
            <w:tcW w:w="730" w:type="dxa"/>
            <w:tcBorders>
              <w:top w:val="nil"/>
              <w:bottom w:val="nil"/>
            </w:tcBorders>
            <w:shd w:val="clear" w:color="auto" w:fill="FFFFFF"/>
          </w:tcPr>
          <w:p w14:paraId="69D6D285">
            <w:pPr>
              <w:spacing w:line="240" w:lineRule="auto"/>
              <w:jc w:val="center"/>
              <w:rPr>
                <w:rFonts w:hint="eastAsia" w:cs="Times New Roman" w:asciiTheme="minorEastAsia" w:hAnsiTheme="minorEastAsia"/>
                <w:color w:val="000000" w:themeColor="text1"/>
                <w:kern w:val="0"/>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75.08</w:t>
            </w:r>
          </w:p>
        </w:tc>
        <w:tc>
          <w:tcPr>
            <w:tcW w:w="2501" w:type="dxa"/>
            <w:tcBorders>
              <w:top w:val="nil"/>
              <w:bottom w:val="nil"/>
            </w:tcBorders>
            <w:shd w:val="clear" w:color="auto" w:fill="FFFFFF"/>
          </w:tcPr>
          <w:p w14:paraId="7157330C">
            <w:pPr>
              <w:spacing w:line="240" w:lineRule="auto"/>
              <w:jc w:val="center"/>
              <w:rPr>
                <w:rFonts w:hint="eastAsia" w:cs="Times New Roman" w:asciiTheme="minorEastAsia" w:hAnsiTheme="minorEastAsia"/>
                <w:color w:val="000000" w:themeColor="text1"/>
                <w:kern w:val="0"/>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95.50</w:t>
            </w:r>
          </w:p>
        </w:tc>
      </w:tr>
      <w:tr w14:paraId="1769C0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891" w:type="dxa"/>
            <w:tcBorders>
              <w:top w:val="nil"/>
              <w:bottom w:val="nil"/>
            </w:tcBorders>
            <w:shd w:val="clear" w:color="auto" w:fill="FFFFFF"/>
          </w:tcPr>
          <w:p w14:paraId="0A30EC5C">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3</w:t>
            </w:r>
          </w:p>
        </w:tc>
        <w:tc>
          <w:tcPr>
            <w:tcW w:w="963" w:type="dxa"/>
            <w:tcBorders>
              <w:top w:val="nil"/>
              <w:bottom w:val="nil"/>
            </w:tcBorders>
            <w:shd w:val="clear" w:color="auto" w:fill="FFFFFF"/>
          </w:tcPr>
          <w:p w14:paraId="11E83F45">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90.28</w:t>
            </w:r>
          </w:p>
        </w:tc>
        <w:tc>
          <w:tcPr>
            <w:tcW w:w="1104" w:type="dxa"/>
            <w:tcBorders>
              <w:top w:val="nil"/>
              <w:bottom w:val="nil"/>
            </w:tcBorders>
            <w:shd w:val="clear" w:color="auto" w:fill="FFFFFF"/>
          </w:tcPr>
          <w:p w14:paraId="15CFF63D">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83.33</w:t>
            </w:r>
          </w:p>
        </w:tc>
        <w:tc>
          <w:tcPr>
            <w:tcW w:w="1232" w:type="dxa"/>
            <w:tcBorders>
              <w:top w:val="nil"/>
              <w:bottom w:val="nil"/>
            </w:tcBorders>
            <w:shd w:val="clear" w:color="auto" w:fill="FFFFFF"/>
          </w:tcPr>
          <w:p w14:paraId="6626302A">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97.22</w:t>
            </w:r>
          </w:p>
        </w:tc>
        <w:tc>
          <w:tcPr>
            <w:tcW w:w="730" w:type="dxa"/>
            <w:tcBorders>
              <w:top w:val="nil"/>
              <w:bottom w:val="nil"/>
            </w:tcBorders>
            <w:shd w:val="clear" w:color="auto" w:fill="FFFFFF"/>
          </w:tcPr>
          <w:p w14:paraId="6212A953">
            <w:pPr>
              <w:spacing w:line="240" w:lineRule="auto"/>
              <w:jc w:val="center"/>
              <w:rPr>
                <w:rFonts w:hint="eastAsia" w:cs="Times New Roman" w:asciiTheme="minorEastAsia" w:hAnsiTheme="minorEastAsia"/>
                <w:color w:val="000000" w:themeColor="text1"/>
                <w:kern w:val="0"/>
                <w:sz w:val="24"/>
                <w14:textFill>
                  <w14:solidFill>
                    <w14:schemeClr w14:val="tx1"/>
                  </w14:solidFill>
                </w14:textFill>
              </w:rPr>
            </w:pPr>
            <w:r>
              <w:rPr>
                <w:rFonts w:cs="Times New Roman" w:asciiTheme="minorEastAsia" w:hAnsiTheme="minorEastAsia"/>
                <w:color w:val="000000" w:themeColor="text1"/>
                <w:kern w:val="0"/>
                <w:sz w:val="24"/>
                <w14:textFill>
                  <w14:solidFill>
                    <w14:schemeClr w14:val="tx1"/>
                  </w14:solidFill>
                </w14:textFill>
              </w:rPr>
              <w:t>81.34</w:t>
            </w:r>
          </w:p>
        </w:tc>
        <w:tc>
          <w:tcPr>
            <w:tcW w:w="2501" w:type="dxa"/>
            <w:tcBorders>
              <w:top w:val="nil"/>
              <w:bottom w:val="nil"/>
            </w:tcBorders>
            <w:shd w:val="clear" w:color="auto" w:fill="FFFFFF"/>
          </w:tcPr>
          <w:p w14:paraId="00F6CED7">
            <w:pPr>
              <w:spacing w:line="240" w:lineRule="auto"/>
              <w:jc w:val="center"/>
              <w:rPr>
                <w:rFonts w:hint="eastAsia" w:cs="Times New Roman" w:asciiTheme="minorEastAsia" w:hAnsiTheme="minorEastAsia"/>
                <w:color w:val="000000" w:themeColor="text1"/>
                <w:kern w:val="0"/>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97.61</w:t>
            </w:r>
          </w:p>
        </w:tc>
      </w:tr>
      <w:tr w14:paraId="23FE2C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891" w:type="dxa"/>
            <w:tcBorders>
              <w:top w:val="nil"/>
              <w:bottom w:val="nil"/>
            </w:tcBorders>
            <w:shd w:val="clear" w:color="auto" w:fill="FFFFFF"/>
          </w:tcPr>
          <w:p w14:paraId="4F1D43D6">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4</w:t>
            </w:r>
          </w:p>
        </w:tc>
        <w:tc>
          <w:tcPr>
            <w:tcW w:w="963" w:type="dxa"/>
            <w:tcBorders>
              <w:top w:val="nil"/>
              <w:bottom w:val="nil"/>
            </w:tcBorders>
            <w:shd w:val="clear" w:color="auto" w:fill="FFFFFF"/>
          </w:tcPr>
          <w:p w14:paraId="30C0483D">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90.28</w:t>
            </w:r>
          </w:p>
        </w:tc>
        <w:tc>
          <w:tcPr>
            <w:tcW w:w="1104" w:type="dxa"/>
            <w:tcBorders>
              <w:top w:val="nil"/>
              <w:bottom w:val="nil"/>
            </w:tcBorders>
            <w:shd w:val="clear" w:color="auto" w:fill="FFFFFF"/>
          </w:tcPr>
          <w:p w14:paraId="5BA02613">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82.86</w:t>
            </w:r>
          </w:p>
        </w:tc>
        <w:tc>
          <w:tcPr>
            <w:tcW w:w="1232" w:type="dxa"/>
            <w:tcBorders>
              <w:top w:val="nil"/>
              <w:bottom w:val="nil"/>
            </w:tcBorders>
            <w:shd w:val="clear" w:color="auto" w:fill="FFFFFF"/>
          </w:tcPr>
          <w:p w14:paraId="29E17F8B">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97.30</w:t>
            </w:r>
          </w:p>
        </w:tc>
        <w:tc>
          <w:tcPr>
            <w:tcW w:w="730" w:type="dxa"/>
            <w:tcBorders>
              <w:top w:val="nil"/>
              <w:bottom w:val="nil"/>
            </w:tcBorders>
            <w:shd w:val="clear" w:color="auto" w:fill="FFFFFF"/>
          </w:tcPr>
          <w:p w14:paraId="4AE6CCC4">
            <w:pPr>
              <w:spacing w:line="240" w:lineRule="auto"/>
              <w:jc w:val="center"/>
              <w:rPr>
                <w:rFonts w:hint="eastAsia" w:cs="Times New Roman" w:asciiTheme="minorEastAsia" w:hAnsiTheme="minorEastAsia"/>
                <w:color w:val="000000" w:themeColor="text1"/>
                <w:kern w:val="0"/>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81.26</w:t>
            </w:r>
          </w:p>
        </w:tc>
        <w:tc>
          <w:tcPr>
            <w:tcW w:w="2501" w:type="dxa"/>
            <w:tcBorders>
              <w:top w:val="nil"/>
              <w:bottom w:val="nil"/>
            </w:tcBorders>
            <w:shd w:val="clear" w:color="auto" w:fill="FFFFFF"/>
          </w:tcPr>
          <w:p w14:paraId="134A49CE">
            <w:pPr>
              <w:spacing w:line="240" w:lineRule="auto"/>
              <w:jc w:val="center"/>
              <w:rPr>
                <w:rFonts w:hint="eastAsia" w:cs="Times New Roman" w:asciiTheme="minorEastAsia" w:hAnsiTheme="minorEastAsia"/>
                <w:color w:val="000000" w:themeColor="text1"/>
                <w:kern w:val="0"/>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97.53</w:t>
            </w:r>
          </w:p>
        </w:tc>
      </w:tr>
      <w:tr w14:paraId="6A3C32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891" w:type="dxa"/>
            <w:tcBorders>
              <w:top w:val="nil"/>
              <w:bottom w:val="nil"/>
            </w:tcBorders>
            <w:shd w:val="clear" w:color="auto" w:fill="FFFFFF"/>
          </w:tcPr>
          <w:p w14:paraId="68ED65E9">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5</w:t>
            </w:r>
          </w:p>
        </w:tc>
        <w:tc>
          <w:tcPr>
            <w:tcW w:w="963" w:type="dxa"/>
            <w:tcBorders>
              <w:top w:val="nil"/>
              <w:bottom w:val="nil"/>
            </w:tcBorders>
            <w:shd w:val="clear" w:color="auto" w:fill="FFFFFF"/>
          </w:tcPr>
          <w:p w14:paraId="766B7E66">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83.33</w:t>
            </w:r>
          </w:p>
        </w:tc>
        <w:tc>
          <w:tcPr>
            <w:tcW w:w="1104" w:type="dxa"/>
            <w:tcBorders>
              <w:top w:val="nil"/>
              <w:bottom w:val="nil"/>
            </w:tcBorders>
            <w:shd w:val="clear" w:color="auto" w:fill="FFFFFF"/>
          </w:tcPr>
          <w:p w14:paraId="14DCF855">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80.00</w:t>
            </w:r>
          </w:p>
        </w:tc>
        <w:tc>
          <w:tcPr>
            <w:tcW w:w="1232" w:type="dxa"/>
            <w:tcBorders>
              <w:top w:val="nil"/>
              <w:bottom w:val="nil"/>
            </w:tcBorders>
            <w:shd w:val="clear" w:color="auto" w:fill="FFFFFF"/>
          </w:tcPr>
          <w:p w14:paraId="7C2F904B">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86.49</w:t>
            </w:r>
          </w:p>
        </w:tc>
        <w:tc>
          <w:tcPr>
            <w:tcW w:w="730" w:type="dxa"/>
            <w:tcBorders>
              <w:top w:val="nil"/>
              <w:bottom w:val="nil"/>
            </w:tcBorders>
            <w:shd w:val="clear" w:color="auto" w:fill="FFFFFF"/>
          </w:tcPr>
          <w:p w14:paraId="47BF8F06">
            <w:pPr>
              <w:spacing w:line="240" w:lineRule="auto"/>
              <w:jc w:val="center"/>
              <w:rPr>
                <w:rFonts w:hint="eastAsia" w:cs="Times New Roman" w:asciiTheme="minorEastAsia" w:hAnsiTheme="minorEastAsia"/>
                <w:color w:val="000000" w:themeColor="text1"/>
                <w:kern w:val="0"/>
                <w:sz w:val="24"/>
                <w14:textFill>
                  <w14:solidFill>
                    <w14:schemeClr w14:val="tx1"/>
                  </w14:solidFill>
                </w14:textFill>
              </w:rPr>
            </w:pPr>
            <w:r>
              <w:rPr>
                <w:rFonts w:cs="Times New Roman" w:asciiTheme="minorEastAsia" w:hAnsiTheme="minorEastAsia"/>
                <w:color w:val="000000" w:themeColor="text1"/>
                <w:kern w:val="0"/>
                <w:sz w:val="24"/>
                <w14:textFill>
                  <w14:solidFill>
                    <w14:schemeClr w14:val="tx1"/>
                  </w14:solidFill>
                </w14:textFill>
              </w:rPr>
              <w:t>66.69</w:t>
            </w:r>
          </w:p>
        </w:tc>
        <w:tc>
          <w:tcPr>
            <w:tcW w:w="2501" w:type="dxa"/>
            <w:tcBorders>
              <w:top w:val="nil"/>
              <w:bottom w:val="nil"/>
            </w:tcBorders>
            <w:shd w:val="clear" w:color="auto" w:fill="FFFFFF"/>
          </w:tcPr>
          <w:p w14:paraId="1ADEA3BC">
            <w:pPr>
              <w:spacing w:line="240" w:lineRule="auto"/>
              <w:jc w:val="center"/>
              <w:rPr>
                <w:rFonts w:hint="eastAsia" w:cs="Times New Roman" w:asciiTheme="minorEastAsia" w:hAnsiTheme="minorEastAsia"/>
                <w:color w:val="000000" w:themeColor="text1"/>
                <w:kern w:val="0"/>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91.43</w:t>
            </w:r>
          </w:p>
        </w:tc>
      </w:tr>
      <w:tr w14:paraId="10F0BD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891" w:type="dxa"/>
            <w:tcBorders>
              <w:top w:val="nil"/>
              <w:bottom w:val="single" w:color="000000" w:sz="12" w:space="0"/>
            </w:tcBorders>
            <w:shd w:val="clear" w:color="auto" w:fill="FFFFFF"/>
          </w:tcPr>
          <w:p w14:paraId="22786B1B">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Mean±std</w:t>
            </w:r>
          </w:p>
        </w:tc>
        <w:tc>
          <w:tcPr>
            <w:tcW w:w="963" w:type="dxa"/>
            <w:tcBorders>
              <w:top w:val="nil"/>
              <w:bottom w:val="single" w:color="000000" w:sz="12" w:space="0"/>
            </w:tcBorders>
            <w:shd w:val="clear" w:color="auto" w:fill="FFFFFF"/>
          </w:tcPr>
          <w:p w14:paraId="00B1B956">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87.57±2.76</w:t>
            </w:r>
          </w:p>
        </w:tc>
        <w:tc>
          <w:tcPr>
            <w:tcW w:w="1104" w:type="dxa"/>
            <w:tcBorders>
              <w:top w:val="nil"/>
              <w:bottom w:val="single" w:color="000000" w:sz="12" w:space="0"/>
            </w:tcBorders>
            <w:shd w:val="clear" w:color="auto" w:fill="FFFFFF"/>
          </w:tcPr>
          <w:p w14:paraId="3D1FD981">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82.09±3.70</w:t>
            </w:r>
          </w:p>
        </w:tc>
        <w:tc>
          <w:tcPr>
            <w:tcW w:w="1232" w:type="dxa"/>
            <w:tcBorders>
              <w:top w:val="nil"/>
              <w:bottom w:val="single" w:color="000000" w:sz="12" w:space="0"/>
            </w:tcBorders>
            <w:shd w:val="clear" w:color="auto" w:fill="FFFFFF"/>
          </w:tcPr>
          <w:p w14:paraId="09E80BB9">
            <w:pPr>
              <w:spacing w:line="240" w:lineRule="auto"/>
              <w:jc w:val="center"/>
              <w:rPr>
                <w:rFonts w:hint="eastAsia" w:cs="Times New Roman" w:asciiTheme="minorEastAsia" w:hAnsiTheme="minorEastAsia"/>
                <w:color w:val="000000" w:themeColor="text1"/>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92.68±4.62</w:t>
            </w:r>
          </w:p>
        </w:tc>
        <w:tc>
          <w:tcPr>
            <w:tcW w:w="730" w:type="dxa"/>
            <w:tcBorders>
              <w:top w:val="nil"/>
              <w:bottom w:val="single" w:color="000000" w:sz="12" w:space="0"/>
            </w:tcBorders>
            <w:shd w:val="clear" w:color="auto" w:fill="FFFFFF"/>
          </w:tcPr>
          <w:p w14:paraId="26167FB1">
            <w:pPr>
              <w:spacing w:line="240" w:lineRule="auto"/>
              <w:jc w:val="center"/>
              <w:rPr>
                <w:rFonts w:hint="eastAsia" w:cs="Times New Roman" w:asciiTheme="minorEastAsia" w:hAnsiTheme="minorEastAsia"/>
                <w:color w:val="000000" w:themeColor="text1"/>
                <w:kern w:val="0"/>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75.51±5.55</w:t>
            </w:r>
          </w:p>
        </w:tc>
        <w:tc>
          <w:tcPr>
            <w:tcW w:w="2501" w:type="dxa"/>
            <w:tcBorders>
              <w:top w:val="nil"/>
              <w:bottom w:val="single" w:color="000000" w:sz="12" w:space="0"/>
            </w:tcBorders>
            <w:shd w:val="clear" w:color="auto" w:fill="FFFFFF"/>
          </w:tcPr>
          <w:p w14:paraId="482D67B7">
            <w:pPr>
              <w:spacing w:line="240" w:lineRule="auto"/>
              <w:jc w:val="center"/>
              <w:rPr>
                <w:rFonts w:hint="eastAsia" w:cs="Times New Roman" w:asciiTheme="minorEastAsia" w:hAnsiTheme="minorEastAsia"/>
                <w:color w:val="000000" w:themeColor="text1"/>
                <w:kern w:val="0"/>
                <w:sz w:val="24"/>
                <w14:textFill>
                  <w14:solidFill>
                    <w14:schemeClr w14:val="tx1"/>
                  </w14:solidFill>
                </w14:textFill>
              </w:rPr>
            </w:pPr>
            <w:r>
              <w:rPr>
                <w:rFonts w:cs="Times New Roman" w:asciiTheme="minorEastAsia" w:hAnsiTheme="minorEastAsia"/>
                <w:color w:val="000000" w:themeColor="text1"/>
                <w:sz w:val="24"/>
                <w14:textFill>
                  <w14:solidFill>
                    <w14:schemeClr w14:val="tx1"/>
                  </w14:solidFill>
                </w14:textFill>
              </w:rPr>
              <w:t>95.54±2.22</w:t>
            </w:r>
          </w:p>
        </w:tc>
      </w:tr>
    </w:tbl>
    <w:p w14:paraId="7E92B427">
      <w:pPr>
        <w:pStyle w:val="5"/>
        <w:jc w:val="center"/>
        <w:rPr>
          <w:rFonts w:hint="eastAsia" w:ascii="宋体" w:hAnsi="宋体" w:eastAsia="宋体" w:cs="Times New Roman"/>
          <w:color w:val="000000" w:themeColor="text1"/>
          <w:sz w:val="24"/>
          <w:szCs w:val="24"/>
          <w14:textFill>
            <w14:solidFill>
              <w14:schemeClr w14:val="tx1"/>
            </w14:solidFill>
          </w14:textFill>
        </w:rPr>
      </w:pPr>
      <w:bookmarkStart w:id="44" w:name="_Toc228655975"/>
      <w:bookmarkStart w:id="45" w:name="_Toc228654625"/>
      <w:r>
        <w:rPr>
          <w:rFonts w:ascii="宋体" w:hAnsi="宋体" w:eastAsia="宋体" w:cs="Times New Roman"/>
          <w:color w:val="000000" w:themeColor="text1"/>
          <w:sz w:val="24"/>
          <w:szCs w:val="24"/>
          <w14:textFill>
            <w14:solidFill>
              <w14:schemeClr w14:val="tx1"/>
            </w14:solidFill>
          </w14:textFill>
        </w:rPr>
        <w:t xml:space="preserve">表 </w:t>
      </w:r>
      <w:r>
        <w:rPr>
          <w:rFonts w:ascii="宋体" w:hAnsi="宋体" w:eastAsia="宋体" w:cs="Times New Roman"/>
          <w:color w:val="000000" w:themeColor="text1"/>
          <w:sz w:val="24"/>
          <w:szCs w:val="24"/>
          <w14:textFill>
            <w14:solidFill>
              <w14:schemeClr w14:val="tx1"/>
            </w14:solidFill>
          </w14:textFill>
        </w:rPr>
        <w:fldChar w:fldCharType="begin"/>
      </w:r>
      <w:r>
        <w:rPr>
          <w:rFonts w:ascii="宋体" w:hAnsi="宋体" w:eastAsia="宋体" w:cs="Times New Roman"/>
          <w:color w:val="000000" w:themeColor="text1"/>
          <w:sz w:val="24"/>
          <w:szCs w:val="24"/>
          <w14:textFill>
            <w14:solidFill>
              <w14:schemeClr w14:val="tx1"/>
            </w14:solidFill>
          </w14:textFill>
        </w:rPr>
        <w:instrText xml:space="preserve"> SEQ 表 \* ARABIC </w:instrText>
      </w:r>
      <w:r>
        <w:rPr>
          <w:rFonts w:ascii="宋体" w:hAnsi="宋体" w:eastAsia="宋体" w:cs="Times New Roman"/>
          <w:color w:val="000000" w:themeColor="text1"/>
          <w:sz w:val="24"/>
          <w:szCs w:val="24"/>
          <w14:textFill>
            <w14:solidFill>
              <w14:schemeClr w14:val="tx1"/>
            </w14:solidFill>
          </w14:textFill>
        </w:rPr>
        <w:fldChar w:fldCharType="separate"/>
      </w:r>
      <w:r>
        <w:rPr>
          <w:rFonts w:ascii="宋体" w:hAnsi="宋体" w:eastAsia="宋体" w:cs="Times New Roman"/>
          <w:color w:val="000000" w:themeColor="text1"/>
          <w:sz w:val="24"/>
          <w:szCs w:val="24"/>
          <w14:textFill>
            <w14:solidFill>
              <w14:schemeClr w14:val="tx1"/>
            </w14:solidFill>
          </w14:textFill>
        </w:rPr>
        <w:t>4</w:t>
      </w:r>
      <w:r>
        <w:rPr>
          <w:rFonts w:ascii="宋体" w:hAnsi="宋体" w:eastAsia="宋体" w:cs="Times New Roman"/>
          <w:color w:val="000000" w:themeColor="text1"/>
          <w:sz w:val="24"/>
          <w:szCs w:val="24"/>
          <w14:textFill>
            <w14:solidFill>
              <w14:schemeClr w14:val="tx1"/>
            </w14:solidFill>
          </w14:textFill>
        </w:rPr>
        <w:fldChar w:fldCharType="end"/>
      </w:r>
      <w:bookmarkStart w:id="46" w:name="_Toc23989"/>
      <w:r>
        <w:rPr>
          <w:rFonts w:ascii="宋体" w:hAnsi="宋体" w:eastAsia="宋体" w:cs="Times New Roman"/>
          <w:color w:val="000000" w:themeColor="text1"/>
          <w:sz w:val="24"/>
          <w:szCs w:val="24"/>
          <w14:textFill>
            <w14:solidFill>
              <w14:schemeClr w14:val="tx1"/>
            </w14:solidFill>
          </w14:textFill>
        </w:rPr>
        <w:t xml:space="preserve"> Stage-2模型的五折交叉验证结果</w:t>
      </w:r>
      <w:bookmarkEnd w:id="44"/>
      <w:bookmarkEnd w:id="45"/>
      <w:bookmarkEnd w:id="46"/>
    </w:p>
    <w:tbl>
      <w:tblPr>
        <w:tblStyle w:val="18"/>
        <w:tblW w:w="842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1"/>
        <w:gridCol w:w="1420"/>
        <w:gridCol w:w="1420"/>
        <w:gridCol w:w="1530"/>
        <w:gridCol w:w="1530"/>
        <w:gridCol w:w="1421"/>
      </w:tblGrid>
      <w:tr w14:paraId="404EED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600" w:type="dxa"/>
            <w:tcBorders>
              <w:top w:val="single" w:color="000000" w:sz="12" w:space="0"/>
              <w:bottom w:val="single" w:color="000000" w:sz="4" w:space="0"/>
              <w:tl2br w:val="nil"/>
            </w:tcBorders>
            <w:shd w:val="clear" w:color="auto" w:fill="FFFFFF"/>
          </w:tcPr>
          <w:p w14:paraId="5D16411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Fold</w:t>
            </w:r>
          </w:p>
        </w:tc>
        <w:tc>
          <w:tcPr>
            <w:tcW w:w="1368" w:type="dxa"/>
            <w:tcBorders>
              <w:top w:val="single" w:color="000000" w:sz="12" w:space="0"/>
              <w:bottom w:val="single" w:color="000000" w:sz="4" w:space="0"/>
            </w:tcBorders>
            <w:shd w:val="clear" w:color="auto" w:fill="FFFFFF"/>
          </w:tcPr>
          <w:p w14:paraId="39CBF230">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ACC(%)</w:t>
            </w:r>
          </w:p>
        </w:tc>
        <w:tc>
          <w:tcPr>
            <w:tcW w:w="1164" w:type="dxa"/>
            <w:tcBorders>
              <w:top w:val="single" w:color="000000" w:sz="12" w:space="0"/>
              <w:bottom w:val="single" w:color="000000" w:sz="4" w:space="0"/>
            </w:tcBorders>
            <w:shd w:val="clear" w:color="auto" w:fill="FFFFFF"/>
          </w:tcPr>
          <w:p w14:paraId="6016E551">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SN(%)</w:t>
            </w:r>
          </w:p>
        </w:tc>
        <w:tc>
          <w:tcPr>
            <w:tcW w:w="1270" w:type="dxa"/>
            <w:tcBorders>
              <w:top w:val="single" w:color="000000" w:sz="12" w:space="0"/>
              <w:bottom w:val="single" w:color="000000" w:sz="4" w:space="0"/>
            </w:tcBorders>
            <w:shd w:val="clear" w:color="auto" w:fill="FFFFFF"/>
          </w:tcPr>
          <w:p w14:paraId="69683202">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SP(%)</w:t>
            </w:r>
          </w:p>
        </w:tc>
        <w:tc>
          <w:tcPr>
            <w:tcW w:w="1847" w:type="dxa"/>
            <w:tcBorders>
              <w:top w:val="single" w:color="000000" w:sz="12" w:space="0"/>
              <w:bottom w:val="single" w:color="000000" w:sz="4" w:space="0"/>
            </w:tcBorders>
            <w:shd w:val="clear" w:color="auto" w:fill="FFFFFF"/>
          </w:tcPr>
          <w:p w14:paraId="5D5371E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MCC(%)</w:t>
            </w:r>
          </w:p>
        </w:tc>
        <w:tc>
          <w:tcPr>
            <w:tcW w:w="1172" w:type="dxa"/>
            <w:tcBorders>
              <w:top w:val="single" w:color="000000" w:sz="12" w:space="0"/>
              <w:bottom w:val="single" w:color="000000" w:sz="4" w:space="0"/>
            </w:tcBorders>
            <w:shd w:val="clear" w:color="auto" w:fill="FFFFFF"/>
          </w:tcPr>
          <w:p w14:paraId="6545C2CC">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AUC(%)</w:t>
            </w:r>
          </w:p>
        </w:tc>
      </w:tr>
      <w:tr w14:paraId="38B033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600" w:type="dxa"/>
            <w:tcBorders>
              <w:top w:val="single" w:color="000000" w:sz="4" w:space="0"/>
              <w:bottom w:val="nil"/>
            </w:tcBorders>
            <w:shd w:val="clear" w:color="auto" w:fill="FFFFFF"/>
          </w:tcPr>
          <w:p w14:paraId="2EE980AA">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w:t>
            </w:r>
          </w:p>
        </w:tc>
        <w:tc>
          <w:tcPr>
            <w:tcW w:w="1368" w:type="dxa"/>
            <w:tcBorders>
              <w:top w:val="single" w:color="000000" w:sz="4" w:space="0"/>
              <w:bottom w:val="nil"/>
            </w:tcBorders>
            <w:shd w:val="clear" w:color="auto" w:fill="FFFFFF"/>
          </w:tcPr>
          <w:p w14:paraId="4EF9CB4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76.32</w:t>
            </w:r>
          </w:p>
        </w:tc>
        <w:tc>
          <w:tcPr>
            <w:tcW w:w="1164" w:type="dxa"/>
            <w:tcBorders>
              <w:top w:val="single" w:color="000000" w:sz="4" w:space="0"/>
              <w:bottom w:val="nil"/>
            </w:tcBorders>
            <w:shd w:val="clear" w:color="auto" w:fill="FFFFFF"/>
          </w:tcPr>
          <w:p w14:paraId="5FF8549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97.37</w:t>
            </w:r>
          </w:p>
        </w:tc>
        <w:tc>
          <w:tcPr>
            <w:tcW w:w="1270" w:type="dxa"/>
            <w:tcBorders>
              <w:top w:val="single" w:color="000000" w:sz="4" w:space="0"/>
              <w:bottom w:val="nil"/>
            </w:tcBorders>
            <w:shd w:val="clear" w:color="auto" w:fill="FFFFFF"/>
          </w:tcPr>
          <w:p w14:paraId="54D2BB2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53.66</w:t>
            </w:r>
          </w:p>
        </w:tc>
        <w:tc>
          <w:tcPr>
            <w:tcW w:w="1847" w:type="dxa"/>
            <w:tcBorders>
              <w:top w:val="single" w:color="000000" w:sz="4" w:space="0"/>
              <w:bottom w:val="nil"/>
            </w:tcBorders>
            <w:shd w:val="clear" w:color="auto" w:fill="FFFFFF"/>
          </w:tcPr>
          <w:p w14:paraId="33621F15">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58.03</w:t>
            </w:r>
          </w:p>
        </w:tc>
        <w:tc>
          <w:tcPr>
            <w:tcW w:w="1172" w:type="dxa"/>
            <w:tcBorders>
              <w:top w:val="single" w:color="000000" w:sz="4" w:space="0"/>
              <w:bottom w:val="nil"/>
            </w:tcBorders>
            <w:shd w:val="clear" w:color="auto" w:fill="FFFFFF"/>
          </w:tcPr>
          <w:p w14:paraId="564F3BA6">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88.95</w:t>
            </w:r>
          </w:p>
        </w:tc>
      </w:tr>
      <w:tr w14:paraId="10AB22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600" w:type="dxa"/>
            <w:tcBorders>
              <w:top w:val="nil"/>
              <w:bottom w:val="nil"/>
            </w:tcBorders>
            <w:shd w:val="clear" w:color="auto" w:fill="FFFFFF"/>
          </w:tcPr>
          <w:p w14:paraId="5AA2B10A">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2</w:t>
            </w:r>
          </w:p>
        </w:tc>
        <w:tc>
          <w:tcPr>
            <w:tcW w:w="1368" w:type="dxa"/>
            <w:tcBorders>
              <w:top w:val="nil"/>
              <w:bottom w:val="nil"/>
            </w:tcBorders>
            <w:shd w:val="clear" w:color="auto" w:fill="FFFFFF"/>
          </w:tcPr>
          <w:p w14:paraId="2E6EC57E">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84.21</w:t>
            </w:r>
          </w:p>
        </w:tc>
        <w:tc>
          <w:tcPr>
            <w:tcW w:w="1164" w:type="dxa"/>
            <w:tcBorders>
              <w:top w:val="nil"/>
              <w:bottom w:val="nil"/>
            </w:tcBorders>
            <w:shd w:val="clear" w:color="auto" w:fill="FFFFFF"/>
          </w:tcPr>
          <w:p w14:paraId="6A9B4C16">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100.00</w:t>
            </w:r>
          </w:p>
        </w:tc>
        <w:tc>
          <w:tcPr>
            <w:tcW w:w="1270" w:type="dxa"/>
            <w:tcBorders>
              <w:top w:val="nil"/>
              <w:bottom w:val="nil"/>
            </w:tcBorders>
            <w:shd w:val="clear" w:color="auto" w:fill="FFFFFF"/>
          </w:tcPr>
          <w:p w14:paraId="62C2D59C">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65.85</w:t>
            </w:r>
          </w:p>
        </w:tc>
        <w:tc>
          <w:tcPr>
            <w:tcW w:w="1847" w:type="dxa"/>
            <w:tcBorders>
              <w:top w:val="nil"/>
              <w:bottom w:val="nil"/>
            </w:tcBorders>
            <w:shd w:val="clear" w:color="auto" w:fill="FFFFFF"/>
          </w:tcPr>
          <w:p w14:paraId="6789B7E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72.11</w:t>
            </w:r>
          </w:p>
        </w:tc>
        <w:tc>
          <w:tcPr>
            <w:tcW w:w="1172" w:type="dxa"/>
            <w:tcBorders>
              <w:top w:val="nil"/>
              <w:bottom w:val="nil"/>
            </w:tcBorders>
            <w:shd w:val="clear" w:color="auto" w:fill="FFFFFF"/>
          </w:tcPr>
          <w:p w14:paraId="29613140">
            <w:pPr>
              <w:spacing w:line="240" w:lineRule="auto"/>
              <w:rPr>
                <w:rFonts w:hint="eastAsia" w:ascii="宋体" w:hAnsi="宋体" w:eastAsia="宋体" w:cs="Times New Roman"/>
                <w:color w:val="000000" w:themeColor="text1"/>
                <w:kern w:val="0"/>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88.71</w:t>
            </w:r>
          </w:p>
        </w:tc>
      </w:tr>
      <w:tr w14:paraId="02F0A3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600" w:type="dxa"/>
            <w:tcBorders>
              <w:top w:val="nil"/>
              <w:bottom w:val="nil"/>
            </w:tcBorders>
            <w:shd w:val="clear" w:color="auto" w:fill="FFFFFF"/>
          </w:tcPr>
          <w:p w14:paraId="104F5A0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3</w:t>
            </w:r>
          </w:p>
        </w:tc>
        <w:tc>
          <w:tcPr>
            <w:tcW w:w="1368" w:type="dxa"/>
            <w:tcBorders>
              <w:top w:val="nil"/>
              <w:bottom w:val="nil"/>
            </w:tcBorders>
            <w:shd w:val="clear" w:color="auto" w:fill="FFFFFF"/>
          </w:tcPr>
          <w:p w14:paraId="4F3CD27F">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76.00</w:t>
            </w:r>
          </w:p>
        </w:tc>
        <w:tc>
          <w:tcPr>
            <w:tcW w:w="1164" w:type="dxa"/>
            <w:tcBorders>
              <w:top w:val="nil"/>
              <w:bottom w:val="nil"/>
            </w:tcBorders>
            <w:shd w:val="clear" w:color="auto" w:fill="FFFFFF"/>
          </w:tcPr>
          <w:p w14:paraId="6B642ED2">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89.47</w:t>
            </w:r>
          </w:p>
        </w:tc>
        <w:tc>
          <w:tcPr>
            <w:tcW w:w="1270" w:type="dxa"/>
            <w:tcBorders>
              <w:top w:val="nil"/>
              <w:bottom w:val="nil"/>
            </w:tcBorders>
            <w:shd w:val="clear" w:color="auto" w:fill="FFFFFF"/>
          </w:tcPr>
          <w:p w14:paraId="7D65229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58.33</w:t>
            </w:r>
          </w:p>
        </w:tc>
        <w:tc>
          <w:tcPr>
            <w:tcW w:w="1847" w:type="dxa"/>
            <w:tcBorders>
              <w:top w:val="nil"/>
              <w:bottom w:val="nil"/>
            </w:tcBorders>
            <w:shd w:val="clear" w:color="auto" w:fill="FFFFFF"/>
          </w:tcPr>
          <w:p w14:paraId="2BEC5E02">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53.78</w:t>
            </w:r>
          </w:p>
        </w:tc>
        <w:tc>
          <w:tcPr>
            <w:tcW w:w="1172" w:type="dxa"/>
            <w:tcBorders>
              <w:top w:val="nil"/>
              <w:bottom w:val="nil"/>
            </w:tcBorders>
            <w:shd w:val="clear" w:color="auto" w:fill="FFFFFF"/>
          </w:tcPr>
          <w:p w14:paraId="25DF4F44">
            <w:pPr>
              <w:spacing w:line="240" w:lineRule="auto"/>
              <w:rPr>
                <w:rFonts w:hint="eastAsia" w:ascii="宋体" w:hAnsi="宋体" w:eastAsia="宋体" w:cs="Times New Roman"/>
                <w:color w:val="000000" w:themeColor="text1"/>
                <w:kern w:val="0"/>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75.25</w:t>
            </w:r>
          </w:p>
        </w:tc>
      </w:tr>
      <w:tr w14:paraId="356FDA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600" w:type="dxa"/>
            <w:tcBorders>
              <w:top w:val="nil"/>
              <w:bottom w:val="nil"/>
            </w:tcBorders>
            <w:shd w:val="clear" w:color="auto" w:fill="FFFFFF"/>
          </w:tcPr>
          <w:p w14:paraId="64C49BC9">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4</w:t>
            </w:r>
          </w:p>
        </w:tc>
        <w:tc>
          <w:tcPr>
            <w:tcW w:w="1368" w:type="dxa"/>
            <w:tcBorders>
              <w:top w:val="nil"/>
              <w:bottom w:val="nil"/>
            </w:tcBorders>
            <w:shd w:val="clear" w:color="auto" w:fill="FFFFFF"/>
          </w:tcPr>
          <w:p w14:paraId="659949B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84.00</w:t>
            </w:r>
          </w:p>
        </w:tc>
        <w:tc>
          <w:tcPr>
            <w:tcW w:w="1164" w:type="dxa"/>
            <w:tcBorders>
              <w:top w:val="nil"/>
              <w:bottom w:val="nil"/>
            </w:tcBorders>
            <w:shd w:val="clear" w:color="auto" w:fill="FFFFFF"/>
          </w:tcPr>
          <w:p w14:paraId="44AE885D">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89.36</w:t>
            </w:r>
          </w:p>
        </w:tc>
        <w:tc>
          <w:tcPr>
            <w:tcW w:w="1270" w:type="dxa"/>
            <w:tcBorders>
              <w:top w:val="nil"/>
              <w:bottom w:val="nil"/>
            </w:tcBorders>
            <w:shd w:val="clear" w:color="auto" w:fill="FFFFFF"/>
          </w:tcPr>
          <w:p w14:paraId="76B2342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77.08</w:t>
            </w:r>
          </w:p>
        </w:tc>
        <w:tc>
          <w:tcPr>
            <w:tcW w:w="1847" w:type="dxa"/>
            <w:tcBorders>
              <w:top w:val="nil"/>
              <w:bottom w:val="nil"/>
            </w:tcBorders>
            <w:shd w:val="clear" w:color="auto" w:fill="FFFFFF"/>
          </w:tcPr>
          <w:p w14:paraId="2D88546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69.51</w:t>
            </w:r>
          </w:p>
        </w:tc>
        <w:tc>
          <w:tcPr>
            <w:tcW w:w="1172" w:type="dxa"/>
            <w:tcBorders>
              <w:top w:val="nil"/>
              <w:bottom w:val="nil"/>
            </w:tcBorders>
            <w:shd w:val="clear" w:color="auto" w:fill="FFFFFF"/>
          </w:tcPr>
          <w:p w14:paraId="621AB3C8">
            <w:pPr>
              <w:spacing w:line="240" w:lineRule="auto"/>
              <w:rPr>
                <w:rFonts w:hint="eastAsia" w:ascii="宋体" w:hAnsi="宋体" w:eastAsia="宋体" w:cs="Times New Roman"/>
                <w:color w:val="000000" w:themeColor="text1"/>
                <w:kern w:val="0"/>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88.76</w:t>
            </w:r>
          </w:p>
        </w:tc>
      </w:tr>
      <w:tr w14:paraId="3CA937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600" w:type="dxa"/>
            <w:tcBorders>
              <w:top w:val="nil"/>
              <w:bottom w:val="nil"/>
            </w:tcBorders>
            <w:shd w:val="clear" w:color="auto" w:fill="FFFFFF"/>
          </w:tcPr>
          <w:p w14:paraId="1F22CCDF">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5</w:t>
            </w:r>
          </w:p>
        </w:tc>
        <w:tc>
          <w:tcPr>
            <w:tcW w:w="1368" w:type="dxa"/>
            <w:tcBorders>
              <w:top w:val="nil"/>
              <w:bottom w:val="nil"/>
            </w:tcBorders>
            <w:shd w:val="clear" w:color="auto" w:fill="FFFFFF"/>
          </w:tcPr>
          <w:p w14:paraId="151A48F4">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69.33</w:t>
            </w:r>
          </w:p>
        </w:tc>
        <w:tc>
          <w:tcPr>
            <w:tcW w:w="1164" w:type="dxa"/>
            <w:tcBorders>
              <w:top w:val="nil"/>
              <w:bottom w:val="nil"/>
            </w:tcBorders>
            <w:shd w:val="clear" w:color="auto" w:fill="FFFFFF"/>
          </w:tcPr>
          <w:p w14:paraId="2C6D6620">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89.36</w:t>
            </w:r>
          </w:p>
        </w:tc>
        <w:tc>
          <w:tcPr>
            <w:tcW w:w="1270" w:type="dxa"/>
            <w:tcBorders>
              <w:top w:val="nil"/>
              <w:bottom w:val="nil"/>
            </w:tcBorders>
            <w:shd w:val="clear" w:color="auto" w:fill="FFFFFF"/>
          </w:tcPr>
          <w:p w14:paraId="7BF396EA">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41.67</w:t>
            </w:r>
          </w:p>
        </w:tc>
        <w:tc>
          <w:tcPr>
            <w:tcW w:w="1847" w:type="dxa"/>
            <w:tcBorders>
              <w:top w:val="nil"/>
              <w:bottom w:val="nil"/>
            </w:tcBorders>
            <w:shd w:val="clear" w:color="auto" w:fill="FFFFFF"/>
          </w:tcPr>
          <w:p w14:paraId="4AF17F2D">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40.67</w:t>
            </w:r>
          </w:p>
        </w:tc>
        <w:tc>
          <w:tcPr>
            <w:tcW w:w="1172" w:type="dxa"/>
            <w:tcBorders>
              <w:top w:val="nil"/>
              <w:bottom w:val="nil"/>
            </w:tcBorders>
            <w:shd w:val="clear" w:color="auto" w:fill="FFFFFF"/>
          </w:tcPr>
          <w:p w14:paraId="2DA8B80B">
            <w:pPr>
              <w:spacing w:line="240" w:lineRule="auto"/>
              <w:rPr>
                <w:rFonts w:hint="eastAsia" w:ascii="宋体" w:hAnsi="宋体" w:eastAsia="宋体" w:cs="Times New Roman"/>
                <w:color w:val="000000" w:themeColor="text1"/>
                <w:kern w:val="0"/>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74.68</w:t>
            </w:r>
          </w:p>
        </w:tc>
      </w:tr>
      <w:tr w14:paraId="678B4A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jc w:val="center"/>
        </w:trPr>
        <w:tc>
          <w:tcPr>
            <w:tcW w:w="1600" w:type="dxa"/>
            <w:tcBorders>
              <w:top w:val="nil"/>
              <w:bottom w:val="single" w:color="000000" w:sz="12" w:space="0"/>
            </w:tcBorders>
            <w:shd w:val="clear" w:color="auto" w:fill="FFFFFF"/>
          </w:tcPr>
          <w:p w14:paraId="42C49627">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Mean±std</w:t>
            </w:r>
          </w:p>
        </w:tc>
        <w:tc>
          <w:tcPr>
            <w:tcW w:w="1368" w:type="dxa"/>
            <w:tcBorders>
              <w:top w:val="nil"/>
              <w:bottom w:val="single" w:color="000000" w:sz="12" w:space="0"/>
            </w:tcBorders>
            <w:shd w:val="clear" w:color="auto" w:fill="FFFFFF"/>
          </w:tcPr>
          <w:p w14:paraId="0AC13B06">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77.97±5.59</w:t>
            </w:r>
          </w:p>
        </w:tc>
        <w:tc>
          <w:tcPr>
            <w:tcW w:w="1164" w:type="dxa"/>
            <w:tcBorders>
              <w:top w:val="nil"/>
              <w:bottom w:val="single" w:color="000000" w:sz="12" w:space="0"/>
            </w:tcBorders>
            <w:shd w:val="clear" w:color="auto" w:fill="FFFFFF"/>
          </w:tcPr>
          <w:p w14:paraId="32021B64">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93.11±4.58</w:t>
            </w:r>
          </w:p>
        </w:tc>
        <w:tc>
          <w:tcPr>
            <w:tcW w:w="1270" w:type="dxa"/>
            <w:tcBorders>
              <w:top w:val="nil"/>
              <w:bottom w:val="single" w:color="000000" w:sz="12" w:space="0"/>
            </w:tcBorders>
            <w:shd w:val="clear" w:color="auto" w:fill="FFFFFF"/>
          </w:tcPr>
          <w:p w14:paraId="15E18660">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59.32±11.55</w:t>
            </w:r>
          </w:p>
        </w:tc>
        <w:tc>
          <w:tcPr>
            <w:tcW w:w="1847" w:type="dxa"/>
            <w:tcBorders>
              <w:top w:val="nil"/>
              <w:bottom w:val="single" w:color="000000" w:sz="12" w:space="0"/>
            </w:tcBorders>
            <w:shd w:val="clear" w:color="auto" w:fill="FFFFFF"/>
          </w:tcPr>
          <w:p w14:paraId="07ECC973">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58.82±11.37</w:t>
            </w:r>
          </w:p>
        </w:tc>
        <w:tc>
          <w:tcPr>
            <w:tcW w:w="1172" w:type="dxa"/>
            <w:tcBorders>
              <w:top w:val="nil"/>
              <w:bottom w:val="single" w:color="000000" w:sz="12" w:space="0"/>
            </w:tcBorders>
            <w:shd w:val="clear" w:color="auto" w:fill="FFFFFF"/>
          </w:tcPr>
          <w:p w14:paraId="21F8F993">
            <w:pPr>
              <w:spacing w:line="240" w:lineRule="auto"/>
              <w:jc w:val="center"/>
              <w:rPr>
                <w:rFonts w:hint="eastAsia" w:ascii="宋体" w:hAnsi="宋体" w:eastAsia="宋体" w:cs="Times New Roman"/>
                <w:color w:val="000000" w:themeColor="text1"/>
                <w:kern w:val="0"/>
                <w:sz w:val="24"/>
                <w14:textFill>
                  <w14:solidFill>
                    <w14:schemeClr w14:val="tx1"/>
                  </w14:solidFill>
                </w14:textFill>
              </w:rPr>
            </w:pPr>
            <w:r>
              <w:rPr>
                <w:rStyle w:val="20"/>
                <w:rFonts w:ascii="宋体" w:hAnsi="宋体" w:eastAsia="宋体" w:cs="Times New Roman"/>
                <w:b w:val="0"/>
                <w:bCs w:val="0"/>
                <w:color w:val="000000" w:themeColor="text1"/>
                <w:kern w:val="0"/>
                <w:sz w:val="24"/>
                <w:lang w:bidi="ar"/>
                <w14:textFill>
                  <w14:solidFill>
                    <w14:schemeClr w14:val="tx1"/>
                  </w14:solidFill>
                </w14:textFill>
              </w:rPr>
              <w:t>83.27±6.79</w:t>
            </w:r>
          </w:p>
        </w:tc>
      </w:tr>
      <w:bookmarkEnd w:id="42"/>
    </w:tbl>
    <w:p w14:paraId="65A6AF25">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从表3的五折交叉验证结果可以看出，Stage-1模型在准确率（87.57%）、特异度（92.68%）、MCC（75.51%）和AUC（95.54%）上均表现出色，且各折指标标准差较小（如ACC标准差约2.96%），说明该模型分类性能均衡、泛化稳定性好，适合作为第一阶段的高通量主筛模型，能够以较低的假阳性率从大规模肽库中高效筛选出高置信候选序列。由表4可知，Stage-2模型虽然整体性能（AUC 83.27%，MCC 58.82%）弱于第一个模型，但其敏感度均值高达93.11%，几乎能捕获全部真实正例，可作为补充性高召回模型，用于对主筛结果进行敏感性验证或对边界样本进行二次召回，以避免潜在活性肽的遗漏。</w:t>
      </w:r>
    </w:p>
    <w:p w14:paraId="469A0744">
      <w:pPr>
        <w:pStyle w:val="5"/>
        <w:jc w:val="center"/>
        <w:rPr>
          <w:rFonts w:hint="eastAsia" w:ascii="宋体" w:hAnsi="宋体" w:eastAsia="宋体" w:cs="Times New Roman"/>
          <w:color w:val="000000" w:themeColor="text1"/>
          <w:sz w:val="24"/>
          <w:szCs w:val="24"/>
          <w14:textFill>
            <w14:solidFill>
              <w14:schemeClr w14:val="tx1"/>
            </w14:solidFill>
          </w14:textFill>
        </w:rPr>
      </w:pPr>
      <w:bookmarkStart w:id="47" w:name="_Toc228654626"/>
      <w:bookmarkStart w:id="48" w:name="_Toc228655976"/>
      <w:r>
        <w:rPr>
          <w:rFonts w:ascii="宋体" w:hAnsi="宋体" w:eastAsia="宋体" w:cs="Times New Roman"/>
          <w:color w:val="000000" w:themeColor="text1"/>
          <w:sz w:val="24"/>
          <w:szCs w:val="24"/>
          <w14:textFill>
            <w14:solidFill>
              <w14:schemeClr w14:val="tx1"/>
            </w14:solidFill>
          </w14:textFill>
        </w:rPr>
        <w:t xml:space="preserve">表 </w:t>
      </w:r>
      <w:r>
        <w:rPr>
          <w:rFonts w:ascii="宋体" w:hAnsi="宋体" w:eastAsia="宋体" w:cs="Times New Roman"/>
          <w:color w:val="000000" w:themeColor="text1"/>
          <w:sz w:val="24"/>
          <w:szCs w:val="24"/>
          <w14:textFill>
            <w14:solidFill>
              <w14:schemeClr w14:val="tx1"/>
            </w14:solidFill>
          </w14:textFill>
        </w:rPr>
        <w:fldChar w:fldCharType="begin"/>
      </w:r>
      <w:r>
        <w:rPr>
          <w:rFonts w:ascii="宋体" w:hAnsi="宋体" w:eastAsia="宋体" w:cs="Times New Roman"/>
          <w:color w:val="000000" w:themeColor="text1"/>
          <w:sz w:val="24"/>
          <w:szCs w:val="24"/>
          <w14:textFill>
            <w14:solidFill>
              <w14:schemeClr w14:val="tx1"/>
            </w14:solidFill>
          </w14:textFill>
        </w:rPr>
        <w:instrText xml:space="preserve"> SEQ 表 \* ARABIC </w:instrText>
      </w:r>
      <w:r>
        <w:rPr>
          <w:rFonts w:ascii="宋体" w:hAnsi="宋体" w:eastAsia="宋体" w:cs="Times New Roman"/>
          <w:color w:val="000000" w:themeColor="text1"/>
          <w:sz w:val="24"/>
          <w:szCs w:val="24"/>
          <w14:textFill>
            <w14:solidFill>
              <w14:schemeClr w14:val="tx1"/>
            </w14:solidFill>
          </w14:textFill>
        </w:rPr>
        <w:fldChar w:fldCharType="separate"/>
      </w:r>
      <w:r>
        <w:rPr>
          <w:rFonts w:ascii="宋体" w:hAnsi="宋体" w:eastAsia="宋体" w:cs="Times New Roman"/>
          <w:color w:val="000000" w:themeColor="text1"/>
          <w:sz w:val="24"/>
          <w:szCs w:val="24"/>
          <w14:textFill>
            <w14:solidFill>
              <w14:schemeClr w14:val="tx1"/>
            </w14:solidFill>
          </w14:textFill>
        </w:rPr>
        <w:t>5</w:t>
      </w:r>
      <w:r>
        <w:rPr>
          <w:rFonts w:ascii="宋体" w:hAnsi="宋体" w:eastAsia="宋体" w:cs="Times New Roman"/>
          <w:color w:val="000000" w:themeColor="text1"/>
          <w:sz w:val="24"/>
          <w:szCs w:val="24"/>
          <w14:textFill>
            <w14:solidFill>
              <w14:schemeClr w14:val="tx1"/>
            </w14:solidFill>
          </w14:textFill>
        </w:rPr>
        <w:fldChar w:fldCharType="end"/>
      </w:r>
      <w:bookmarkStart w:id="49" w:name="_Toc9313"/>
      <w:r>
        <w:rPr>
          <w:rFonts w:ascii="宋体" w:hAnsi="宋体" w:eastAsia="宋体" w:cs="Times New Roman"/>
          <w:color w:val="000000" w:themeColor="text1"/>
          <w:sz w:val="24"/>
          <w:szCs w:val="24"/>
          <w14:textFill>
            <w14:solidFill>
              <w14:schemeClr w14:val="tx1"/>
            </w14:solidFill>
          </w14:textFill>
        </w:rPr>
        <w:t xml:space="preserve"> Stage-1和Stage-2模型在独立测试集的结果</w:t>
      </w:r>
      <w:bookmarkEnd w:id="47"/>
      <w:bookmarkEnd w:id="48"/>
      <w:bookmarkEnd w:id="49"/>
    </w:p>
    <w:tbl>
      <w:tblPr>
        <w:tblStyle w:val="18"/>
        <w:tblW w:w="8421" w:type="dxa"/>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0"/>
        <w:gridCol w:w="1420"/>
        <w:gridCol w:w="1182"/>
        <w:gridCol w:w="1205"/>
        <w:gridCol w:w="936"/>
        <w:gridCol w:w="2398"/>
      </w:tblGrid>
      <w:tr w14:paraId="786EDB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trPr>
        <w:tc>
          <w:tcPr>
            <w:tcW w:w="1296" w:type="dxa"/>
            <w:tcBorders>
              <w:top w:val="single" w:color="000000" w:sz="12" w:space="0"/>
              <w:bottom w:val="single" w:color="000000" w:sz="4" w:space="0"/>
              <w:tl2br w:val="nil"/>
            </w:tcBorders>
            <w:shd w:val="clear" w:color="auto" w:fill="FFFFFF"/>
          </w:tcPr>
          <w:p w14:paraId="1E1599F7">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模型</w:t>
            </w:r>
          </w:p>
        </w:tc>
        <w:tc>
          <w:tcPr>
            <w:tcW w:w="1454" w:type="dxa"/>
            <w:tcBorders>
              <w:top w:val="single" w:color="000000" w:sz="12" w:space="0"/>
              <w:bottom w:val="single" w:color="000000" w:sz="4" w:space="0"/>
            </w:tcBorders>
            <w:shd w:val="clear" w:color="auto" w:fill="FFFFFF"/>
          </w:tcPr>
          <w:p w14:paraId="3DC05F8A">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ACC(%)</w:t>
            </w:r>
          </w:p>
        </w:tc>
        <w:tc>
          <w:tcPr>
            <w:tcW w:w="1208" w:type="dxa"/>
            <w:tcBorders>
              <w:top w:val="single" w:color="000000" w:sz="12" w:space="0"/>
              <w:bottom w:val="single" w:color="000000" w:sz="4" w:space="0"/>
            </w:tcBorders>
            <w:shd w:val="clear" w:color="auto" w:fill="FFFFFF"/>
          </w:tcPr>
          <w:p w14:paraId="181DFD90">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SN(%)</w:t>
            </w:r>
          </w:p>
        </w:tc>
        <w:tc>
          <w:tcPr>
            <w:tcW w:w="1232" w:type="dxa"/>
            <w:tcBorders>
              <w:top w:val="single" w:color="000000" w:sz="12" w:space="0"/>
              <w:bottom w:val="single" w:color="000000" w:sz="4" w:space="0"/>
            </w:tcBorders>
            <w:shd w:val="clear" w:color="auto" w:fill="FFFFFF"/>
          </w:tcPr>
          <w:p w14:paraId="51953B47">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SP(%)</w:t>
            </w:r>
          </w:p>
        </w:tc>
        <w:tc>
          <w:tcPr>
            <w:tcW w:w="730" w:type="dxa"/>
            <w:tcBorders>
              <w:top w:val="single" w:color="000000" w:sz="12" w:space="0"/>
              <w:bottom w:val="single" w:color="000000" w:sz="4" w:space="0"/>
            </w:tcBorders>
            <w:shd w:val="clear" w:color="auto" w:fill="FFFFFF"/>
          </w:tcPr>
          <w:p w14:paraId="650FF4F2">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MCC(%)</w:t>
            </w:r>
          </w:p>
        </w:tc>
        <w:tc>
          <w:tcPr>
            <w:tcW w:w="2501" w:type="dxa"/>
            <w:tcBorders>
              <w:top w:val="single" w:color="000000" w:sz="12" w:space="0"/>
              <w:bottom w:val="single" w:color="000000" w:sz="4" w:space="0"/>
            </w:tcBorders>
            <w:shd w:val="clear" w:color="auto" w:fill="FFFFFF"/>
          </w:tcPr>
          <w:p w14:paraId="3034E62B">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AUC(%)</w:t>
            </w:r>
          </w:p>
        </w:tc>
      </w:tr>
      <w:tr w14:paraId="7B6E05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trPr>
        <w:tc>
          <w:tcPr>
            <w:tcW w:w="1296" w:type="dxa"/>
            <w:tcBorders>
              <w:top w:val="single" w:color="000000" w:sz="4" w:space="0"/>
              <w:bottom w:val="nil"/>
            </w:tcBorders>
            <w:shd w:val="clear" w:color="auto" w:fill="FFFFFF"/>
          </w:tcPr>
          <w:p w14:paraId="4FF83145">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Stage-1</w:t>
            </w:r>
          </w:p>
        </w:tc>
        <w:tc>
          <w:tcPr>
            <w:tcW w:w="1454" w:type="dxa"/>
            <w:tcBorders>
              <w:top w:val="single" w:color="000000" w:sz="4" w:space="0"/>
              <w:bottom w:val="nil"/>
            </w:tcBorders>
            <w:shd w:val="clear" w:color="auto" w:fill="FFFFFF"/>
          </w:tcPr>
          <w:p w14:paraId="7F870EFC">
            <w:pPr>
              <w:spacing w:line="240" w:lineRule="auto"/>
              <w:jc w:val="center"/>
              <w:rPr>
                <w:rFonts w:hint="eastAsia" w:ascii="宋体" w:hAnsi="宋体" w:eastAsia="宋体" w:cs="Times New Roman"/>
                <w:b/>
                <w:bCs/>
                <w:color w:val="000000" w:themeColor="text1"/>
                <w:sz w:val="24"/>
                <w14:textFill>
                  <w14:solidFill>
                    <w14:schemeClr w14:val="tx1"/>
                  </w14:solidFill>
                </w14:textFill>
              </w:rPr>
            </w:pPr>
            <w:r>
              <w:rPr>
                <w:rFonts w:ascii="宋体" w:hAnsi="宋体" w:eastAsia="宋体" w:cs="Times New Roman"/>
                <w:b/>
                <w:bCs/>
                <w:color w:val="000000" w:themeColor="text1"/>
                <w:sz w:val="24"/>
                <w14:textFill>
                  <w14:solidFill>
                    <w14:schemeClr w14:val="tx1"/>
                  </w14:solidFill>
                </w14:textFill>
              </w:rPr>
              <w:t>84.62</w:t>
            </w:r>
          </w:p>
        </w:tc>
        <w:tc>
          <w:tcPr>
            <w:tcW w:w="1208" w:type="dxa"/>
            <w:tcBorders>
              <w:top w:val="single" w:color="000000" w:sz="4" w:space="0"/>
              <w:bottom w:val="nil"/>
            </w:tcBorders>
            <w:shd w:val="clear" w:color="auto" w:fill="FFFFFF"/>
          </w:tcPr>
          <w:p w14:paraId="7B56E177">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81.82</w:t>
            </w:r>
          </w:p>
        </w:tc>
        <w:tc>
          <w:tcPr>
            <w:tcW w:w="1232" w:type="dxa"/>
            <w:tcBorders>
              <w:top w:val="single" w:color="000000" w:sz="4" w:space="0"/>
              <w:bottom w:val="nil"/>
            </w:tcBorders>
            <w:shd w:val="clear" w:color="auto" w:fill="FFFFFF"/>
          </w:tcPr>
          <w:p w14:paraId="4F147F40">
            <w:pPr>
              <w:spacing w:line="240" w:lineRule="auto"/>
              <w:jc w:val="center"/>
              <w:rPr>
                <w:rFonts w:hint="eastAsia" w:ascii="宋体" w:hAnsi="宋体" w:eastAsia="宋体" w:cs="Times New Roman"/>
                <w:b/>
                <w:bCs/>
                <w:color w:val="000000" w:themeColor="text1"/>
                <w:sz w:val="24"/>
                <w14:textFill>
                  <w14:solidFill>
                    <w14:schemeClr w14:val="tx1"/>
                  </w14:solidFill>
                </w14:textFill>
              </w:rPr>
            </w:pPr>
            <w:r>
              <w:rPr>
                <w:rFonts w:ascii="宋体" w:hAnsi="宋体" w:eastAsia="宋体" w:cs="Times New Roman"/>
                <w:b/>
                <w:bCs/>
                <w:color w:val="000000" w:themeColor="text1"/>
                <w:sz w:val="24"/>
                <w14:textFill>
                  <w14:solidFill>
                    <w14:schemeClr w14:val="tx1"/>
                  </w14:solidFill>
                </w14:textFill>
              </w:rPr>
              <w:t>88.89</w:t>
            </w:r>
          </w:p>
        </w:tc>
        <w:tc>
          <w:tcPr>
            <w:tcW w:w="730" w:type="dxa"/>
            <w:tcBorders>
              <w:top w:val="single" w:color="000000" w:sz="4" w:space="0"/>
              <w:bottom w:val="nil"/>
            </w:tcBorders>
            <w:shd w:val="clear" w:color="auto" w:fill="FFFFFF"/>
          </w:tcPr>
          <w:p w14:paraId="60629F2D">
            <w:pPr>
              <w:spacing w:line="240" w:lineRule="auto"/>
              <w:jc w:val="center"/>
              <w:rPr>
                <w:rFonts w:hint="eastAsia" w:ascii="宋体" w:hAnsi="宋体" w:eastAsia="宋体" w:cs="Times New Roman"/>
                <w:b/>
                <w:bCs/>
                <w:color w:val="000000" w:themeColor="text1"/>
                <w:sz w:val="24"/>
                <w14:textFill>
                  <w14:solidFill>
                    <w14:schemeClr w14:val="tx1"/>
                  </w14:solidFill>
                </w14:textFill>
              </w:rPr>
            </w:pPr>
            <w:r>
              <w:rPr>
                <w:rFonts w:ascii="宋体" w:hAnsi="宋体" w:eastAsia="宋体" w:cs="Times New Roman"/>
                <w:b/>
                <w:bCs/>
                <w:color w:val="000000" w:themeColor="text1"/>
                <w:sz w:val="24"/>
                <w14:textFill>
                  <w14:solidFill>
                    <w14:schemeClr w14:val="tx1"/>
                  </w14:solidFill>
                </w14:textFill>
              </w:rPr>
              <w:t>69.35</w:t>
            </w:r>
          </w:p>
        </w:tc>
        <w:tc>
          <w:tcPr>
            <w:tcW w:w="2501" w:type="dxa"/>
            <w:tcBorders>
              <w:top w:val="single" w:color="000000" w:sz="4" w:space="0"/>
              <w:bottom w:val="nil"/>
            </w:tcBorders>
            <w:shd w:val="clear" w:color="auto" w:fill="FFFFFF"/>
          </w:tcPr>
          <w:p w14:paraId="428174E3">
            <w:pPr>
              <w:spacing w:line="240" w:lineRule="auto"/>
              <w:jc w:val="center"/>
              <w:rPr>
                <w:rFonts w:hint="eastAsia" w:ascii="宋体" w:hAnsi="宋体" w:eastAsia="宋体" w:cs="Times New Roman"/>
                <w:b/>
                <w:bCs/>
                <w:color w:val="000000" w:themeColor="text1"/>
                <w:sz w:val="24"/>
                <w14:textFill>
                  <w14:solidFill>
                    <w14:schemeClr w14:val="tx1"/>
                  </w14:solidFill>
                </w14:textFill>
              </w:rPr>
            </w:pPr>
            <w:r>
              <w:rPr>
                <w:rFonts w:ascii="宋体" w:hAnsi="宋体" w:eastAsia="宋体" w:cs="Times New Roman"/>
                <w:b/>
                <w:bCs/>
                <w:color w:val="000000" w:themeColor="text1"/>
                <w:sz w:val="24"/>
                <w14:textFill>
                  <w14:solidFill>
                    <w14:schemeClr w14:val="tx1"/>
                  </w14:solidFill>
                </w14:textFill>
              </w:rPr>
              <w:t>96.26</w:t>
            </w:r>
          </w:p>
        </w:tc>
      </w:tr>
      <w:tr w14:paraId="0E7D82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trPr>
        <w:tc>
          <w:tcPr>
            <w:tcW w:w="1296" w:type="dxa"/>
            <w:tcBorders>
              <w:top w:val="nil"/>
              <w:bottom w:val="single" w:color="000000" w:sz="12" w:space="0"/>
            </w:tcBorders>
            <w:shd w:val="clear" w:color="auto" w:fill="FFFFFF"/>
          </w:tcPr>
          <w:p w14:paraId="46DF760F">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Stage-2</w:t>
            </w:r>
          </w:p>
        </w:tc>
        <w:tc>
          <w:tcPr>
            <w:tcW w:w="1454" w:type="dxa"/>
            <w:tcBorders>
              <w:top w:val="nil"/>
              <w:bottom w:val="single" w:color="000000" w:sz="12" w:space="0"/>
            </w:tcBorders>
            <w:shd w:val="clear" w:color="auto" w:fill="FFFFFF"/>
          </w:tcPr>
          <w:p w14:paraId="05C0F917">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83.16</w:t>
            </w:r>
          </w:p>
        </w:tc>
        <w:tc>
          <w:tcPr>
            <w:tcW w:w="1208" w:type="dxa"/>
            <w:tcBorders>
              <w:top w:val="nil"/>
              <w:bottom w:val="single" w:color="000000" w:sz="12" w:space="0"/>
            </w:tcBorders>
            <w:shd w:val="clear" w:color="auto" w:fill="FFFFFF"/>
          </w:tcPr>
          <w:p w14:paraId="5720A073">
            <w:pPr>
              <w:spacing w:line="240" w:lineRule="auto"/>
              <w:jc w:val="center"/>
              <w:rPr>
                <w:rFonts w:hint="eastAsia" w:ascii="宋体" w:hAnsi="宋体" w:eastAsia="宋体" w:cs="Times New Roman"/>
                <w:b/>
                <w:bCs/>
                <w:color w:val="000000" w:themeColor="text1"/>
                <w:sz w:val="24"/>
                <w14:textFill>
                  <w14:solidFill>
                    <w14:schemeClr w14:val="tx1"/>
                  </w14:solidFill>
                </w14:textFill>
              </w:rPr>
            </w:pPr>
            <w:r>
              <w:rPr>
                <w:rFonts w:ascii="宋体" w:hAnsi="宋体" w:eastAsia="宋体" w:cs="Times New Roman"/>
                <w:b/>
                <w:bCs/>
                <w:color w:val="000000" w:themeColor="text1"/>
                <w:sz w:val="24"/>
                <w14:textFill>
                  <w14:solidFill>
                    <w14:schemeClr w14:val="tx1"/>
                  </w14:solidFill>
                </w14:textFill>
              </w:rPr>
              <w:t>95.74</w:t>
            </w:r>
          </w:p>
        </w:tc>
        <w:tc>
          <w:tcPr>
            <w:tcW w:w="1232" w:type="dxa"/>
            <w:tcBorders>
              <w:top w:val="nil"/>
              <w:bottom w:val="single" w:color="000000" w:sz="12" w:space="0"/>
            </w:tcBorders>
            <w:shd w:val="clear" w:color="auto" w:fill="FFFFFF"/>
          </w:tcPr>
          <w:p w14:paraId="19B8455B">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70.83</w:t>
            </w:r>
          </w:p>
        </w:tc>
        <w:tc>
          <w:tcPr>
            <w:tcW w:w="730" w:type="dxa"/>
            <w:tcBorders>
              <w:top w:val="nil"/>
              <w:bottom w:val="single" w:color="000000" w:sz="12" w:space="0"/>
            </w:tcBorders>
            <w:shd w:val="clear" w:color="auto" w:fill="FFFFFF"/>
          </w:tcPr>
          <w:p w14:paraId="4D4964E9">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68.62</w:t>
            </w:r>
          </w:p>
        </w:tc>
        <w:tc>
          <w:tcPr>
            <w:tcW w:w="2501" w:type="dxa"/>
            <w:tcBorders>
              <w:top w:val="nil"/>
              <w:bottom w:val="single" w:color="000000" w:sz="12" w:space="0"/>
            </w:tcBorders>
            <w:shd w:val="clear" w:color="auto" w:fill="FFFFFF"/>
          </w:tcPr>
          <w:p w14:paraId="13B128F9">
            <w:pPr>
              <w:spacing w:line="240" w:lineRule="auto"/>
              <w:jc w:val="center"/>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89.87</w:t>
            </w:r>
          </w:p>
        </w:tc>
      </w:tr>
    </w:tbl>
    <w:p w14:paraId="7FFB522D">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50" w:name="_Toc31980"/>
      <w:r>
        <mc:AlternateContent>
          <mc:Choice Requires="wps">
            <w:drawing>
              <wp:anchor distT="0" distB="0" distL="114300" distR="114300" simplePos="0" relativeHeight="251666432" behindDoc="0" locked="0" layoutInCell="1" allowOverlap="1">
                <wp:simplePos x="0" y="0"/>
                <wp:positionH relativeFrom="column">
                  <wp:posOffset>-635</wp:posOffset>
                </wp:positionH>
                <wp:positionV relativeFrom="paragraph">
                  <wp:posOffset>4244340</wp:posOffset>
                </wp:positionV>
                <wp:extent cx="5403215" cy="635"/>
                <wp:effectExtent l="0" t="0" r="6985" b="0"/>
                <wp:wrapTopAndBottom/>
                <wp:docPr id="839967437" name="文本框 1"/>
                <wp:cNvGraphicFramePr/>
                <a:graphic xmlns:a="http://schemas.openxmlformats.org/drawingml/2006/main">
                  <a:graphicData uri="http://schemas.microsoft.com/office/word/2010/wordprocessingShape">
                    <wps:wsp>
                      <wps:cNvSpPr txBox="1"/>
                      <wps:spPr>
                        <a:xfrm>
                          <a:off x="0" y="0"/>
                          <a:ext cx="5403215" cy="635"/>
                        </a:xfrm>
                        <a:prstGeom prst="rect">
                          <a:avLst/>
                        </a:prstGeom>
                        <a:solidFill>
                          <a:prstClr val="white"/>
                        </a:solidFill>
                        <a:ln>
                          <a:noFill/>
                        </a:ln>
                      </wps:spPr>
                      <wps:txbx>
                        <w:txbxContent>
                          <w:p w14:paraId="52A144B5">
                            <w:pPr>
                              <w:pStyle w:val="5"/>
                              <w:jc w:val="center"/>
                              <w:rPr>
                                <w:rFonts w:hint="eastAsia" w:ascii="宋体" w:hAnsi="宋体" w:eastAsia="宋体" w:cs="Times New Roman"/>
                                <w:color w:val="000000" w:themeColor="text1"/>
                                <w:kern w:val="0"/>
                                <w:sz w:val="24"/>
                                <w:szCs w:val="24"/>
                                <w14:textFill>
                                  <w14:solidFill>
                                    <w14:schemeClr w14:val="tx1"/>
                                  </w14:solidFill>
                                </w14:textFill>
                              </w:rPr>
                            </w:pPr>
                            <w:bookmarkStart w:id="93" w:name="_Toc228655994"/>
                            <w:bookmarkStart w:id="94" w:name="_Toc228654608"/>
                            <w:r>
                              <w:rPr>
                                <w:rFonts w:hint="eastAsia" w:ascii="宋体" w:hAnsi="宋体" w:eastAsia="宋体"/>
                                <w:sz w:val="24"/>
                                <w:szCs w:val="24"/>
                              </w:rPr>
                              <w:t xml:space="preserve">图 </w:t>
                            </w:r>
                            <w:r>
                              <w:rPr>
                                <w:rFonts w:hint="eastAsia" w:ascii="宋体" w:hAnsi="宋体" w:eastAsia="宋体"/>
                                <w:sz w:val="24"/>
                                <w:szCs w:val="24"/>
                              </w:rPr>
                              <w:fldChar w:fldCharType="begin"/>
                            </w:r>
                            <w:r>
                              <w:rPr>
                                <w:rFonts w:hint="eastAsia" w:ascii="宋体" w:hAnsi="宋体" w:eastAsia="宋体"/>
                                <w:sz w:val="24"/>
                                <w:szCs w:val="24"/>
                              </w:rPr>
                              <w:instrText xml:space="preserve"> SEQ 图 \* ARABIC </w:instrText>
                            </w:r>
                            <w:r>
                              <w:rPr>
                                <w:rFonts w:hint="eastAsia" w:ascii="宋体" w:hAnsi="宋体" w:eastAsia="宋体"/>
                                <w:sz w:val="24"/>
                                <w:szCs w:val="24"/>
                              </w:rPr>
                              <w:fldChar w:fldCharType="separate"/>
                            </w:r>
                            <w:r>
                              <w:rPr>
                                <w:rFonts w:hint="eastAsia" w:ascii="宋体" w:hAnsi="宋体" w:eastAsia="宋体"/>
                                <w:sz w:val="24"/>
                                <w:szCs w:val="24"/>
                              </w:rPr>
                              <w:t>3</w:t>
                            </w:r>
                            <w:r>
                              <w:rPr>
                                <w:rFonts w:hint="eastAsia" w:ascii="宋体" w:hAnsi="宋体" w:eastAsia="宋体"/>
                                <w:sz w:val="24"/>
                                <w:szCs w:val="24"/>
                              </w:rPr>
                              <w:fldChar w:fldCharType="end"/>
                            </w:r>
                            <w:r>
                              <w:rPr>
                                <w:rFonts w:ascii="宋体" w:hAnsi="宋体" w:eastAsia="宋体"/>
                                <w:sz w:val="24"/>
                                <w:szCs w:val="24"/>
                              </w:rPr>
                              <w:t xml:space="preserve"> Stage-1主模型分数与二级决策层最终分数的对应关系</w:t>
                            </w:r>
                            <w:bookmarkEnd w:id="93"/>
                            <w:bookmarkEnd w:id="9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0.05pt;margin-top:334.2pt;height:0.05pt;width:425.45pt;mso-wrap-distance-bottom:0pt;mso-wrap-distance-top:0pt;z-index:251666432;mso-width-relative:page;mso-height-relative:page;" fillcolor="#FFFFFF" filled="t" stroked="f" coordsize="21600,21600" o:gfxdata="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bb4fh2QAAAAkBAAAPAAAAAAAAAAEAIAAA&#10;ACIAAABkcnMvZG93bnJldi54bWxQSwECFAAUAAAACACHTuJAy6OakUQCAAB6BAAADgAAAAAAAAAB&#10;ACAAAAAoAQAAZHJzL2Uyb0RvYy54bWxQSwUGAAAAAAYABgBZAQAA3gUAAAAA&#10;">
                <v:fill on="t" focussize="0,0"/>
                <v:stroke on="f"/>
                <v:imagedata o:title=""/>
                <o:lock v:ext="edit" aspectratio="f"/>
                <v:textbox inset="0mm,0mm,0mm,0mm" style="mso-fit-shape-to-text:t;">
                  <w:txbxContent>
                    <w:p w14:paraId="52A144B5">
                      <w:pPr>
                        <w:pStyle w:val="5"/>
                        <w:jc w:val="center"/>
                        <w:rPr>
                          <w:rFonts w:hint="eastAsia" w:ascii="宋体" w:hAnsi="宋体" w:eastAsia="宋体" w:cs="Times New Roman"/>
                          <w:color w:val="000000" w:themeColor="text1"/>
                          <w:kern w:val="0"/>
                          <w:sz w:val="24"/>
                          <w:szCs w:val="24"/>
                          <w14:textFill>
                            <w14:solidFill>
                              <w14:schemeClr w14:val="tx1"/>
                            </w14:solidFill>
                          </w14:textFill>
                        </w:rPr>
                      </w:pPr>
                      <w:bookmarkStart w:id="93" w:name="_Toc228655994"/>
                      <w:bookmarkStart w:id="94" w:name="_Toc228654608"/>
                      <w:r>
                        <w:rPr>
                          <w:rFonts w:hint="eastAsia" w:ascii="宋体" w:hAnsi="宋体" w:eastAsia="宋体"/>
                          <w:sz w:val="24"/>
                          <w:szCs w:val="24"/>
                        </w:rPr>
                        <w:t xml:space="preserve">图 </w:t>
                      </w:r>
                      <w:r>
                        <w:rPr>
                          <w:rFonts w:hint="eastAsia" w:ascii="宋体" w:hAnsi="宋体" w:eastAsia="宋体"/>
                          <w:sz w:val="24"/>
                          <w:szCs w:val="24"/>
                        </w:rPr>
                        <w:fldChar w:fldCharType="begin"/>
                      </w:r>
                      <w:r>
                        <w:rPr>
                          <w:rFonts w:hint="eastAsia" w:ascii="宋体" w:hAnsi="宋体" w:eastAsia="宋体"/>
                          <w:sz w:val="24"/>
                          <w:szCs w:val="24"/>
                        </w:rPr>
                        <w:instrText xml:space="preserve"> SEQ 图 \* ARABIC </w:instrText>
                      </w:r>
                      <w:r>
                        <w:rPr>
                          <w:rFonts w:hint="eastAsia" w:ascii="宋体" w:hAnsi="宋体" w:eastAsia="宋体"/>
                          <w:sz w:val="24"/>
                          <w:szCs w:val="24"/>
                        </w:rPr>
                        <w:fldChar w:fldCharType="separate"/>
                      </w:r>
                      <w:r>
                        <w:rPr>
                          <w:rFonts w:hint="eastAsia" w:ascii="宋体" w:hAnsi="宋体" w:eastAsia="宋体"/>
                          <w:sz w:val="24"/>
                          <w:szCs w:val="24"/>
                        </w:rPr>
                        <w:t>3</w:t>
                      </w:r>
                      <w:r>
                        <w:rPr>
                          <w:rFonts w:hint="eastAsia" w:ascii="宋体" w:hAnsi="宋体" w:eastAsia="宋体"/>
                          <w:sz w:val="24"/>
                          <w:szCs w:val="24"/>
                        </w:rPr>
                        <w:fldChar w:fldCharType="end"/>
                      </w:r>
                      <w:r>
                        <w:rPr>
                          <w:rFonts w:ascii="宋体" w:hAnsi="宋体" w:eastAsia="宋体"/>
                          <w:sz w:val="24"/>
                          <w:szCs w:val="24"/>
                        </w:rPr>
                        <w:t xml:space="preserve"> Stage-1主模型分数与二级决策层最终分数的对应关系</w:t>
                      </w:r>
                      <w:bookmarkEnd w:id="93"/>
                      <w:bookmarkEnd w:id="94"/>
                    </w:p>
                  </w:txbxContent>
                </v:textbox>
                <w10:wrap type="topAndBottom"/>
              </v:shape>
            </w:pict>
          </mc:Fallback>
        </mc:AlternateContent>
      </w:r>
      <w:r>
        <w:rPr>
          <w:rFonts w:ascii="Times New Roman" w:hAnsi="Times New Roman" w:cs="Times New Roman"/>
          <w:color w:val="000000" w:themeColor="text1"/>
          <w14:textFill>
            <w14:solidFill>
              <w14:schemeClr w14:val="tx1"/>
            </w14:solidFill>
          </w14:textFill>
        </w:rPr>
        <w:drawing>
          <wp:anchor distT="0" distB="0" distL="114300" distR="114300" simplePos="0" relativeHeight="251665408" behindDoc="0" locked="0" layoutInCell="1" allowOverlap="1">
            <wp:simplePos x="0" y="0"/>
            <wp:positionH relativeFrom="column">
              <wp:posOffset>990600</wp:posOffset>
            </wp:positionH>
            <wp:positionV relativeFrom="paragraph">
              <wp:posOffset>608965</wp:posOffset>
            </wp:positionV>
            <wp:extent cx="3325495" cy="3325495"/>
            <wp:effectExtent l="0" t="0" r="8255" b="8255"/>
            <wp:wrapTopAndBottom/>
            <wp:docPr id="1639740010" name="图片 1639740010" descr="score_main_vs_score_stack_final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40010" name="图片 1639740010" descr="score_main_vs_score_stack_final_scatte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325495" cy="3325495"/>
                    </a:xfrm>
                    <a:prstGeom prst="rect">
                      <a:avLst/>
                    </a:prstGeom>
                  </pic:spPr>
                </pic:pic>
              </a:graphicData>
            </a:graphic>
          </wp:anchor>
        </w:drawing>
      </w:r>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2、</w:t>
      </w:r>
      <w:r>
        <w:rPr>
          <w:rFonts w:cs="Times New Roman" w:asciiTheme="majorEastAsia" w:hAnsiTheme="majorEastAsia" w:eastAsiaTheme="majorEastAsia"/>
          <w:b/>
          <w:bCs/>
          <w:color w:val="000000" w:themeColor="text1"/>
          <w:kern w:val="0"/>
          <w:sz w:val="24"/>
          <w:lang w:bidi="ar"/>
          <w14:textFill>
            <w14:solidFill>
              <w14:schemeClr w14:val="tx1"/>
            </w14:solidFill>
          </w14:textFill>
        </w:rPr>
        <w:t>模型的可解释性</w:t>
      </w:r>
      <w:bookmarkEnd w:id="50"/>
      <w:bookmarkStart w:id="51" w:name="OLE_LINK10"/>
    </w:p>
    <w:p w14:paraId="678C82A1">
      <w:pPr>
        <w:pStyle w:val="14"/>
        <w:spacing w:before="0" w:beforeAutospacing="0" w:after="0" w:afterAutospacing="0"/>
        <w:ind w:firstLine="42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如图3所示，横轴为Stage-1主模型输出的初始预测分数，纵轴为经GAUR-XGB二级决策层校准后的最终分数。若样本分布完全集中于对角线附近，说明二级决策层对主模型输出的调整幅度较小；反之，若部分样本明显偏离对角线，则表示二级决策层对这些样本进行了显著的再校准。由图3可知，二级决策层并非对所有样本进行均匀调整，而是主要针对部分高分样本或边界样本进行重新分配。这表明二级决策层的作用并非简单重复主模型的判断，而是对其输出结果进行选择性修正。上述结果说明，二级决策层能够在保留主模型整体排序趋势的同时，对潜在不稳定样本进一步筛查，从而提升最终候选集合的可靠性。</w:t>
      </w:r>
    </w:p>
    <w:p w14:paraId="147C451D">
      <w:pPr>
        <w:pStyle w:val="14"/>
        <w:spacing w:before="0" w:beforeAutospacing="0" w:after="0" w:afterAutospacing="0"/>
        <w:jc w:val="both"/>
        <w:rPr>
          <w:rFonts w:ascii="Times New Roman" w:hAnsi="Times New Roman" w:cs="Times New Roman" w:eastAsiaTheme="minorEastAsia"/>
          <w:color w:val="000000" w:themeColor="text1"/>
          <w14:textFill>
            <w14:solidFill>
              <w14:schemeClr w14:val="tx1"/>
            </w14:solidFill>
          </w14:textFill>
        </w:rPr>
      </w:pPr>
      <w:r>
        <mc:AlternateContent>
          <mc:Choice Requires="wps">
            <w:drawing>
              <wp:anchor distT="0" distB="0" distL="114300" distR="114300" simplePos="0" relativeHeight="251667456" behindDoc="0" locked="0" layoutInCell="1" allowOverlap="1">
                <wp:simplePos x="0" y="0"/>
                <wp:positionH relativeFrom="column">
                  <wp:posOffset>572770</wp:posOffset>
                </wp:positionH>
                <wp:positionV relativeFrom="paragraph">
                  <wp:posOffset>2093595</wp:posOffset>
                </wp:positionV>
                <wp:extent cx="4069715" cy="635"/>
                <wp:effectExtent l="0" t="0" r="0" b="0"/>
                <wp:wrapTopAndBottom/>
                <wp:docPr id="1015818325" name="文本框 1"/>
                <wp:cNvGraphicFramePr/>
                <a:graphic xmlns:a="http://schemas.openxmlformats.org/drawingml/2006/main">
                  <a:graphicData uri="http://schemas.microsoft.com/office/word/2010/wordprocessingShape">
                    <wps:wsp>
                      <wps:cNvSpPr txBox="1"/>
                      <wps:spPr>
                        <a:xfrm>
                          <a:off x="0" y="0"/>
                          <a:ext cx="4069715" cy="635"/>
                        </a:xfrm>
                        <a:prstGeom prst="rect">
                          <a:avLst/>
                        </a:prstGeom>
                        <a:solidFill>
                          <a:prstClr val="white"/>
                        </a:solidFill>
                        <a:ln>
                          <a:noFill/>
                        </a:ln>
                      </wps:spPr>
                      <wps:txbx>
                        <w:txbxContent>
                          <w:p w14:paraId="13129629">
                            <w:pPr>
                              <w:pStyle w:val="5"/>
                              <w:jc w:val="center"/>
                              <w:rPr>
                                <w:rFonts w:hint="eastAsia" w:ascii="宋体" w:hAnsi="宋体" w:eastAsia="宋体" w:cs="Times New Roman"/>
                                <w:color w:val="000000" w:themeColor="text1"/>
                                <w:kern w:val="0"/>
                                <w:sz w:val="24"/>
                                <w:szCs w:val="24"/>
                                <w14:textFill>
                                  <w14:solidFill>
                                    <w14:schemeClr w14:val="tx1"/>
                                  </w14:solidFill>
                                </w14:textFill>
                              </w:rPr>
                            </w:pPr>
                            <w:bookmarkStart w:id="95" w:name="_Toc228655995"/>
                            <w:bookmarkStart w:id="96" w:name="_Toc228654609"/>
                            <w:r>
                              <w:rPr>
                                <w:rFonts w:hint="eastAsia" w:ascii="宋体" w:hAnsi="宋体" w:eastAsia="宋体"/>
                                <w:sz w:val="24"/>
                                <w:szCs w:val="24"/>
                              </w:rPr>
                              <w:t xml:space="preserve">图 </w:t>
                            </w:r>
                            <w:r>
                              <w:rPr>
                                <w:rFonts w:hint="eastAsia" w:ascii="宋体" w:hAnsi="宋体" w:eastAsia="宋体"/>
                                <w:sz w:val="24"/>
                                <w:szCs w:val="24"/>
                              </w:rPr>
                              <w:fldChar w:fldCharType="begin"/>
                            </w:r>
                            <w:r>
                              <w:rPr>
                                <w:rFonts w:hint="eastAsia" w:ascii="宋体" w:hAnsi="宋体" w:eastAsia="宋体"/>
                                <w:sz w:val="24"/>
                                <w:szCs w:val="24"/>
                              </w:rPr>
                              <w:instrText xml:space="preserve"> SEQ 图 \* ARABIC </w:instrText>
                            </w:r>
                            <w:r>
                              <w:rPr>
                                <w:rFonts w:hint="eastAsia" w:ascii="宋体" w:hAnsi="宋体" w:eastAsia="宋体"/>
                                <w:sz w:val="24"/>
                                <w:szCs w:val="24"/>
                              </w:rPr>
                              <w:fldChar w:fldCharType="separate"/>
                            </w:r>
                            <w:r>
                              <w:rPr>
                                <w:rFonts w:hint="eastAsia" w:ascii="宋体" w:hAnsi="宋体" w:eastAsia="宋体"/>
                                <w:sz w:val="24"/>
                                <w:szCs w:val="24"/>
                              </w:rPr>
                              <w:t>4</w:t>
                            </w:r>
                            <w:r>
                              <w:rPr>
                                <w:rFonts w:hint="eastAsia" w:ascii="宋体" w:hAnsi="宋体" w:eastAsia="宋体"/>
                                <w:sz w:val="24"/>
                                <w:szCs w:val="24"/>
                              </w:rPr>
                              <w:fldChar w:fldCharType="end"/>
                            </w:r>
                            <w:r>
                              <w:rPr>
                                <w:rFonts w:ascii="宋体" w:hAnsi="宋体" w:eastAsia="宋体"/>
                                <w:sz w:val="24"/>
                                <w:szCs w:val="24"/>
                              </w:rPr>
                              <w:t>二级决策层中一致性奖励与不确定性惩罚的分布情况</w:t>
                            </w:r>
                            <w:bookmarkEnd w:id="95"/>
                            <w:bookmarkEnd w:id="9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45.1pt;margin-top:164.85pt;height:0.05pt;width:320.45pt;mso-wrap-distance-bottom:0pt;mso-wrap-distance-top:0pt;z-index:251667456;mso-width-relative:page;mso-height-relative:page;" fillcolor="#FFFFFF" filled="t" stroked="f" coordsize="21600,21600" o:gfxdata="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89BR8NsAAAAKAQAADwAAAAAAAAABACAA&#10;AAAiAAAAZHJzL2Rvd25yZXYueG1sUEsBAhQAFAAAAAgAh07iQJuZcX1DAgAAewQAAA4AAAAAAAAA&#10;AQAgAAAAKgEAAGRycy9lMm9Eb2MueG1sUEsFBgAAAAAGAAYAWQEAAN8FAAAAAA==&#10;">
                <v:fill on="t" focussize="0,0"/>
                <v:stroke on="f"/>
                <v:imagedata o:title=""/>
                <o:lock v:ext="edit" aspectratio="f"/>
                <v:textbox inset="0mm,0mm,0mm,0mm" style="mso-fit-shape-to-text:t;">
                  <w:txbxContent>
                    <w:p w14:paraId="13129629">
                      <w:pPr>
                        <w:pStyle w:val="5"/>
                        <w:jc w:val="center"/>
                        <w:rPr>
                          <w:rFonts w:hint="eastAsia" w:ascii="宋体" w:hAnsi="宋体" w:eastAsia="宋体" w:cs="Times New Roman"/>
                          <w:color w:val="000000" w:themeColor="text1"/>
                          <w:kern w:val="0"/>
                          <w:sz w:val="24"/>
                          <w:szCs w:val="24"/>
                          <w14:textFill>
                            <w14:solidFill>
                              <w14:schemeClr w14:val="tx1"/>
                            </w14:solidFill>
                          </w14:textFill>
                        </w:rPr>
                      </w:pPr>
                      <w:bookmarkStart w:id="95" w:name="_Toc228655995"/>
                      <w:bookmarkStart w:id="96" w:name="_Toc228654609"/>
                      <w:r>
                        <w:rPr>
                          <w:rFonts w:hint="eastAsia" w:ascii="宋体" w:hAnsi="宋体" w:eastAsia="宋体"/>
                          <w:sz w:val="24"/>
                          <w:szCs w:val="24"/>
                        </w:rPr>
                        <w:t xml:space="preserve">图 </w:t>
                      </w:r>
                      <w:r>
                        <w:rPr>
                          <w:rFonts w:hint="eastAsia" w:ascii="宋体" w:hAnsi="宋体" w:eastAsia="宋体"/>
                          <w:sz w:val="24"/>
                          <w:szCs w:val="24"/>
                        </w:rPr>
                        <w:fldChar w:fldCharType="begin"/>
                      </w:r>
                      <w:r>
                        <w:rPr>
                          <w:rFonts w:hint="eastAsia" w:ascii="宋体" w:hAnsi="宋体" w:eastAsia="宋体"/>
                          <w:sz w:val="24"/>
                          <w:szCs w:val="24"/>
                        </w:rPr>
                        <w:instrText xml:space="preserve"> SEQ 图 \* ARABIC </w:instrText>
                      </w:r>
                      <w:r>
                        <w:rPr>
                          <w:rFonts w:hint="eastAsia" w:ascii="宋体" w:hAnsi="宋体" w:eastAsia="宋体"/>
                          <w:sz w:val="24"/>
                          <w:szCs w:val="24"/>
                        </w:rPr>
                        <w:fldChar w:fldCharType="separate"/>
                      </w:r>
                      <w:r>
                        <w:rPr>
                          <w:rFonts w:hint="eastAsia" w:ascii="宋体" w:hAnsi="宋体" w:eastAsia="宋体"/>
                          <w:sz w:val="24"/>
                          <w:szCs w:val="24"/>
                        </w:rPr>
                        <w:t>4</w:t>
                      </w:r>
                      <w:r>
                        <w:rPr>
                          <w:rFonts w:hint="eastAsia" w:ascii="宋体" w:hAnsi="宋体" w:eastAsia="宋体"/>
                          <w:sz w:val="24"/>
                          <w:szCs w:val="24"/>
                        </w:rPr>
                        <w:fldChar w:fldCharType="end"/>
                      </w:r>
                      <w:r>
                        <w:rPr>
                          <w:rFonts w:ascii="宋体" w:hAnsi="宋体" w:eastAsia="宋体"/>
                          <w:sz w:val="24"/>
                          <w:szCs w:val="24"/>
                        </w:rPr>
                        <w:t>二级决策层中一致性奖励与不确定性惩罚的分布情况</w:t>
                      </w:r>
                      <w:bookmarkEnd w:id="95"/>
                      <w:bookmarkEnd w:id="96"/>
                    </w:p>
                  </w:txbxContent>
                </v:textbox>
                <w10:wrap type="topAndBottom"/>
              </v:shape>
            </w:pict>
          </mc:Fallback>
        </mc:AlternateContent>
      </w:r>
      <w:r>
        <w:rPr>
          <w:rFonts w:ascii="Times New Roman" w:hAnsi="Times New Roman" w:cs="Times New Roman"/>
          <w:color w:val="000000" w:themeColor="text1"/>
          <w:szCs w:val="21"/>
          <w14:textFill>
            <w14:solidFill>
              <w14:schemeClr w14:val="tx1"/>
            </w14:solidFill>
          </w14:textFill>
        </w:rPr>
        <w:drawing>
          <wp:anchor distT="0" distB="0" distL="114300" distR="114300" simplePos="0" relativeHeight="251661312" behindDoc="0" locked="0" layoutInCell="1" allowOverlap="1">
            <wp:simplePos x="0" y="0"/>
            <wp:positionH relativeFrom="column">
              <wp:posOffset>572770</wp:posOffset>
            </wp:positionH>
            <wp:positionV relativeFrom="paragraph">
              <wp:posOffset>0</wp:posOffset>
            </wp:positionV>
            <wp:extent cx="4069715" cy="2036445"/>
            <wp:effectExtent l="0" t="0" r="6985" b="1905"/>
            <wp:wrapTopAndBottom/>
            <wp:docPr id="13" name="图片 13" desc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69715" cy="2036445"/>
                    </a:xfrm>
                    <a:prstGeom prst="rect">
                      <a:avLst/>
                    </a:prstGeom>
                  </pic:spPr>
                </pic:pic>
              </a:graphicData>
            </a:graphic>
          </wp:anchor>
        </w:drawing>
      </w:r>
    </w:p>
    <w:bookmarkEnd w:id="51"/>
    <w:p w14:paraId="7E742F37">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如图4所示，本文进一步比较了一致性奖励与不确定性惩罚在不同类别样本中的分布差异。其中，一致性奖励用于表征不同分支预测结果之间的一致性程度，而不确定性惩罚用于度量样本预测结果的不确定性。由图可知，不同类别样本在一致性奖励与不确定性惩罚上的分布存在显著差异，表明二级决策层在进行最终排序时，不仅参考主模型分数，还综合利用了多分支之间的一致性与预测不确定性信息。该结果表明，GAUR‑XGB二级决策层提高特异性的原因并非简单提高分类阈值，而是通过对高不确定性样本施加惩罚、对多分支一致样本给予奖励，从而有效抑制假阳性样本。</w:t>
      </w:r>
    </w:p>
    <w:p w14:paraId="4A444E56">
      <w:pPr>
        <w:pStyle w:val="14"/>
        <w:spacing w:before="0" w:beforeAutospacing="0" w:after="0" w:afterAutospacing="0"/>
        <w:jc w:val="both"/>
        <w:rPr>
          <w:rFonts w:ascii="Times New Roman" w:hAnsi="Times New Roman" w:cs="Times New Roman" w:eastAsiaTheme="minorEastAsia"/>
          <w:color w:val="000000" w:themeColor="text1"/>
          <w14:textFill>
            <w14:solidFill>
              <w14:schemeClr w14:val="tx1"/>
            </w14:solidFill>
          </w14:textFill>
        </w:rPr>
      </w:pPr>
      <w:r>
        <mc:AlternateContent>
          <mc:Choice Requires="wps">
            <w:drawing>
              <wp:anchor distT="0" distB="0" distL="114300" distR="114300" simplePos="0" relativeHeight="251669504" behindDoc="0" locked="0" layoutInCell="1" allowOverlap="1">
                <wp:simplePos x="0" y="0"/>
                <wp:positionH relativeFrom="column">
                  <wp:posOffset>152400</wp:posOffset>
                </wp:positionH>
                <wp:positionV relativeFrom="paragraph">
                  <wp:posOffset>2216150</wp:posOffset>
                </wp:positionV>
                <wp:extent cx="5266055" cy="635"/>
                <wp:effectExtent l="0" t="0" r="0" b="0"/>
                <wp:wrapTopAndBottom/>
                <wp:docPr id="708845835" name="文本框 1"/>
                <wp:cNvGraphicFramePr/>
                <a:graphic xmlns:a="http://schemas.openxmlformats.org/drawingml/2006/main">
                  <a:graphicData uri="http://schemas.microsoft.com/office/word/2010/wordprocessingShape">
                    <wps:wsp>
                      <wps:cNvSpPr txBox="1"/>
                      <wps:spPr>
                        <a:xfrm>
                          <a:off x="0" y="0"/>
                          <a:ext cx="5266055" cy="635"/>
                        </a:xfrm>
                        <a:prstGeom prst="rect">
                          <a:avLst/>
                        </a:prstGeom>
                        <a:solidFill>
                          <a:prstClr val="white"/>
                        </a:solidFill>
                        <a:ln>
                          <a:noFill/>
                        </a:ln>
                      </wps:spPr>
                      <wps:txbx>
                        <w:txbxContent>
                          <w:p w14:paraId="5C6A08E0">
                            <w:pPr>
                              <w:pStyle w:val="5"/>
                              <w:jc w:val="center"/>
                              <w:rPr>
                                <w:rFonts w:hint="eastAsia" w:ascii="宋体" w:hAnsi="宋体" w:eastAsia="宋体" w:cs="Times New Roman"/>
                                <w:color w:val="000000" w:themeColor="text1"/>
                                <w:kern w:val="0"/>
                                <w:sz w:val="24"/>
                                <w:szCs w:val="24"/>
                                <w14:textFill>
                                  <w14:solidFill>
                                    <w14:schemeClr w14:val="tx1"/>
                                  </w14:solidFill>
                                </w14:textFill>
                              </w:rPr>
                            </w:pPr>
                            <w:bookmarkStart w:id="97" w:name="_Toc228654610"/>
                            <w:bookmarkStart w:id="98" w:name="_Toc228655996"/>
                            <w:r>
                              <w:rPr>
                                <w:rFonts w:hint="eastAsia" w:ascii="宋体" w:hAnsi="宋体" w:eastAsia="宋体"/>
                                <w:sz w:val="24"/>
                                <w:szCs w:val="24"/>
                              </w:rPr>
                              <w:t xml:space="preserve">图 </w:t>
                            </w:r>
                            <w:r>
                              <w:rPr>
                                <w:rFonts w:hint="eastAsia" w:ascii="宋体" w:hAnsi="宋体" w:eastAsia="宋体"/>
                                <w:sz w:val="24"/>
                                <w:szCs w:val="24"/>
                              </w:rPr>
                              <w:fldChar w:fldCharType="begin"/>
                            </w:r>
                            <w:r>
                              <w:rPr>
                                <w:rFonts w:hint="eastAsia" w:ascii="宋体" w:hAnsi="宋体" w:eastAsia="宋体"/>
                                <w:sz w:val="24"/>
                                <w:szCs w:val="24"/>
                              </w:rPr>
                              <w:instrText xml:space="preserve"> SEQ 图 \* ARABIC </w:instrText>
                            </w:r>
                            <w:r>
                              <w:rPr>
                                <w:rFonts w:hint="eastAsia" w:ascii="宋体" w:hAnsi="宋体" w:eastAsia="宋体"/>
                                <w:sz w:val="24"/>
                                <w:szCs w:val="24"/>
                              </w:rPr>
                              <w:fldChar w:fldCharType="separate"/>
                            </w:r>
                            <w:r>
                              <w:rPr>
                                <w:rFonts w:hint="eastAsia" w:ascii="宋体" w:hAnsi="宋体" w:eastAsia="宋体"/>
                                <w:sz w:val="24"/>
                                <w:szCs w:val="24"/>
                              </w:rPr>
                              <w:t>5</w:t>
                            </w:r>
                            <w:r>
                              <w:rPr>
                                <w:rFonts w:hint="eastAsia" w:ascii="宋体" w:hAnsi="宋体" w:eastAsia="宋体"/>
                                <w:sz w:val="24"/>
                                <w:szCs w:val="24"/>
                              </w:rPr>
                              <w:fldChar w:fldCharType="end"/>
                            </w:r>
                            <w:r>
                              <w:rPr>
                                <w:rFonts w:ascii="宋体" w:hAnsi="宋体" w:eastAsia="宋体"/>
                                <w:sz w:val="24"/>
                                <w:szCs w:val="24"/>
                              </w:rPr>
                              <w:t>门控融合模型中不同特征分支权重在正负样本中的分布</w:t>
                            </w:r>
                            <w:bookmarkEnd w:id="97"/>
                            <w:bookmarkEnd w:id="9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2pt;margin-top:174.5pt;height:0.05pt;width:414.65pt;mso-wrap-distance-bottom:0pt;mso-wrap-distance-top:0pt;z-index:251669504;mso-width-relative:page;mso-height-relative:page;" fillcolor="#FFFFFF" filled="t" stroked="f" coordsize="21600,21600" o:gfxdata="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S4nectoAAAAKAQAADwAAAAAAAAABACAAAAAi&#10;AAAAZHJzL2Rvd25yZXYueG1sUEsBAhQAFAAAAAgAh07iQAhjQJ9BAgAAegQAAA4AAAAAAAAAAQAg&#10;AAAAKQEAAGRycy9lMm9Eb2MueG1sUEsFBgAAAAAGAAYAWQEAANwFAAAAAA==&#10;">
                <v:fill on="t" focussize="0,0"/>
                <v:stroke on="f"/>
                <v:imagedata o:title=""/>
                <o:lock v:ext="edit" aspectratio="f"/>
                <v:textbox inset="0mm,0mm,0mm,0mm" style="mso-fit-shape-to-text:t;">
                  <w:txbxContent>
                    <w:p w14:paraId="5C6A08E0">
                      <w:pPr>
                        <w:pStyle w:val="5"/>
                        <w:jc w:val="center"/>
                        <w:rPr>
                          <w:rFonts w:hint="eastAsia" w:ascii="宋体" w:hAnsi="宋体" w:eastAsia="宋体" w:cs="Times New Roman"/>
                          <w:color w:val="000000" w:themeColor="text1"/>
                          <w:kern w:val="0"/>
                          <w:sz w:val="24"/>
                          <w:szCs w:val="24"/>
                          <w14:textFill>
                            <w14:solidFill>
                              <w14:schemeClr w14:val="tx1"/>
                            </w14:solidFill>
                          </w14:textFill>
                        </w:rPr>
                      </w:pPr>
                      <w:bookmarkStart w:id="97" w:name="_Toc228654610"/>
                      <w:bookmarkStart w:id="98" w:name="_Toc228655996"/>
                      <w:r>
                        <w:rPr>
                          <w:rFonts w:hint="eastAsia" w:ascii="宋体" w:hAnsi="宋体" w:eastAsia="宋体"/>
                          <w:sz w:val="24"/>
                          <w:szCs w:val="24"/>
                        </w:rPr>
                        <w:t xml:space="preserve">图 </w:t>
                      </w:r>
                      <w:r>
                        <w:rPr>
                          <w:rFonts w:hint="eastAsia" w:ascii="宋体" w:hAnsi="宋体" w:eastAsia="宋体"/>
                          <w:sz w:val="24"/>
                          <w:szCs w:val="24"/>
                        </w:rPr>
                        <w:fldChar w:fldCharType="begin"/>
                      </w:r>
                      <w:r>
                        <w:rPr>
                          <w:rFonts w:hint="eastAsia" w:ascii="宋体" w:hAnsi="宋体" w:eastAsia="宋体"/>
                          <w:sz w:val="24"/>
                          <w:szCs w:val="24"/>
                        </w:rPr>
                        <w:instrText xml:space="preserve"> SEQ 图 \* ARABIC </w:instrText>
                      </w:r>
                      <w:r>
                        <w:rPr>
                          <w:rFonts w:hint="eastAsia" w:ascii="宋体" w:hAnsi="宋体" w:eastAsia="宋体"/>
                          <w:sz w:val="24"/>
                          <w:szCs w:val="24"/>
                        </w:rPr>
                        <w:fldChar w:fldCharType="separate"/>
                      </w:r>
                      <w:r>
                        <w:rPr>
                          <w:rFonts w:hint="eastAsia" w:ascii="宋体" w:hAnsi="宋体" w:eastAsia="宋体"/>
                          <w:sz w:val="24"/>
                          <w:szCs w:val="24"/>
                        </w:rPr>
                        <w:t>5</w:t>
                      </w:r>
                      <w:r>
                        <w:rPr>
                          <w:rFonts w:hint="eastAsia" w:ascii="宋体" w:hAnsi="宋体" w:eastAsia="宋体"/>
                          <w:sz w:val="24"/>
                          <w:szCs w:val="24"/>
                        </w:rPr>
                        <w:fldChar w:fldCharType="end"/>
                      </w:r>
                      <w:r>
                        <w:rPr>
                          <w:rFonts w:ascii="宋体" w:hAnsi="宋体" w:eastAsia="宋体"/>
                          <w:sz w:val="24"/>
                          <w:szCs w:val="24"/>
                        </w:rPr>
                        <w:t>门控融合模型中不同特征分支权重在正负样本中的分布</w:t>
                      </w:r>
                      <w:bookmarkEnd w:id="97"/>
                      <w:bookmarkEnd w:id="98"/>
                    </w:p>
                  </w:txbxContent>
                </v:textbox>
                <w10:wrap type="topAndBottom"/>
              </v:shape>
            </w:pict>
          </mc:Fallback>
        </mc:AlternateContent>
      </w:r>
      <w:r>
        <w:rPr>
          <w:rFonts w:ascii="Times New Roman" w:hAnsi="Times New Roman" w:cs="Times New Roman"/>
          <w:color w:val="000000" w:themeColor="text1"/>
          <w14:textFill>
            <w14:solidFill>
              <w14:schemeClr w14:val="tx1"/>
            </w14:solidFill>
          </w14:textFill>
        </w:rPr>
        <w:drawing>
          <wp:anchor distT="0" distB="0" distL="114300" distR="114300" simplePos="0" relativeHeight="251668480" behindDoc="0" locked="0" layoutInCell="1" allowOverlap="1">
            <wp:simplePos x="0" y="0"/>
            <wp:positionH relativeFrom="column">
              <wp:posOffset>0</wp:posOffset>
            </wp:positionH>
            <wp:positionV relativeFrom="paragraph">
              <wp:posOffset>304800</wp:posOffset>
            </wp:positionV>
            <wp:extent cx="5266055" cy="1753870"/>
            <wp:effectExtent l="0" t="0" r="0" b="0"/>
            <wp:wrapTopAndBottom/>
            <wp:docPr id="2146839605" name="图片 2146839605" descr="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39605" name="图片 2146839605" descr="T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266055" cy="1753870"/>
                    </a:xfrm>
                    <a:prstGeom prst="rect">
                      <a:avLst/>
                    </a:prstGeom>
                  </pic:spPr>
                </pic:pic>
              </a:graphicData>
            </a:graphic>
          </wp:anchor>
        </w:drawing>
      </w:r>
    </w:p>
    <w:p w14:paraId="397E0EBC">
      <w:pPr>
        <w:pStyle w:val="14"/>
        <w:keepNext/>
        <w:spacing w:before="0" w:beforeAutospacing="0" w:after="0" w:afterAutospacing="0"/>
        <w:ind w:firstLine="480" w:firstLineChars="200"/>
        <w:jc w:val="both"/>
        <w:rPr>
          <w:rFonts w:hint="eastAsia"/>
        </w:rPr>
      </w:pPr>
      <w:bookmarkStart w:id="52" w:name="OLE_LINK13"/>
      <w:r>
        <w:rPr>
          <w:rFonts w:ascii="Times New Roman" w:hAnsi="Times New Roman" w:cs="Times New Roman" w:eastAsiaTheme="minorEastAsia"/>
          <w:color w:val="000000" w:themeColor="text1"/>
          <w14:textFill>
            <w14:solidFill>
              <w14:schemeClr w14:val="tx1"/>
            </w14:solidFill>
          </w14:textFill>
        </w:rPr>
        <w:t>如图5所示，本文统计了门控融合模型中三类特征分支（ESM2分支、ProtBert分支和手工特征分支）的权重在正负样本中的分布情况。由图可知，不同类别样本在各分支权重上的分布存在差异，表明模型并非对所有输入样本机械地采用固定特征组合，而是能够根据样本特征自适应调整各分支的贡献比例。该结果说明，本文提出的门控融合机制可针对不同肽段动态选择更具判别力的信息来源，从而增强模型对复杂样本的适应能力。换言之，模型的最终判断并非单一依赖某类特征，而是通过门控机制在深层语义表征与可解释手工特征之间实现动态平衡，这也从机制层面提升了模型的可解释性。</w:t>
      </w:r>
      <w:bookmarkEnd w:id="52"/>
    </w:p>
    <w:p w14:paraId="340825CD">
      <w:pPr>
        <w:pStyle w:val="14"/>
        <w:spacing w:before="0" w:beforeAutospacing="0" w:after="0" w:afterAutospacing="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drawing>
          <wp:anchor distT="0" distB="0" distL="114300" distR="114300" simplePos="0" relativeHeight="251662336" behindDoc="0" locked="0" layoutInCell="1" allowOverlap="1">
            <wp:simplePos x="0" y="0"/>
            <wp:positionH relativeFrom="column">
              <wp:posOffset>602615</wp:posOffset>
            </wp:positionH>
            <wp:positionV relativeFrom="paragraph">
              <wp:posOffset>0</wp:posOffset>
            </wp:positionV>
            <wp:extent cx="4113530" cy="3525520"/>
            <wp:effectExtent l="0" t="0" r="1270" b="0"/>
            <wp:wrapTopAndBottom/>
            <wp:docPr id="14" name="图片 14" descr="calibration_main_vs_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alibration_main_vs_stack"/>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113530" cy="3525520"/>
                    </a:xfrm>
                    <a:prstGeom prst="rect">
                      <a:avLst/>
                    </a:prstGeom>
                  </pic:spPr>
                </pic:pic>
              </a:graphicData>
            </a:graphic>
          </wp:anchor>
        </w:drawing>
      </w:r>
    </w:p>
    <w:p w14:paraId="379F0BB4">
      <w:pPr>
        <w:pStyle w:val="14"/>
        <w:spacing w:before="0" w:beforeAutospacing="0" w:after="0" w:afterAutospacing="0"/>
        <w:ind w:firstLine="480" w:firstLineChars="200"/>
        <w:jc w:val="center"/>
        <w:rPr>
          <w:rFonts w:hint="eastAsia" w:cs="Times New Roman"/>
          <w:color w:val="000000" w:themeColor="text1"/>
          <w14:textFill>
            <w14:solidFill>
              <w14:schemeClr w14:val="tx1"/>
            </w14:solidFill>
          </w14:textFill>
        </w:rPr>
      </w:pPr>
      <w:bookmarkStart w:id="53" w:name="_Toc228655997"/>
      <w:bookmarkStart w:id="54" w:name="_Toc228654611"/>
      <w:r>
        <w:rPr>
          <w:rFonts w:cs="Times New Roman"/>
          <w:color w:val="000000" w:themeColor="text1"/>
          <w14:textFill>
            <w14:solidFill>
              <w14:schemeClr w14:val="tx1"/>
            </w14:solidFill>
          </w14:textFill>
        </w:rPr>
        <w:t xml:space="preserve">图 </w:t>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SEQ 图 \* ARABIC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6</w:t>
      </w:r>
      <w:r>
        <w:rPr>
          <w:rFonts w:cs="Times New Roman"/>
          <w:color w:val="000000" w:themeColor="text1"/>
          <w14:textFill>
            <w14:solidFill>
              <w14:schemeClr w14:val="tx1"/>
            </w14:solidFill>
          </w14:textFill>
        </w:rPr>
        <w:fldChar w:fldCharType="end"/>
      </w:r>
      <w:bookmarkStart w:id="55" w:name="_Toc18194"/>
      <w:bookmarkStart w:id="56" w:name="_Toc14807"/>
      <w:r>
        <w:rPr>
          <w:rFonts w:cs="Times New Roman"/>
          <w:color w:val="000000" w:themeColor="text1"/>
          <w14:textFill>
            <w14:solidFill>
              <w14:schemeClr w14:val="tx1"/>
            </w14:solidFill>
          </w14:textFill>
        </w:rPr>
        <w:t xml:space="preserve"> 主模型与二级决策层模型的校准曲线比较</w:t>
      </w:r>
      <w:bookmarkEnd w:id="53"/>
      <w:bookmarkEnd w:id="54"/>
      <w:bookmarkEnd w:id="55"/>
      <w:bookmarkEnd w:id="56"/>
    </w:p>
    <w:p w14:paraId="6B90D73F">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bookmarkStart w:id="57" w:name="OLE_LINK14"/>
      <w:r>
        <w:rPr>
          <w:rFonts w:ascii="Times New Roman" w:hAnsi="Times New Roman" w:cs="Times New Roman" w:eastAsiaTheme="minorEastAsia"/>
          <w:color w:val="000000" w:themeColor="text1"/>
          <w14:textFill>
            <w14:solidFill>
              <w14:schemeClr w14:val="tx1"/>
            </w14:solidFill>
          </w14:textFill>
        </w:rPr>
        <w:t>如图6所示，本文进一步比较了Stage-1主模型与引入二级决策层后的模型在概率输出上的校准情况。理想情况下，模型预测概率与真实观测频率应尽可能接近对角线。由图可知，主模型与二级决策层模型在校准表现上存在差异，结合图中给出的Brier score（布里尔分数）与ECE（Expected Calibration Error，期望校准误差）指标，可以更客观地评价两者在概率输出可靠性上的区别。该结果说明，二级决策层不仅影响最终分类结果，还会改变模型输出分数的概率解释方式。在实际部署中，这种校准差异具有重要意义：当模型需要用于大规模候选肽筛选时，输出分数不仅要具备排序能力，还应尽量具有更稳定的概率含义。因此，校准曲线分析进一步支持了本文在真实应用场景中采用带二级决策层模型进行候选筛选的合理性。</w:t>
      </w:r>
    </w:p>
    <w:bookmarkEnd w:id="57"/>
    <w:p w14:paraId="2E9E8A71">
      <w:pPr>
        <w:pStyle w:val="3"/>
        <w:rPr>
          <w:rFonts w:hint="eastAsia" w:ascii="楷体" w:hAnsi="楷体" w:eastAsia="楷体" w:cs="Times New Roman"/>
          <w:color w:val="000000" w:themeColor="text1"/>
          <w:sz w:val="28"/>
          <w:szCs w:val="28"/>
          <w14:textFill>
            <w14:solidFill>
              <w14:schemeClr w14:val="tx1"/>
            </w14:solidFill>
          </w14:textFill>
        </w:rPr>
      </w:pPr>
      <w:bookmarkStart w:id="58" w:name="_Toc6812"/>
      <w:r>
        <w:rPr>
          <w:rFonts w:hint="eastAsia" w:ascii="楷体" w:hAnsi="楷体" w:eastAsia="楷体" w:cs="Times New Roman"/>
          <w:color w:val="000000" w:themeColor="text1"/>
          <w:sz w:val="28"/>
          <w:szCs w:val="28"/>
          <w14:textFill>
            <w14:solidFill>
              <w14:schemeClr w14:val="tx1"/>
            </w14:solidFill>
          </w14:textFill>
        </w:rPr>
        <w:t>（二）</w:t>
      </w:r>
      <w:r>
        <w:rPr>
          <w:rFonts w:ascii="楷体" w:hAnsi="楷体" w:eastAsia="楷体" w:cs="Times New Roman"/>
          <w:color w:val="000000" w:themeColor="text1"/>
          <w:sz w:val="28"/>
          <w:szCs w:val="28"/>
          <w14:textFill>
            <w14:solidFill>
              <w14:schemeClr w14:val="tx1"/>
            </w14:solidFill>
          </w14:textFill>
        </w:rPr>
        <w:t>消融实验</w:t>
      </w:r>
      <w:bookmarkEnd w:id="58"/>
    </w:p>
    <w:p w14:paraId="1331E2F3">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为了进一步证明Stage1主模型每部分的贡献，我们分别从特征、门控、算法等三个方面消融实验。</w:t>
      </w:r>
    </w:p>
    <w:p w14:paraId="7BDC4C35">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59" w:name="_Toc4834"/>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1、</w:t>
      </w:r>
      <w:r>
        <w:rPr>
          <w:rFonts w:cs="Times New Roman" w:asciiTheme="majorEastAsia" w:hAnsiTheme="majorEastAsia" w:eastAsiaTheme="majorEastAsia"/>
          <w:b/>
          <w:bCs/>
          <w:color w:val="000000" w:themeColor="text1"/>
          <w:kern w:val="0"/>
          <w:sz w:val="24"/>
          <w:lang w:bidi="ar"/>
          <w14:textFill>
            <w14:solidFill>
              <w14:schemeClr w14:val="tx1"/>
            </w14:solidFill>
          </w14:textFill>
        </w:rPr>
        <w:t>不同特征的消融实验</w:t>
      </w:r>
      <w:bookmarkEnd w:id="59"/>
    </w:p>
    <w:p w14:paraId="4D64757B">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本文首先对Stage1主模型（不包含二级决策层）中各特征在测试集的性能进行比较，结果如表5所示。</w:t>
      </w:r>
    </w:p>
    <w:p w14:paraId="21FBBCA3">
      <w:pPr>
        <w:pStyle w:val="5"/>
        <w:jc w:val="center"/>
        <w:rPr>
          <w:rFonts w:hint="eastAsia" w:ascii="宋体" w:hAnsi="宋体" w:eastAsia="宋体" w:cs="Times New Roman"/>
          <w:color w:val="000000" w:themeColor="text1"/>
          <w:sz w:val="24"/>
          <w:szCs w:val="24"/>
          <w14:textFill>
            <w14:solidFill>
              <w14:schemeClr w14:val="tx1"/>
            </w14:solidFill>
          </w14:textFill>
        </w:rPr>
      </w:pPr>
      <w:bookmarkStart w:id="60" w:name="_Toc228655977"/>
      <w:bookmarkStart w:id="61" w:name="_Toc228654627"/>
      <w:r>
        <w:rPr>
          <w:rFonts w:ascii="宋体" w:hAnsi="宋体" w:eastAsia="宋体" w:cs="Times New Roman"/>
          <w:color w:val="000000" w:themeColor="text1"/>
          <w:sz w:val="24"/>
          <w:szCs w:val="24"/>
          <w14:textFill>
            <w14:solidFill>
              <w14:schemeClr w14:val="tx1"/>
            </w14:solidFill>
          </w14:textFill>
        </w:rPr>
        <w:t xml:space="preserve">表 </w:t>
      </w:r>
      <w:r>
        <w:rPr>
          <w:rFonts w:ascii="宋体" w:hAnsi="宋体" w:eastAsia="宋体" w:cs="Times New Roman"/>
          <w:color w:val="000000" w:themeColor="text1"/>
          <w:sz w:val="24"/>
          <w:szCs w:val="24"/>
          <w14:textFill>
            <w14:solidFill>
              <w14:schemeClr w14:val="tx1"/>
            </w14:solidFill>
          </w14:textFill>
        </w:rPr>
        <w:fldChar w:fldCharType="begin"/>
      </w:r>
      <w:r>
        <w:rPr>
          <w:rFonts w:ascii="宋体" w:hAnsi="宋体" w:eastAsia="宋体" w:cs="Times New Roman"/>
          <w:color w:val="000000" w:themeColor="text1"/>
          <w:sz w:val="24"/>
          <w:szCs w:val="24"/>
          <w14:textFill>
            <w14:solidFill>
              <w14:schemeClr w14:val="tx1"/>
            </w14:solidFill>
          </w14:textFill>
        </w:rPr>
        <w:instrText xml:space="preserve"> SEQ 表 \* ARABIC </w:instrText>
      </w:r>
      <w:r>
        <w:rPr>
          <w:rFonts w:ascii="宋体" w:hAnsi="宋体" w:eastAsia="宋体" w:cs="Times New Roman"/>
          <w:color w:val="000000" w:themeColor="text1"/>
          <w:sz w:val="24"/>
          <w:szCs w:val="24"/>
          <w14:textFill>
            <w14:solidFill>
              <w14:schemeClr w14:val="tx1"/>
            </w14:solidFill>
          </w14:textFill>
        </w:rPr>
        <w:fldChar w:fldCharType="separate"/>
      </w:r>
      <w:r>
        <w:rPr>
          <w:rFonts w:ascii="宋体" w:hAnsi="宋体" w:eastAsia="宋体" w:cs="Times New Roman"/>
          <w:color w:val="000000" w:themeColor="text1"/>
          <w:sz w:val="24"/>
          <w:szCs w:val="24"/>
          <w14:textFill>
            <w14:solidFill>
              <w14:schemeClr w14:val="tx1"/>
            </w14:solidFill>
          </w14:textFill>
        </w:rPr>
        <w:t>6</w:t>
      </w:r>
      <w:r>
        <w:rPr>
          <w:rFonts w:ascii="宋体" w:hAnsi="宋体" w:eastAsia="宋体" w:cs="Times New Roman"/>
          <w:color w:val="000000" w:themeColor="text1"/>
          <w:sz w:val="24"/>
          <w:szCs w:val="24"/>
          <w14:textFill>
            <w14:solidFill>
              <w14:schemeClr w14:val="tx1"/>
            </w14:solidFill>
          </w14:textFill>
        </w:rPr>
        <w:fldChar w:fldCharType="end"/>
      </w:r>
      <w:bookmarkStart w:id="62" w:name="_Toc26806"/>
      <w:r>
        <w:rPr>
          <w:rFonts w:ascii="宋体" w:hAnsi="宋体" w:eastAsia="宋体" w:cs="Times New Roman"/>
          <w:color w:val="000000" w:themeColor="text1"/>
          <w:sz w:val="24"/>
          <w:szCs w:val="24"/>
          <w14:textFill>
            <w14:solidFill>
              <w14:schemeClr w14:val="tx1"/>
            </w14:solidFill>
          </w14:textFill>
        </w:rPr>
        <w:t>不同特征在测试集的结果比较</w:t>
      </w:r>
      <w:bookmarkEnd w:id="60"/>
      <w:bookmarkEnd w:id="61"/>
      <w:bookmarkEnd w:id="62"/>
    </w:p>
    <w:tbl>
      <w:tblPr>
        <w:tblStyle w:val="18"/>
        <w:tblW w:w="8520"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5"/>
        <w:gridCol w:w="1290"/>
        <w:gridCol w:w="1341"/>
        <w:gridCol w:w="1264"/>
        <w:gridCol w:w="1340"/>
        <w:gridCol w:w="1490"/>
      </w:tblGrid>
      <w:tr w14:paraId="213FE0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blHeader/>
          <w:jc w:val="center"/>
        </w:trPr>
        <w:tc>
          <w:tcPr>
            <w:tcW w:w="1795" w:type="dxa"/>
            <w:tcBorders>
              <w:top w:val="single" w:color="000000" w:sz="12" w:space="0"/>
              <w:bottom w:val="single" w:color="000000" w:sz="4" w:space="0"/>
              <w:tl2br w:val="nil"/>
            </w:tcBorders>
            <w:shd w:val="clear" w:color="auto" w:fill="FFFFFF"/>
          </w:tcPr>
          <w:p w14:paraId="51808198">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Model</w:t>
            </w:r>
          </w:p>
        </w:tc>
        <w:tc>
          <w:tcPr>
            <w:tcW w:w="1290" w:type="dxa"/>
            <w:tcBorders>
              <w:top w:val="single" w:color="000000" w:sz="12" w:space="0"/>
              <w:bottom w:val="single" w:color="000000" w:sz="4" w:space="0"/>
            </w:tcBorders>
            <w:shd w:val="clear" w:color="auto" w:fill="FFFFFF"/>
          </w:tcPr>
          <w:p w14:paraId="49F88FE4">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ACC(%)</w:t>
            </w:r>
          </w:p>
        </w:tc>
        <w:tc>
          <w:tcPr>
            <w:tcW w:w="1341" w:type="dxa"/>
            <w:tcBorders>
              <w:top w:val="single" w:color="000000" w:sz="12" w:space="0"/>
              <w:bottom w:val="single" w:color="000000" w:sz="4" w:space="0"/>
            </w:tcBorders>
            <w:shd w:val="clear" w:color="auto" w:fill="FFFFFF"/>
          </w:tcPr>
          <w:p w14:paraId="5FB4F857">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SN(%)</w:t>
            </w:r>
          </w:p>
        </w:tc>
        <w:tc>
          <w:tcPr>
            <w:tcW w:w="1264" w:type="dxa"/>
            <w:tcBorders>
              <w:top w:val="single" w:color="000000" w:sz="12" w:space="0"/>
              <w:bottom w:val="single" w:color="000000" w:sz="4" w:space="0"/>
            </w:tcBorders>
            <w:shd w:val="clear" w:color="auto" w:fill="FFFFFF"/>
          </w:tcPr>
          <w:p w14:paraId="3CA80BA1">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SP(%)</w:t>
            </w:r>
          </w:p>
        </w:tc>
        <w:tc>
          <w:tcPr>
            <w:tcW w:w="1340" w:type="dxa"/>
            <w:tcBorders>
              <w:top w:val="single" w:color="000000" w:sz="12" w:space="0"/>
              <w:bottom w:val="single" w:color="000000" w:sz="4" w:space="0"/>
            </w:tcBorders>
            <w:shd w:val="clear" w:color="auto" w:fill="FFFFFF"/>
          </w:tcPr>
          <w:p w14:paraId="15D2FA28">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MCC</w:t>
            </w:r>
          </w:p>
        </w:tc>
        <w:tc>
          <w:tcPr>
            <w:tcW w:w="1490" w:type="dxa"/>
            <w:tcBorders>
              <w:top w:val="single" w:color="000000" w:sz="12" w:space="0"/>
              <w:bottom w:val="single" w:color="000000" w:sz="4" w:space="0"/>
            </w:tcBorders>
            <w:shd w:val="clear" w:color="auto" w:fill="FFFFFF"/>
          </w:tcPr>
          <w:p w14:paraId="59D37BC3">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AUC(%)</w:t>
            </w:r>
          </w:p>
        </w:tc>
      </w:tr>
      <w:tr w14:paraId="0E3C9B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blHeader/>
          <w:jc w:val="center"/>
        </w:trPr>
        <w:tc>
          <w:tcPr>
            <w:tcW w:w="1795" w:type="dxa"/>
            <w:tcBorders>
              <w:top w:val="single" w:color="000000" w:sz="4" w:space="0"/>
              <w:bottom w:val="nil"/>
            </w:tcBorders>
            <w:shd w:val="clear" w:color="auto" w:fill="FFFFFF"/>
          </w:tcPr>
          <w:p w14:paraId="2A992C79">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理化特征</w:t>
            </w:r>
          </w:p>
        </w:tc>
        <w:tc>
          <w:tcPr>
            <w:tcW w:w="1290" w:type="dxa"/>
            <w:tcBorders>
              <w:top w:val="single" w:color="000000" w:sz="4" w:space="0"/>
              <w:bottom w:val="nil"/>
            </w:tcBorders>
            <w:shd w:val="clear" w:color="auto" w:fill="FFFFFF"/>
          </w:tcPr>
          <w:p w14:paraId="514BE956">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81.32</w:t>
            </w:r>
          </w:p>
        </w:tc>
        <w:tc>
          <w:tcPr>
            <w:tcW w:w="1341" w:type="dxa"/>
            <w:tcBorders>
              <w:top w:val="single" w:color="000000" w:sz="4" w:space="0"/>
              <w:bottom w:val="nil"/>
            </w:tcBorders>
            <w:shd w:val="clear" w:color="auto" w:fill="FFFFFF"/>
          </w:tcPr>
          <w:p w14:paraId="684357BD">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81.82</w:t>
            </w:r>
          </w:p>
        </w:tc>
        <w:tc>
          <w:tcPr>
            <w:tcW w:w="1264" w:type="dxa"/>
            <w:tcBorders>
              <w:top w:val="single" w:color="000000" w:sz="4" w:space="0"/>
              <w:bottom w:val="nil"/>
            </w:tcBorders>
            <w:shd w:val="clear" w:color="auto" w:fill="FFFFFF"/>
          </w:tcPr>
          <w:p w14:paraId="7A89E325">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80.56</w:t>
            </w:r>
          </w:p>
        </w:tc>
        <w:tc>
          <w:tcPr>
            <w:tcW w:w="1340" w:type="dxa"/>
            <w:tcBorders>
              <w:top w:val="single" w:color="000000" w:sz="4" w:space="0"/>
              <w:bottom w:val="nil"/>
            </w:tcBorders>
            <w:shd w:val="clear" w:color="auto" w:fill="FFFFFF"/>
          </w:tcPr>
          <w:p w14:paraId="16DBFB74">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61.63</w:t>
            </w:r>
          </w:p>
        </w:tc>
        <w:tc>
          <w:tcPr>
            <w:tcW w:w="1490" w:type="dxa"/>
            <w:tcBorders>
              <w:top w:val="single" w:color="000000" w:sz="4" w:space="0"/>
              <w:bottom w:val="nil"/>
            </w:tcBorders>
            <w:shd w:val="clear" w:color="auto" w:fill="FFFFFF"/>
          </w:tcPr>
          <w:p w14:paraId="104A521B">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88.43</w:t>
            </w:r>
          </w:p>
        </w:tc>
      </w:tr>
      <w:tr w14:paraId="78311F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blHeader/>
          <w:jc w:val="center"/>
        </w:trPr>
        <w:tc>
          <w:tcPr>
            <w:tcW w:w="1795" w:type="dxa"/>
            <w:tcBorders>
              <w:top w:val="nil"/>
              <w:bottom w:val="nil"/>
            </w:tcBorders>
            <w:shd w:val="clear" w:color="auto" w:fill="FFFFFF"/>
          </w:tcPr>
          <w:p w14:paraId="4631873F">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AAC</w:t>
            </w:r>
          </w:p>
        </w:tc>
        <w:tc>
          <w:tcPr>
            <w:tcW w:w="1290" w:type="dxa"/>
            <w:tcBorders>
              <w:top w:val="nil"/>
              <w:bottom w:val="nil"/>
            </w:tcBorders>
            <w:shd w:val="clear" w:color="auto" w:fill="FFFFFF"/>
          </w:tcPr>
          <w:p w14:paraId="751E672E">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81.32</w:t>
            </w:r>
          </w:p>
        </w:tc>
        <w:tc>
          <w:tcPr>
            <w:tcW w:w="1341" w:type="dxa"/>
            <w:tcBorders>
              <w:top w:val="nil"/>
              <w:bottom w:val="nil"/>
            </w:tcBorders>
            <w:shd w:val="clear" w:color="auto" w:fill="FFFFFF"/>
          </w:tcPr>
          <w:p w14:paraId="2A69541C">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80.00</w:t>
            </w:r>
          </w:p>
        </w:tc>
        <w:tc>
          <w:tcPr>
            <w:tcW w:w="1264" w:type="dxa"/>
            <w:tcBorders>
              <w:top w:val="nil"/>
              <w:bottom w:val="nil"/>
            </w:tcBorders>
            <w:shd w:val="clear" w:color="auto" w:fill="FFFFFF"/>
          </w:tcPr>
          <w:p w14:paraId="25CC8E84">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83.33</w:t>
            </w:r>
          </w:p>
        </w:tc>
        <w:tc>
          <w:tcPr>
            <w:tcW w:w="1340" w:type="dxa"/>
            <w:tcBorders>
              <w:top w:val="nil"/>
              <w:bottom w:val="nil"/>
            </w:tcBorders>
            <w:shd w:val="clear" w:color="auto" w:fill="FFFFFF"/>
          </w:tcPr>
          <w:p w14:paraId="33841759">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62.24</w:t>
            </w:r>
          </w:p>
        </w:tc>
        <w:tc>
          <w:tcPr>
            <w:tcW w:w="1490" w:type="dxa"/>
            <w:tcBorders>
              <w:top w:val="nil"/>
              <w:bottom w:val="nil"/>
            </w:tcBorders>
            <w:shd w:val="clear" w:color="auto" w:fill="FFFFFF"/>
          </w:tcPr>
          <w:p w14:paraId="6D80906A">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90.86</w:t>
            </w:r>
          </w:p>
        </w:tc>
      </w:tr>
      <w:tr w14:paraId="69688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blHeader/>
          <w:jc w:val="center"/>
        </w:trPr>
        <w:tc>
          <w:tcPr>
            <w:tcW w:w="1795" w:type="dxa"/>
            <w:tcBorders>
              <w:top w:val="nil"/>
              <w:bottom w:val="nil"/>
            </w:tcBorders>
            <w:shd w:val="clear" w:color="auto" w:fill="FFFFFF"/>
          </w:tcPr>
          <w:p w14:paraId="0F9642C5">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CTD</w:t>
            </w:r>
          </w:p>
        </w:tc>
        <w:tc>
          <w:tcPr>
            <w:tcW w:w="1290" w:type="dxa"/>
            <w:tcBorders>
              <w:top w:val="nil"/>
              <w:bottom w:val="nil"/>
            </w:tcBorders>
            <w:shd w:val="clear" w:color="auto" w:fill="FFFFFF"/>
          </w:tcPr>
          <w:p w14:paraId="128C41BB">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70.33</w:t>
            </w:r>
          </w:p>
        </w:tc>
        <w:tc>
          <w:tcPr>
            <w:tcW w:w="1341" w:type="dxa"/>
            <w:tcBorders>
              <w:top w:val="nil"/>
              <w:bottom w:val="nil"/>
            </w:tcBorders>
            <w:shd w:val="clear" w:color="auto" w:fill="FFFFFF"/>
          </w:tcPr>
          <w:p w14:paraId="29C26552">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67.27</w:t>
            </w:r>
          </w:p>
        </w:tc>
        <w:tc>
          <w:tcPr>
            <w:tcW w:w="1264" w:type="dxa"/>
            <w:tcBorders>
              <w:top w:val="nil"/>
              <w:bottom w:val="nil"/>
            </w:tcBorders>
            <w:shd w:val="clear" w:color="auto" w:fill="FFFFFF"/>
          </w:tcPr>
          <w:p w14:paraId="21B5D215">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75.00</w:t>
            </w:r>
          </w:p>
        </w:tc>
        <w:tc>
          <w:tcPr>
            <w:tcW w:w="1340" w:type="dxa"/>
            <w:tcBorders>
              <w:top w:val="nil"/>
              <w:bottom w:val="nil"/>
            </w:tcBorders>
            <w:shd w:val="clear" w:color="auto" w:fill="FFFFFF"/>
          </w:tcPr>
          <w:p w14:paraId="57493A8E">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41.34</w:t>
            </w:r>
          </w:p>
        </w:tc>
        <w:tc>
          <w:tcPr>
            <w:tcW w:w="1490" w:type="dxa"/>
            <w:tcBorders>
              <w:top w:val="nil"/>
              <w:bottom w:val="nil"/>
            </w:tcBorders>
            <w:shd w:val="clear" w:color="auto" w:fill="FFFFFF"/>
          </w:tcPr>
          <w:p w14:paraId="2F584C01">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81.16</w:t>
            </w:r>
          </w:p>
        </w:tc>
      </w:tr>
      <w:tr w14:paraId="6AD281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blHeader/>
          <w:jc w:val="center"/>
        </w:trPr>
        <w:tc>
          <w:tcPr>
            <w:tcW w:w="1795" w:type="dxa"/>
            <w:tcBorders>
              <w:top w:val="nil"/>
              <w:bottom w:val="nil"/>
            </w:tcBorders>
            <w:shd w:val="clear" w:color="auto" w:fill="FFFFFF"/>
            <w:vAlign w:val="center"/>
          </w:tcPr>
          <w:p w14:paraId="69971297">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ESM2</w:t>
            </w:r>
          </w:p>
        </w:tc>
        <w:tc>
          <w:tcPr>
            <w:tcW w:w="1290" w:type="dxa"/>
            <w:tcBorders>
              <w:top w:val="nil"/>
              <w:bottom w:val="nil"/>
            </w:tcBorders>
            <w:shd w:val="clear" w:color="auto" w:fill="FFFFFF"/>
            <w:vAlign w:val="center"/>
          </w:tcPr>
          <w:p w14:paraId="63B1273C">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90.51</w:t>
            </w:r>
          </w:p>
        </w:tc>
        <w:tc>
          <w:tcPr>
            <w:tcW w:w="1341" w:type="dxa"/>
            <w:tcBorders>
              <w:top w:val="nil"/>
              <w:bottom w:val="nil"/>
            </w:tcBorders>
            <w:shd w:val="clear" w:color="auto" w:fill="FFFFFF"/>
            <w:vAlign w:val="center"/>
          </w:tcPr>
          <w:p w14:paraId="1E3B16B8">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95.76</w:t>
            </w:r>
          </w:p>
        </w:tc>
        <w:tc>
          <w:tcPr>
            <w:tcW w:w="1264" w:type="dxa"/>
            <w:tcBorders>
              <w:top w:val="nil"/>
              <w:bottom w:val="nil"/>
            </w:tcBorders>
            <w:shd w:val="clear" w:color="auto" w:fill="FFFFFF"/>
            <w:vAlign w:val="center"/>
          </w:tcPr>
          <w:p w14:paraId="5BE3563A">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84.79</w:t>
            </w:r>
          </w:p>
        </w:tc>
        <w:tc>
          <w:tcPr>
            <w:tcW w:w="1340" w:type="dxa"/>
            <w:tcBorders>
              <w:top w:val="nil"/>
              <w:bottom w:val="nil"/>
            </w:tcBorders>
            <w:shd w:val="clear" w:color="auto" w:fill="FFFFFF"/>
            <w:vAlign w:val="center"/>
          </w:tcPr>
          <w:p w14:paraId="3B6FD08D">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81.33</w:t>
            </w:r>
          </w:p>
        </w:tc>
        <w:tc>
          <w:tcPr>
            <w:tcW w:w="1490" w:type="dxa"/>
            <w:tcBorders>
              <w:top w:val="nil"/>
              <w:bottom w:val="nil"/>
            </w:tcBorders>
            <w:shd w:val="clear" w:color="auto" w:fill="FFFFFF"/>
            <w:vAlign w:val="center"/>
          </w:tcPr>
          <w:p w14:paraId="4BA09720">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95.96</w:t>
            </w:r>
          </w:p>
        </w:tc>
      </w:tr>
      <w:tr w14:paraId="1F20C4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blHeader/>
          <w:jc w:val="center"/>
        </w:trPr>
        <w:tc>
          <w:tcPr>
            <w:tcW w:w="1795" w:type="dxa"/>
            <w:tcBorders>
              <w:top w:val="nil"/>
              <w:bottom w:val="nil"/>
            </w:tcBorders>
            <w:shd w:val="clear" w:color="auto" w:fill="FFFFFF"/>
            <w:vAlign w:val="center"/>
          </w:tcPr>
          <w:p w14:paraId="28C524D6">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ProtBert</w:t>
            </w:r>
          </w:p>
        </w:tc>
        <w:tc>
          <w:tcPr>
            <w:tcW w:w="1290" w:type="dxa"/>
            <w:tcBorders>
              <w:top w:val="nil"/>
              <w:bottom w:val="nil"/>
            </w:tcBorders>
            <w:shd w:val="clear" w:color="auto" w:fill="FFFFFF"/>
            <w:vAlign w:val="center"/>
          </w:tcPr>
          <w:p w14:paraId="2E22E3B6">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70.42</w:t>
            </w:r>
          </w:p>
        </w:tc>
        <w:tc>
          <w:tcPr>
            <w:tcW w:w="1341" w:type="dxa"/>
            <w:tcBorders>
              <w:top w:val="nil"/>
              <w:bottom w:val="nil"/>
            </w:tcBorders>
            <w:shd w:val="clear" w:color="auto" w:fill="FFFFFF"/>
            <w:vAlign w:val="center"/>
          </w:tcPr>
          <w:p w14:paraId="0B8678EA">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75.42</w:t>
            </w:r>
          </w:p>
        </w:tc>
        <w:tc>
          <w:tcPr>
            <w:tcW w:w="1264" w:type="dxa"/>
            <w:tcBorders>
              <w:top w:val="nil"/>
              <w:bottom w:val="nil"/>
            </w:tcBorders>
            <w:shd w:val="clear" w:color="auto" w:fill="FFFFFF"/>
            <w:vAlign w:val="center"/>
          </w:tcPr>
          <w:p w14:paraId="40D95A89">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64.98</w:t>
            </w:r>
          </w:p>
        </w:tc>
        <w:tc>
          <w:tcPr>
            <w:tcW w:w="1340" w:type="dxa"/>
            <w:tcBorders>
              <w:top w:val="nil"/>
              <w:bottom w:val="nil"/>
            </w:tcBorders>
            <w:shd w:val="clear" w:color="auto" w:fill="FFFFFF"/>
            <w:vAlign w:val="center"/>
          </w:tcPr>
          <w:p w14:paraId="6D731614">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40.67</w:t>
            </w:r>
          </w:p>
        </w:tc>
        <w:tc>
          <w:tcPr>
            <w:tcW w:w="1490" w:type="dxa"/>
            <w:tcBorders>
              <w:top w:val="nil"/>
              <w:bottom w:val="nil"/>
            </w:tcBorders>
            <w:shd w:val="clear" w:color="auto" w:fill="FFFFFF"/>
            <w:vAlign w:val="center"/>
          </w:tcPr>
          <w:p w14:paraId="7322F513">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78.56</w:t>
            </w:r>
          </w:p>
        </w:tc>
      </w:tr>
      <w:tr w14:paraId="246DA0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blHeader/>
          <w:jc w:val="center"/>
        </w:trPr>
        <w:tc>
          <w:tcPr>
            <w:tcW w:w="1795" w:type="dxa"/>
            <w:tcBorders>
              <w:top w:val="nil"/>
              <w:bottom w:val="nil"/>
            </w:tcBorders>
            <w:shd w:val="clear" w:color="auto" w:fill="FFFFFF"/>
            <w:vAlign w:val="center"/>
          </w:tcPr>
          <w:p w14:paraId="472BB449">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ESM2+ProtBert</w:t>
            </w:r>
          </w:p>
        </w:tc>
        <w:tc>
          <w:tcPr>
            <w:tcW w:w="1290" w:type="dxa"/>
            <w:tcBorders>
              <w:top w:val="nil"/>
              <w:bottom w:val="nil"/>
            </w:tcBorders>
            <w:shd w:val="clear" w:color="auto" w:fill="FFFFFF"/>
            <w:vAlign w:val="center"/>
          </w:tcPr>
          <w:p w14:paraId="72B021FE">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90.29</w:t>
            </w:r>
          </w:p>
        </w:tc>
        <w:tc>
          <w:tcPr>
            <w:tcW w:w="1341" w:type="dxa"/>
            <w:tcBorders>
              <w:top w:val="nil"/>
              <w:bottom w:val="nil"/>
            </w:tcBorders>
            <w:shd w:val="clear" w:color="auto" w:fill="FFFFFF"/>
            <w:vAlign w:val="center"/>
          </w:tcPr>
          <w:p w14:paraId="6A15066E">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95.34</w:t>
            </w:r>
          </w:p>
        </w:tc>
        <w:tc>
          <w:tcPr>
            <w:tcW w:w="1264" w:type="dxa"/>
            <w:tcBorders>
              <w:top w:val="nil"/>
              <w:bottom w:val="nil"/>
            </w:tcBorders>
            <w:shd w:val="clear" w:color="auto" w:fill="FFFFFF"/>
            <w:vAlign w:val="center"/>
          </w:tcPr>
          <w:p w14:paraId="43A49F39">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84.79</w:t>
            </w:r>
          </w:p>
        </w:tc>
        <w:tc>
          <w:tcPr>
            <w:tcW w:w="1340" w:type="dxa"/>
            <w:tcBorders>
              <w:top w:val="nil"/>
              <w:bottom w:val="nil"/>
            </w:tcBorders>
            <w:shd w:val="clear" w:color="auto" w:fill="FFFFFF"/>
            <w:vAlign w:val="center"/>
          </w:tcPr>
          <w:p w14:paraId="1D7D31D0">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80.85</w:t>
            </w:r>
          </w:p>
        </w:tc>
        <w:tc>
          <w:tcPr>
            <w:tcW w:w="1490" w:type="dxa"/>
            <w:tcBorders>
              <w:top w:val="nil"/>
              <w:bottom w:val="nil"/>
            </w:tcBorders>
            <w:shd w:val="clear" w:color="auto" w:fill="FFFFFF"/>
            <w:vAlign w:val="center"/>
          </w:tcPr>
          <w:p w14:paraId="66ECC5D0">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96.29</w:t>
            </w:r>
          </w:p>
        </w:tc>
      </w:tr>
      <w:tr w14:paraId="1FA681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blHeader/>
          <w:jc w:val="center"/>
        </w:trPr>
        <w:tc>
          <w:tcPr>
            <w:tcW w:w="1795" w:type="dxa"/>
            <w:tcBorders>
              <w:top w:val="nil"/>
              <w:bottom w:val="nil"/>
            </w:tcBorders>
            <w:shd w:val="clear" w:color="auto" w:fill="FFFFFF"/>
            <w:vAlign w:val="center"/>
          </w:tcPr>
          <w:p w14:paraId="1CBF4D1E">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All</w:t>
            </w:r>
          </w:p>
        </w:tc>
        <w:tc>
          <w:tcPr>
            <w:tcW w:w="1290" w:type="dxa"/>
            <w:tcBorders>
              <w:top w:val="nil"/>
              <w:bottom w:val="nil"/>
            </w:tcBorders>
            <w:shd w:val="clear" w:color="auto" w:fill="FFFFFF"/>
          </w:tcPr>
          <w:p w14:paraId="71FE2D8B">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90.11</w:t>
            </w:r>
          </w:p>
        </w:tc>
        <w:tc>
          <w:tcPr>
            <w:tcW w:w="1341" w:type="dxa"/>
            <w:tcBorders>
              <w:top w:val="nil"/>
              <w:bottom w:val="nil"/>
            </w:tcBorders>
            <w:shd w:val="clear" w:color="auto" w:fill="FFFFFF"/>
          </w:tcPr>
          <w:p w14:paraId="3F262FCC">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96.36</w:t>
            </w:r>
          </w:p>
        </w:tc>
        <w:tc>
          <w:tcPr>
            <w:tcW w:w="1264" w:type="dxa"/>
            <w:tcBorders>
              <w:top w:val="nil"/>
              <w:bottom w:val="nil"/>
            </w:tcBorders>
            <w:shd w:val="clear" w:color="auto" w:fill="FFFFFF"/>
          </w:tcPr>
          <w:p w14:paraId="37047A27">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80.56</w:t>
            </w:r>
          </w:p>
        </w:tc>
        <w:tc>
          <w:tcPr>
            <w:tcW w:w="1340" w:type="dxa"/>
            <w:tcBorders>
              <w:top w:val="nil"/>
              <w:bottom w:val="nil"/>
            </w:tcBorders>
            <w:shd w:val="clear" w:color="auto" w:fill="FFFFFF"/>
          </w:tcPr>
          <w:p w14:paraId="41CF0A3A">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79.36</w:t>
            </w:r>
          </w:p>
        </w:tc>
        <w:tc>
          <w:tcPr>
            <w:tcW w:w="1490" w:type="dxa"/>
            <w:tcBorders>
              <w:top w:val="nil"/>
              <w:bottom w:val="nil"/>
            </w:tcBorders>
            <w:shd w:val="clear" w:color="auto" w:fill="FFFFFF"/>
          </w:tcPr>
          <w:p w14:paraId="3EC827AA">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92.98</w:t>
            </w:r>
          </w:p>
        </w:tc>
      </w:tr>
      <w:tr w14:paraId="7DBA15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blHeader/>
          <w:jc w:val="center"/>
        </w:trPr>
        <w:tc>
          <w:tcPr>
            <w:tcW w:w="1795" w:type="dxa"/>
            <w:tcBorders>
              <w:top w:val="nil"/>
              <w:bottom w:val="single" w:color="auto" w:sz="4" w:space="0"/>
            </w:tcBorders>
            <w:shd w:val="clear" w:color="auto" w:fill="FFFFFF"/>
            <w:vAlign w:val="center"/>
          </w:tcPr>
          <w:p w14:paraId="51BDE078">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All+门控</w:t>
            </w:r>
          </w:p>
        </w:tc>
        <w:tc>
          <w:tcPr>
            <w:tcW w:w="1290" w:type="dxa"/>
            <w:tcBorders>
              <w:top w:val="nil"/>
              <w:bottom w:val="single" w:color="auto" w:sz="4" w:space="0"/>
            </w:tcBorders>
            <w:shd w:val="clear" w:color="auto" w:fill="FFFFFF"/>
          </w:tcPr>
          <w:p w14:paraId="7C5935F4">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90.11</w:t>
            </w:r>
          </w:p>
        </w:tc>
        <w:tc>
          <w:tcPr>
            <w:tcW w:w="1341" w:type="dxa"/>
            <w:tcBorders>
              <w:top w:val="nil"/>
              <w:bottom w:val="single" w:color="auto" w:sz="4" w:space="0"/>
            </w:tcBorders>
            <w:shd w:val="clear" w:color="auto" w:fill="FFFFFF"/>
          </w:tcPr>
          <w:p w14:paraId="0577D418">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92.73</w:t>
            </w:r>
          </w:p>
        </w:tc>
        <w:tc>
          <w:tcPr>
            <w:tcW w:w="1264" w:type="dxa"/>
            <w:tcBorders>
              <w:top w:val="nil"/>
              <w:bottom w:val="single" w:color="auto" w:sz="4" w:space="0"/>
            </w:tcBorders>
            <w:shd w:val="clear" w:color="auto" w:fill="FFFFFF"/>
          </w:tcPr>
          <w:p w14:paraId="61105956">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86.11</w:t>
            </w:r>
          </w:p>
        </w:tc>
        <w:tc>
          <w:tcPr>
            <w:tcW w:w="1340" w:type="dxa"/>
            <w:tcBorders>
              <w:top w:val="nil"/>
              <w:bottom w:val="single" w:color="auto" w:sz="4" w:space="0"/>
            </w:tcBorders>
            <w:shd w:val="clear" w:color="auto" w:fill="FFFFFF"/>
          </w:tcPr>
          <w:p w14:paraId="4B40100F">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79.24</w:t>
            </w:r>
          </w:p>
        </w:tc>
        <w:tc>
          <w:tcPr>
            <w:tcW w:w="1490" w:type="dxa"/>
            <w:tcBorders>
              <w:top w:val="nil"/>
              <w:bottom w:val="single" w:color="auto" w:sz="4" w:space="0"/>
            </w:tcBorders>
            <w:shd w:val="clear" w:color="auto" w:fill="FFFFFF"/>
          </w:tcPr>
          <w:p w14:paraId="73B4E4CA">
            <w:pPr>
              <w:spacing w:line="240" w:lineRule="auto"/>
              <w:rPr>
                <w:rFonts w:hint="eastAsia"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95.35</w:t>
            </w:r>
          </w:p>
        </w:tc>
      </w:tr>
    </w:tbl>
    <w:p w14:paraId="66D088AF">
      <w:pPr>
        <w:pStyle w:val="14"/>
        <w:spacing w:before="0" w:beforeAutospacing="0" w:after="0" w:afterAutospacing="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注：ALL表示所有特征组合（理化性质+AAC+CTD+ESM2 + ProtBert +长度分箱）</w:t>
      </w:r>
    </w:p>
    <w:p w14:paraId="69188DB2">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由表5可知，传统手工特征能够提供一定的基础判别能力，其中AAC优于理化特征与CTD，表现出更好的稳健性；深度预训练特征中，ESM2显著优于ProtBert，是当前任务中最具贡献的单一特征来源。虽然ESM2与ProtBert联合使用后AUC 达到最高的 96.29%，表明多表征融合具有一定互补性，但其ACC和MCC 并未同步优于单独使用 ESM2，说明该增益主要体现在概率排序层面。进一步加入手工特征和长度分箱后，模型在SN和SP上保持了较好的平衡，但整体AUC未超过 ESM2+ProtBert组合。由此说明，在本任务中，ESM2是决定模型性能上限的关键特征，而其他特征更多起到补充和调节作用，其增益相对有限。</w:t>
      </w:r>
    </w:p>
    <w:p w14:paraId="6E00C39F">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63" w:name="_Toc254"/>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2、</w:t>
      </w:r>
      <w:r>
        <w:rPr>
          <w:rFonts w:cs="Times New Roman" w:asciiTheme="majorEastAsia" w:hAnsiTheme="majorEastAsia" w:eastAsiaTheme="majorEastAsia"/>
          <w:b/>
          <w:bCs/>
          <w:color w:val="000000" w:themeColor="text1"/>
          <w:kern w:val="0"/>
          <w:sz w:val="24"/>
          <w:lang w:bidi="ar"/>
          <w14:textFill>
            <w14:solidFill>
              <w14:schemeClr w14:val="tx1"/>
            </w14:solidFill>
          </w14:textFill>
        </w:rPr>
        <w:t>不同模型模块的消融实验</w:t>
      </w:r>
      <w:bookmarkEnd w:id="63"/>
    </w:p>
    <w:p w14:paraId="2E5DA26C">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bookmarkStart w:id="64" w:name="_Hlk186469589"/>
      <w:r>
        <w:rPr>
          <w:rFonts w:ascii="Times New Roman" w:hAnsi="Times New Roman" w:cs="Times New Roman" w:eastAsiaTheme="minorEastAsia"/>
          <w:color w:val="000000" w:themeColor="text1"/>
          <w14:textFill>
            <w14:solidFill>
              <w14:schemeClr w14:val="tx1"/>
            </w14:solidFill>
          </w14:textFill>
        </w:rPr>
        <w:t>为了进一步分析二级决策层对模型性能的影响，本文比较了未使用二级决策层的Stage-1主模型与引入GAUR-XGB二级排序校准模块后的模型性能，结果如表6所示。其中，模型1表示多源特征门控融合主模型，仅利用ESM2、ProtBert、手工特征及长度分箱特征进行预测；模型2表示在模型1基础上进一步引入GAUR-XGB二级排序校准模块，对主模型输出结果进行再校准与重排序。</w:t>
      </w:r>
    </w:p>
    <w:p w14:paraId="592CE638">
      <w:pPr>
        <w:pStyle w:val="5"/>
        <w:jc w:val="center"/>
        <w:rPr>
          <w:rFonts w:hint="eastAsia" w:ascii="宋体" w:hAnsi="宋体" w:eastAsia="宋体" w:cs="Times New Roman"/>
          <w:color w:val="000000" w:themeColor="text1"/>
          <w:sz w:val="24"/>
          <w:szCs w:val="24"/>
          <w14:textFill>
            <w14:solidFill>
              <w14:schemeClr w14:val="tx1"/>
            </w14:solidFill>
          </w14:textFill>
        </w:rPr>
      </w:pPr>
      <w:bookmarkStart w:id="65" w:name="_Hlk191142250"/>
      <w:r>
        <w:rPr>
          <w:rFonts w:ascii="宋体" w:hAnsi="宋体" w:eastAsia="宋体" w:cs="Times New Roman"/>
          <w:color w:val="000000" w:themeColor="text1"/>
          <w:sz w:val="24"/>
          <w:szCs w:val="24"/>
          <w14:textFill>
            <w14:solidFill>
              <w14:schemeClr w14:val="tx1"/>
            </w14:solidFill>
          </w14:textFill>
        </w:rPr>
        <w:t>表6不同算法在测试集的结果比较</w:t>
      </w:r>
    </w:p>
    <w:tbl>
      <w:tblPr>
        <w:tblStyle w:val="18"/>
        <w:tblW w:w="8520"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5"/>
        <w:gridCol w:w="1290"/>
        <w:gridCol w:w="1341"/>
        <w:gridCol w:w="1264"/>
        <w:gridCol w:w="1340"/>
        <w:gridCol w:w="1490"/>
      </w:tblGrid>
      <w:tr w14:paraId="69C409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1795" w:type="dxa"/>
            <w:tcBorders>
              <w:top w:val="single" w:color="000000" w:sz="12" w:space="0"/>
              <w:bottom w:val="single" w:color="000000" w:sz="4" w:space="0"/>
              <w:tl2br w:val="nil"/>
            </w:tcBorders>
            <w:shd w:val="clear" w:color="auto" w:fill="FFFFFF"/>
          </w:tcPr>
          <w:p w14:paraId="2A88DC25">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Model</w:t>
            </w:r>
          </w:p>
        </w:tc>
        <w:tc>
          <w:tcPr>
            <w:tcW w:w="1290" w:type="dxa"/>
            <w:tcBorders>
              <w:top w:val="single" w:color="000000" w:sz="12" w:space="0"/>
              <w:bottom w:val="single" w:color="000000" w:sz="4" w:space="0"/>
            </w:tcBorders>
            <w:shd w:val="clear" w:color="auto" w:fill="FFFFFF"/>
          </w:tcPr>
          <w:p w14:paraId="5F723D3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ACC(%)</w:t>
            </w:r>
          </w:p>
        </w:tc>
        <w:tc>
          <w:tcPr>
            <w:tcW w:w="1341" w:type="dxa"/>
            <w:tcBorders>
              <w:top w:val="single" w:color="000000" w:sz="12" w:space="0"/>
              <w:bottom w:val="single" w:color="000000" w:sz="4" w:space="0"/>
            </w:tcBorders>
            <w:shd w:val="clear" w:color="auto" w:fill="FFFFFF"/>
          </w:tcPr>
          <w:p w14:paraId="3CA2AB7D">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SN(%)</w:t>
            </w:r>
          </w:p>
        </w:tc>
        <w:tc>
          <w:tcPr>
            <w:tcW w:w="1264" w:type="dxa"/>
            <w:tcBorders>
              <w:top w:val="single" w:color="000000" w:sz="12" w:space="0"/>
              <w:bottom w:val="single" w:color="000000" w:sz="4" w:space="0"/>
            </w:tcBorders>
            <w:shd w:val="clear" w:color="auto" w:fill="FFFFFF"/>
          </w:tcPr>
          <w:p w14:paraId="4799ABB5">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SP(%)</w:t>
            </w:r>
          </w:p>
        </w:tc>
        <w:tc>
          <w:tcPr>
            <w:tcW w:w="1340" w:type="dxa"/>
            <w:tcBorders>
              <w:top w:val="single" w:color="000000" w:sz="12" w:space="0"/>
              <w:bottom w:val="single" w:color="000000" w:sz="4" w:space="0"/>
            </w:tcBorders>
            <w:shd w:val="clear" w:color="auto" w:fill="FFFFFF"/>
          </w:tcPr>
          <w:p w14:paraId="6D5D1BAA">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MCC</w:t>
            </w:r>
          </w:p>
        </w:tc>
        <w:tc>
          <w:tcPr>
            <w:tcW w:w="1490" w:type="dxa"/>
            <w:tcBorders>
              <w:top w:val="single" w:color="000000" w:sz="12" w:space="0"/>
              <w:bottom w:val="single" w:color="000000" w:sz="4" w:space="0"/>
            </w:tcBorders>
            <w:shd w:val="clear" w:color="auto" w:fill="FFFFFF"/>
          </w:tcPr>
          <w:p w14:paraId="27FB2B9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AUC(%)</w:t>
            </w:r>
          </w:p>
        </w:tc>
      </w:tr>
      <w:tr w14:paraId="3CF903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2" w:hRule="atLeast"/>
        </w:trPr>
        <w:tc>
          <w:tcPr>
            <w:tcW w:w="1795" w:type="dxa"/>
            <w:tcBorders>
              <w:top w:val="single" w:color="000000" w:sz="4" w:space="0"/>
              <w:bottom w:val="nil"/>
            </w:tcBorders>
            <w:shd w:val="clear" w:color="auto" w:fill="FFFFFF"/>
          </w:tcPr>
          <w:p w14:paraId="20B92EC1">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模型1</w:t>
            </w:r>
          </w:p>
        </w:tc>
        <w:tc>
          <w:tcPr>
            <w:tcW w:w="1290" w:type="dxa"/>
            <w:tcBorders>
              <w:top w:val="single" w:color="000000" w:sz="4" w:space="0"/>
              <w:bottom w:val="nil"/>
            </w:tcBorders>
            <w:shd w:val="clear" w:color="auto" w:fill="FFFFFF"/>
          </w:tcPr>
          <w:p w14:paraId="7B4372CF">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90.11</w:t>
            </w:r>
          </w:p>
        </w:tc>
        <w:tc>
          <w:tcPr>
            <w:tcW w:w="1341" w:type="dxa"/>
            <w:tcBorders>
              <w:top w:val="single" w:color="000000" w:sz="4" w:space="0"/>
              <w:bottom w:val="nil"/>
            </w:tcBorders>
            <w:shd w:val="clear" w:color="auto" w:fill="FFFFFF"/>
          </w:tcPr>
          <w:p w14:paraId="6598611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92.73</w:t>
            </w:r>
          </w:p>
        </w:tc>
        <w:tc>
          <w:tcPr>
            <w:tcW w:w="1264" w:type="dxa"/>
            <w:tcBorders>
              <w:top w:val="single" w:color="000000" w:sz="4" w:space="0"/>
              <w:bottom w:val="nil"/>
            </w:tcBorders>
            <w:shd w:val="clear" w:color="auto" w:fill="FFFFFF"/>
          </w:tcPr>
          <w:p w14:paraId="21D18CC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86.11</w:t>
            </w:r>
          </w:p>
        </w:tc>
        <w:tc>
          <w:tcPr>
            <w:tcW w:w="1340" w:type="dxa"/>
            <w:tcBorders>
              <w:top w:val="single" w:color="000000" w:sz="4" w:space="0"/>
              <w:bottom w:val="nil"/>
            </w:tcBorders>
            <w:shd w:val="clear" w:color="auto" w:fill="FFFFFF"/>
          </w:tcPr>
          <w:p w14:paraId="7F130EA0">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79.24</w:t>
            </w:r>
          </w:p>
        </w:tc>
        <w:tc>
          <w:tcPr>
            <w:tcW w:w="1490" w:type="dxa"/>
            <w:tcBorders>
              <w:top w:val="single" w:color="000000" w:sz="4" w:space="0"/>
              <w:bottom w:val="nil"/>
            </w:tcBorders>
            <w:shd w:val="clear" w:color="auto" w:fill="FFFFFF"/>
          </w:tcPr>
          <w:p w14:paraId="192509E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95.35.</w:t>
            </w:r>
          </w:p>
        </w:tc>
      </w:tr>
      <w:tr w14:paraId="3DD46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1795" w:type="dxa"/>
            <w:tcBorders>
              <w:top w:val="nil"/>
              <w:bottom w:val="single" w:color="000000" w:sz="12" w:space="0"/>
            </w:tcBorders>
            <w:shd w:val="clear" w:color="auto" w:fill="FFFFFF"/>
          </w:tcPr>
          <w:p w14:paraId="3803B01A">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模型2</w:t>
            </w:r>
          </w:p>
        </w:tc>
        <w:tc>
          <w:tcPr>
            <w:tcW w:w="1290" w:type="dxa"/>
            <w:tcBorders>
              <w:top w:val="nil"/>
              <w:bottom w:val="single" w:color="000000" w:sz="12" w:space="0"/>
            </w:tcBorders>
            <w:shd w:val="clear" w:color="auto" w:fill="FFFFFF"/>
          </w:tcPr>
          <w:p w14:paraId="0087A5B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84.62</w:t>
            </w:r>
          </w:p>
        </w:tc>
        <w:tc>
          <w:tcPr>
            <w:tcW w:w="1341" w:type="dxa"/>
            <w:tcBorders>
              <w:top w:val="nil"/>
              <w:bottom w:val="single" w:color="000000" w:sz="12" w:space="0"/>
            </w:tcBorders>
            <w:shd w:val="clear" w:color="auto" w:fill="FFFFFF"/>
          </w:tcPr>
          <w:p w14:paraId="6EEC65BE">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81.82</w:t>
            </w:r>
          </w:p>
        </w:tc>
        <w:tc>
          <w:tcPr>
            <w:tcW w:w="1264" w:type="dxa"/>
            <w:tcBorders>
              <w:top w:val="nil"/>
              <w:bottom w:val="single" w:color="000000" w:sz="12" w:space="0"/>
            </w:tcBorders>
            <w:shd w:val="clear" w:color="auto" w:fill="FFFFFF"/>
          </w:tcPr>
          <w:p w14:paraId="7E08202F">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88.89</w:t>
            </w:r>
          </w:p>
        </w:tc>
        <w:tc>
          <w:tcPr>
            <w:tcW w:w="1340" w:type="dxa"/>
            <w:tcBorders>
              <w:top w:val="nil"/>
              <w:bottom w:val="single" w:color="000000" w:sz="12" w:space="0"/>
            </w:tcBorders>
            <w:shd w:val="clear" w:color="auto" w:fill="FFFFFF"/>
          </w:tcPr>
          <w:p w14:paraId="18C7A1B0">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69.35</w:t>
            </w:r>
          </w:p>
        </w:tc>
        <w:tc>
          <w:tcPr>
            <w:tcW w:w="1490" w:type="dxa"/>
            <w:tcBorders>
              <w:top w:val="nil"/>
              <w:bottom w:val="single" w:color="000000" w:sz="12" w:space="0"/>
            </w:tcBorders>
            <w:shd w:val="clear" w:color="auto" w:fill="FFFFFF"/>
          </w:tcPr>
          <w:p w14:paraId="3D92A51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96.26</w:t>
            </w:r>
          </w:p>
        </w:tc>
      </w:tr>
      <w:bookmarkEnd w:id="64"/>
      <w:bookmarkEnd w:id="65"/>
    </w:tbl>
    <w:p w14:paraId="188155A3">
      <w:pPr>
        <w:pStyle w:val="14"/>
        <w:spacing w:before="0" w:beforeAutospacing="0" w:after="0" w:afterAutospacing="0"/>
        <w:ind w:firstLine="420" w:firstLineChars="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由表6可知，在主模型基础上引入二级决策层后，模型性能呈现出一定的取舍特征。主模型（模型 1）在 ACC、SN 和 MCC 指标上分别达到 90.11%、92.73% 和79.24，说明其在整体分类性能、阳性样本识别能力以及综合判别稳定性方面表现更为均衡。相比之下，加入二级决策层后的模型（模型 2）在 AUC和SP 上分别提升至 96.26%和88.89%，高于主模型的95.35%和86.11%，表明二级决策层能够进一步增强模型对阴性样本的区分能力，并提高整体排序与筛选的严格性。然而，模型2的 ACC、SN 和 MCC分别下降至84.62%、81.82% 和 69.35，说明在提升特异性和排序能力的同时，也牺牲了一部分阳性样本召回能力及整体分类稳定性。综合来看，二级决策层并不是对主模型的简单全面提升，而是对其输出结果进行进一步校准和重排序，使模型在高置信候选筛选场景下更为保守可靠；因此，主模型更适合作为整体分类主体，而加入二级决策层后的模型更适合作为后续候选精筛与重排序模块。</w:t>
      </w:r>
    </w:p>
    <w:p w14:paraId="34BF0D15">
      <w:pPr>
        <w:pStyle w:val="3"/>
        <w:rPr>
          <w:rFonts w:hint="eastAsia" w:ascii="楷体" w:hAnsi="楷体" w:eastAsia="楷体" w:cs="Times New Roman"/>
          <w:color w:val="000000" w:themeColor="text1"/>
          <w:sz w:val="28"/>
          <w:szCs w:val="28"/>
          <w14:textFill>
            <w14:solidFill>
              <w14:schemeClr w14:val="tx1"/>
            </w14:solidFill>
          </w14:textFill>
        </w:rPr>
      </w:pPr>
      <w:bookmarkStart w:id="66" w:name="_Toc4367"/>
      <w:r>
        <w:rPr>
          <w:rFonts w:hint="eastAsia" w:ascii="楷体" w:hAnsi="楷体" w:eastAsia="楷体" w:cs="Times New Roman"/>
          <w:color w:val="000000" w:themeColor="text1"/>
          <w:sz w:val="28"/>
          <w:szCs w:val="28"/>
          <w14:textFill>
            <w14:solidFill>
              <w14:schemeClr w14:val="tx1"/>
            </w14:solidFill>
          </w14:textFill>
        </w:rPr>
        <w:t>（三）</w:t>
      </w:r>
      <w:r>
        <w:rPr>
          <w:rFonts w:ascii="楷体" w:hAnsi="楷体" w:eastAsia="楷体" w:cs="Times New Roman"/>
          <w:color w:val="000000" w:themeColor="text1"/>
          <w:sz w:val="28"/>
          <w:szCs w:val="28"/>
          <w14:textFill>
            <w14:solidFill>
              <w14:schemeClr w14:val="tx1"/>
            </w14:solidFill>
          </w14:textFill>
        </w:rPr>
        <w:t>与其他算法的比较</w:t>
      </w:r>
      <w:bookmarkEnd w:id="66"/>
    </w:p>
    <w:p w14:paraId="2065A151">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bookmarkStart w:id="67" w:name="OLE_LINK26"/>
      <w:bookmarkStart w:id="68" w:name="OLE_LINK25"/>
      <w:r>
        <w:rPr>
          <w:rFonts w:ascii="Times New Roman" w:hAnsi="Times New Roman" w:cs="Times New Roman" w:eastAsiaTheme="minorEastAsia"/>
          <w:color w:val="000000" w:themeColor="text1"/>
          <w14:textFill>
            <w14:solidFill>
              <w14:schemeClr w14:val="tx1"/>
            </w14:solidFill>
          </w14:textFill>
        </w:rPr>
        <w:t>为定位本文方法的性能水平，表7列出了本文Stage-1、Stage-2模型与现有代表性抗糖尿病肽预测方法（AntiDMPpred、ADP-Fuse、BertADP、AntiT2DMP-Pred）的对比结果。需要说明的是，各方法结果源自不同文献，数据集与评价协议存在差异，此对比主要用于反映大致性能范围。</w:t>
      </w:r>
    </w:p>
    <w:bookmarkEnd w:id="67"/>
    <w:p w14:paraId="75EA6D39">
      <w:pPr>
        <w:pStyle w:val="5"/>
        <w:jc w:val="center"/>
        <w:rPr>
          <w:rFonts w:hint="eastAsia" w:ascii="宋体" w:hAnsi="宋体" w:eastAsia="宋体" w:cs="Times New Roman"/>
          <w:color w:val="000000" w:themeColor="text1"/>
          <w:sz w:val="24"/>
          <w:szCs w:val="24"/>
          <w14:textFill>
            <w14:solidFill>
              <w14:schemeClr w14:val="tx1"/>
            </w14:solidFill>
          </w14:textFill>
        </w:rPr>
      </w:pPr>
      <w:bookmarkStart w:id="69" w:name="_Toc228655978"/>
      <w:bookmarkStart w:id="70" w:name="_Toc228654628"/>
      <w:r>
        <w:rPr>
          <w:rFonts w:ascii="宋体" w:hAnsi="宋体" w:eastAsia="宋体" w:cs="Times New Roman"/>
          <w:color w:val="000000" w:themeColor="text1"/>
          <w:sz w:val="24"/>
          <w:szCs w:val="24"/>
          <w14:textFill>
            <w14:solidFill>
              <w14:schemeClr w14:val="tx1"/>
            </w14:solidFill>
          </w14:textFill>
        </w:rPr>
        <w:t xml:space="preserve">表 </w:t>
      </w:r>
      <w:r>
        <w:rPr>
          <w:rFonts w:ascii="宋体" w:hAnsi="宋体" w:eastAsia="宋体" w:cs="Times New Roman"/>
          <w:color w:val="000000" w:themeColor="text1"/>
          <w:sz w:val="24"/>
          <w:szCs w:val="24"/>
          <w14:textFill>
            <w14:solidFill>
              <w14:schemeClr w14:val="tx1"/>
            </w14:solidFill>
          </w14:textFill>
        </w:rPr>
        <w:fldChar w:fldCharType="begin"/>
      </w:r>
      <w:r>
        <w:rPr>
          <w:rFonts w:ascii="宋体" w:hAnsi="宋体" w:eastAsia="宋体" w:cs="Times New Roman"/>
          <w:color w:val="000000" w:themeColor="text1"/>
          <w:sz w:val="24"/>
          <w:szCs w:val="24"/>
          <w14:textFill>
            <w14:solidFill>
              <w14:schemeClr w14:val="tx1"/>
            </w14:solidFill>
          </w14:textFill>
        </w:rPr>
        <w:instrText xml:space="preserve"> SEQ 表 \* ARABIC </w:instrText>
      </w:r>
      <w:r>
        <w:rPr>
          <w:rFonts w:ascii="宋体" w:hAnsi="宋体" w:eastAsia="宋体" w:cs="Times New Roman"/>
          <w:color w:val="000000" w:themeColor="text1"/>
          <w:sz w:val="24"/>
          <w:szCs w:val="24"/>
          <w14:textFill>
            <w14:solidFill>
              <w14:schemeClr w14:val="tx1"/>
            </w14:solidFill>
          </w14:textFill>
        </w:rPr>
        <w:fldChar w:fldCharType="separate"/>
      </w:r>
      <w:r>
        <w:rPr>
          <w:rFonts w:ascii="宋体" w:hAnsi="宋体" w:eastAsia="宋体" w:cs="Times New Roman"/>
          <w:color w:val="000000" w:themeColor="text1"/>
          <w:sz w:val="24"/>
          <w:szCs w:val="24"/>
          <w14:textFill>
            <w14:solidFill>
              <w14:schemeClr w14:val="tx1"/>
            </w14:solidFill>
          </w14:textFill>
        </w:rPr>
        <w:t>7</w:t>
      </w:r>
      <w:r>
        <w:rPr>
          <w:rFonts w:ascii="宋体" w:hAnsi="宋体" w:eastAsia="宋体" w:cs="Times New Roman"/>
          <w:color w:val="000000" w:themeColor="text1"/>
          <w:sz w:val="24"/>
          <w:szCs w:val="24"/>
          <w14:textFill>
            <w14:solidFill>
              <w14:schemeClr w14:val="tx1"/>
            </w14:solidFill>
          </w14:textFill>
        </w:rPr>
        <w:fldChar w:fldCharType="end"/>
      </w:r>
      <w:bookmarkStart w:id="71" w:name="_Toc10399"/>
      <w:r>
        <w:rPr>
          <w:rFonts w:hint="eastAsia" w:ascii="宋体" w:hAnsi="宋体" w:eastAsia="宋体" w:cs="Times New Roman"/>
          <w:color w:val="000000" w:themeColor="text1"/>
          <w:sz w:val="24"/>
          <w:szCs w:val="24"/>
          <w14:textFill>
            <w14:solidFill>
              <w14:schemeClr w14:val="tx1"/>
            </w14:solidFill>
          </w14:textFill>
        </w:rPr>
        <w:t xml:space="preserve"> 本文所提算法</w:t>
      </w:r>
      <w:r>
        <w:rPr>
          <w:rFonts w:ascii="宋体" w:hAnsi="宋体" w:eastAsia="宋体" w:cs="Times New Roman"/>
          <w:color w:val="000000" w:themeColor="text1"/>
          <w:sz w:val="24"/>
          <w:szCs w:val="24"/>
          <w14:textFill>
            <w14:solidFill>
              <w14:schemeClr w14:val="tx1"/>
            </w14:solidFill>
          </w14:textFill>
        </w:rPr>
        <w:t>与其他最新算法的比较</w:t>
      </w:r>
      <w:bookmarkEnd w:id="69"/>
      <w:bookmarkEnd w:id="70"/>
      <w:bookmarkEnd w:id="71"/>
    </w:p>
    <w:tbl>
      <w:tblPr>
        <w:tblStyle w:val="26"/>
        <w:tblW w:w="850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5"/>
        <w:gridCol w:w="1447"/>
        <w:gridCol w:w="1416"/>
        <w:gridCol w:w="1296"/>
        <w:gridCol w:w="1369"/>
        <w:gridCol w:w="992"/>
      </w:tblGrid>
      <w:tr w14:paraId="633FA8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1985" w:type="dxa"/>
            <w:tcBorders>
              <w:bottom w:val="single" w:color="auto" w:sz="4" w:space="0"/>
              <w:insideH w:val="single" w:sz="4" w:space="0"/>
            </w:tcBorders>
            <w:vAlign w:val="center"/>
          </w:tcPr>
          <w:p w14:paraId="3D6D2AE1">
            <w:pPr>
              <w:spacing w:line="240" w:lineRule="auto"/>
              <w:rPr>
                <w:rFonts w:hint="eastAsia" w:ascii="宋体" w:hAnsi="宋体" w:eastAsia="宋体" w:cs="Times New Roman"/>
                <w:color w:val="000000" w:themeColor="text1"/>
                <w:sz w:val="24"/>
                <w14:textFill>
                  <w14:solidFill>
                    <w14:schemeClr w14:val="tx1"/>
                  </w14:solidFill>
                </w14:textFill>
              </w:rPr>
            </w:pPr>
            <w:bookmarkStart w:id="72" w:name="OLE_LINK28"/>
            <w:r>
              <w:rPr>
                <w:rFonts w:ascii="宋体" w:hAnsi="宋体" w:eastAsia="宋体" w:cs="Times New Roman"/>
                <w:color w:val="000000" w:themeColor="text1"/>
                <w:sz w:val="24"/>
                <w14:textFill>
                  <w14:solidFill>
                    <w14:schemeClr w14:val="tx1"/>
                  </w14:solidFill>
                </w14:textFill>
              </w:rPr>
              <w:t>Model</w:t>
            </w:r>
          </w:p>
        </w:tc>
        <w:tc>
          <w:tcPr>
            <w:tcW w:w="1447" w:type="dxa"/>
            <w:tcBorders>
              <w:bottom w:val="single" w:color="auto" w:sz="4" w:space="0"/>
              <w:insideH w:val="single" w:sz="4" w:space="0"/>
            </w:tcBorders>
            <w:vAlign w:val="center"/>
          </w:tcPr>
          <w:p w14:paraId="2012C74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ACC(%)</w:t>
            </w:r>
          </w:p>
        </w:tc>
        <w:tc>
          <w:tcPr>
            <w:tcW w:w="1416" w:type="dxa"/>
            <w:tcBorders>
              <w:bottom w:val="single" w:color="auto" w:sz="4" w:space="0"/>
              <w:insideH w:val="single" w:sz="4" w:space="0"/>
            </w:tcBorders>
            <w:vAlign w:val="center"/>
          </w:tcPr>
          <w:p w14:paraId="0B743BA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SN(%)</w:t>
            </w:r>
          </w:p>
        </w:tc>
        <w:tc>
          <w:tcPr>
            <w:tcW w:w="1296" w:type="dxa"/>
            <w:tcBorders>
              <w:bottom w:val="single" w:color="auto" w:sz="4" w:space="0"/>
              <w:insideH w:val="single" w:sz="4" w:space="0"/>
            </w:tcBorders>
            <w:vAlign w:val="center"/>
          </w:tcPr>
          <w:p w14:paraId="05211A0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SP(%)</w:t>
            </w:r>
          </w:p>
        </w:tc>
        <w:tc>
          <w:tcPr>
            <w:tcW w:w="1369" w:type="dxa"/>
            <w:tcBorders>
              <w:bottom w:val="single" w:color="auto" w:sz="4" w:space="0"/>
              <w:insideH w:val="single" w:sz="4" w:space="0"/>
            </w:tcBorders>
            <w:vAlign w:val="center"/>
          </w:tcPr>
          <w:p w14:paraId="61EF9C3C">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MCC</w:t>
            </w:r>
          </w:p>
        </w:tc>
        <w:tc>
          <w:tcPr>
            <w:tcW w:w="992" w:type="dxa"/>
            <w:tcBorders>
              <w:bottom w:val="single" w:color="auto" w:sz="4" w:space="0"/>
              <w:insideH w:val="single" w:sz="4" w:space="0"/>
            </w:tcBorders>
            <w:vAlign w:val="center"/>
          </w:tcPr>
          <w:p w14:paraId="40499E0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AUC(%)</w:t>
            </w:r>
          </w:p>
        </w:tc>
      </w:tr>
      <w:tr w14:paraId="63BF0E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1985" w:type="dxa"/>
            <w:vAlign w:val="center"/>
          </w:tcPr>
          <w:p w14:paraId="1C2AD85F">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AntiDMPpred</w:t>
            </w:r>
          </w:p>
        </w:tc>
        <w:tc>
          <w:tcPr>
            <w:tcW w:w="1447" w:type="dxa"/>
            <w:vAlign w:val="center"/>
          </w:tcPr>
          <w:p w14:paraId="32BB6D29">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77.12</w:t>
            </w:r>
          </w:p>
        </w:tc>
        <w:tc>
          <w:tcPr>
            <w:tcW w:w="1416" w:type="dxa"/>
            <w:vAlign w:val="center"/>
          </w:tcPr>
          <w:p w14:paraId="5B577DA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80.51</w:t>
            </w:r>
          </w:p>
        </w:tc>
        <w:tc>
          <w:tcPr>
            <w:tcW w:w="1296" w:type="dxa"/>
            <w:vAlign w:val="center"/>
          </w:tcPr>
          <w:p w14:paraId="467C85F9">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73.73</w:t>
            </w:r>
          </w:p>
        </w:tc>
        <w:tc>
          <w:tcPr>
            <w:tcW w:w="1369" w:type="dxa"/>
            <w:vAlign w:val="center"/>
          </w:tcPr>
          <w:p w14:paraId="322C8989">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0.5436</w:t>
            </w:r>
          </w:p>
        </w:tc>
        <w:tc>
          <w:tcPr>
            <w:tcW w:w="992" w:type="dxa"/>
            <w:vAlign w:val="center"/>
          </w:tcPr>
          <w:p w14:paraId="71A50BB5">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81.93</w:t>
            </w:r>
          </w:p>
        </w:tc>
      </w:tr>
      <w:tr w14:paraId="60862B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1985" w:type="dxa"/>
            <w:vAlign w:val="center"/>
          </w:tcPr>
          <w:p w14:paraId="33A68AB0">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ADP-Fuse</w:t>
            </w:r>
          </w:p>
        </w:tc>
        <w:tc>
          <w:tcPr>
            <w:tcW w:w="1447" w:type="dxa"/>
            <w:vAlign w:val="center"/>
          </w:tcPr>
          <w:p w14:paraId="172343BA">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94.00</w:t>
            </w:r>
          </w:p>
        </w:tc>
        <w:tc>
          <w:tcPr>
            <w:tcW w:w="1416" w:type="dxa"/>
            <w:vAlign w:val="center"/>
          </w:tcPr>
          <w:p w14:paraId="3EE9FC7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w:t>
            </w:r>
          </w:p>
        </w:tc>
        <w:tc>
          <w:tcPr>
            <w:tcW w:w="1296" w:type="dxa"/>
            <w:vAlign w:val="center"/>
          </w:tcPr>
          <w:p w14:paraId="3187C03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w:t>
            </w:r>
          </w:p>
        </w:tc>
        <w:tc>
          <w:tcPr>
            <w:tcW w:w="1369" w:type="dxa"/>
            <w:vAlign w:val="center"/>
          </w:tcPr>
          <w:p w14:paraId="3FE5ED66">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0.841</w:t>
            </w:r>
          </w:p>
        </w:tc>
        <w:tc>
          <w:tcPr>
            <w:tcW w:w="992" w:type="dxa"/>
            <w:vAlign w:val="center"/>
          </w:tcPr>
          <w:p w14:paraId="72D13FB6">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98.60</w:t>
            </w:r>
          </w:p>
        </w:tc>
      </w:tr>
      <w:tr w14:paraId="115E2F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1985" w:type="dxa"/>
            <w:vAlign w:val="center"/>
          </w:tcPr>
          <w:p w14:paraId="1636BD2D">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BertADP</w:t>
            </w:r>
          </w:p>
        </w:tc>
        <w:tc>
          <w:tcPr>
            <w:tcW w:w="1447" w:type="dxa"/>
            <w:vAlign w:val="center"/>
          </w:tcPr>
          <w:p w14:paraId="4D042949">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94.55</w:t>
            </w:r>
          </w:p>
        </w:tc>
        <w:tc>
          <w:tcPr>
            <w:tcW w:w="1416" w:type="dxa"/>
            <w:vAlign w:val="center"/>
          </w:tcPr>
          <w:p w14:paraId="33B0A95E">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100.00</w:t>
            </w:r>
          </w:p>
        </w:tc>
        <w:tc>
          <w:tcPr>
            <w:tcW w:w="1296" w:type="dxa"/>
            <w:vAlign w:val="center"/>
          </w:tcPr>
          <w:p w14:paraId="1B5E3871">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91.04</w:t>
            </w:r>
          </w:p>
        </w:tc>
        <w:tc>
          <w:tcPr>
            <w:tcW w:w="1369" w:type="dxa"/>
            <w:vAlign w:val="center"/>
          </w:tcPr>
          <w:p w14:paraId="08A810DC">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0.8938</w:t>
            </w:r>
          </w:p>
        </w:tc>
        <w:tc>
          <w:tcPr>
            <w:tcW w:w="992" w:type="dxa"/>
            <w:vAlign w:val="center"/>
          </w:tcPr>
          <w:p w14:paraId="329B782D">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95.80</w:t>
            </w:r>
          </w:p>
        </w:tc>
      </w:tr>
      <w:tr w14:paraId="1ACCED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1985" w:type="dxa"/>
            <w:vAlign w:val="center"/>
          </w:tcPr>
          <w:p w14:paraId="6548F4A9">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AntiT2DMP-Pred</w:t>
            </w:r>
          </w:p>
        </w:tc>
        <w:tc>
          <w:tcPr>
            <w:tcW w:w="1447" w:type="dxa"/>
            <w:vAlign w:val="center"/>
          </w:tcPr>
          <w:p w14:paraId="3ADEDBE0">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83.10</w:t>
            </w:r>
          </w:p>
        </w:tc>
        <w:tc>
          <w:tcPr>
            <w:tcW w:w="1416" w:type="dxa"/>
            <w:vAlign w:val="center"/>
          </w:tcPr>
          <w:p w14:paraId="12A5EA1C">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w:t>
            </w:r>
          </w:p>
        </w:tc>
        <w:tc>
          <w:tcPr>
            <w:tcW w:w="1296" w:type="dxa"/>
            <w:vAlign w:val="center"/>
          </w:tcPr>
          <w:p w14:paraId="0212DD76">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w:t>
            </w:r>
          </w:p>
        </w:tc>
        <w:tc>
          <w:tcPr>
            <w:tcW w:w="1369" w:type="dxa"/>
            <w:vAlign w:val="center"/>
          </w:tcPr>
          <w:p w14:paraId="28C6AE91">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0.662</w:t>
            </w:r>
          </w:p>
        </w:tc>
        <w:tc>
          <w:tcPr>
            <w:tcW w:w="992" w:type="dxa"/>
            <w:vAlign w:val="center"/>
          </w:tcPr>
          <w:p w14:paraId="6923BB14">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90.70</w:t>
            </w:r>
          </w:p>
        </w:tc>
      </w:tr>
      <w:tr w14:paraId="7BA260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1985" w:type="dxa"/>
            <w:vAlign w:val="center"/>
          </w:tcPr>
          <w:p w14:paraId="42B74556">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Stage-1</w:t>
            </w:r>
          </w:p>
        </w:tc>
        <w:tc>
          <w:tcPr>
            <w:tcW w:w="1447" w:type="dxa"/>
            <w:vAlign w:val="center"/>
          </w:tcPr>
          <w:p w14:paraId="0BEBC2D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84.62</w:t>
            </w:r>
          </w:p>
        </w:tc>
        <w:tc>
          <w:tcPr>
            <w:tcW w:w="1416" w:type="dxa"/>
            <w:vAlign w:val="center"/>
          </w:tcPr>
          <w:p w14:paraId="6E9EA0B2">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81.82</w:t>
            </w:r>
          </w:p>
        </w:tc>
        <w:tc>
          <w:tcPr>
            <w:tcW w:w="1296" w:type="dxa"/>
            <w:vAlign w:val="center"/>
          </w:tcPr>
          <w:p w14:paraId="5687D0C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88.89</w:t>
            </w:r>
          </w:p>
        </w:tc>
        <w:tc>
          <w:tcPr>
            <w:tcW w:w="1369" w:type="dxa"/>
            <w:vAlign w:val="center"/>
          </w:tcPr>
          <w:p w14:paraId="3360ABAC">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69.35</w:t>
            </w:r>
          </w:p>
        </w:tc>
        <w:tc>
          <w:tcPr>
            <w:tcW w:w="992" w:type="dxa"/>
            <w:vAlign w:val="center"/>
          </w:tcPr>
          <w:p w14:paraId="1EA6AF5E">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96.26</w:t>
            </w:r>
          </w:p>
        </w:tc>
      </w:tr>
      <w:tr w14:paraId="31E6EC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1985" w:type="dxa"/>
            <w:vAlign w:val="center"/>
          </w:tcPr>
          <w:p w14:paraId="1F57F155">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Stage-2</w:t>
            </w:r>
          </w:p>
        </w:tc>
        <w:tc>
          <w:tcPr>
            <w:tcW w:w="1447" w:type="dxa"/>
            <w:vAlign w:val="center"/>
          </w:tcPr>
          <w:p w14:paraId="0BD21509">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83.16</w:t>
            </w:r>
          </w:p>
        </w:tc>
        <w:tc>
          <w:tcPr>
            <w:tcW w:w="1416" w:type="dxa"/>
            <w:vAlign w:val="center"/>
          </w:tcPr>
          <w:p w14:paraId="157DB4DE">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95.74</w:t>
            </w:r>
          </w:p>
        </w:tc>
        <w:tc>
          <w:tcPr>
            <w:tcW w:w="1296" w:type="dxa"/>
            <w:vAlign w:val="center"/>
          </w:tcPr>
          <w:p w14:paraId="12905DC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70.83</w:t>
            </w:r>
          </w:p>
        </w:tc>
        <w:tc>
          <w:tcPr>
            <w:tcW w:w="1369" w:type="dxa"/>
            <w:vAlign w:val="center"/>
          </w:tcPr>
          <w:p w14:paraId="476A4674">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68.62</w:t>
            </w:r>
          </w:p>
        </w:tc>
        <w:tc>
          <w:tcPr>
            <w:tcW w:w="992" w:type="dxa"/>
            <w:vAlign w:val="center"/>
          </w:tcPr>
          <w:p w14:paraId="531D9B9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89.87</w:t>
            </w:r>
          </w:p>
        </w:tc>
      </w:tr>
      <w:bookmarkEnd w:id="68"/>
      <w:bookmarkEnd w:id="72"/>
    </w:tbl>
    <w:p w14:paraId="0312E6F2">
      <w:pPr>
        <w:pStyle w:val="14"/>
        <w:spacing w:before="0" w:beforeAutospacing="0" w:after="0" w:afterAutospacing="0"/>
        <w:ind w:firstLine="42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由表7可知，不同方法在抗糖尿病肽识别任务上各有优势。BertADP的准确率（94.55%）和马修斯相关系数（0.8938）均为最高，且敏感度达到100%，表明其在正样本识别上近乎完美，同时特异度也高达91.04%，整体分类性能非常突出。ADP-Fuse的AUC达到98.60%，在已列方法中排名第一，反映其优异的排序能力和阈值无关判别能力。AntiDMPpred和AntiT2DMP-Pred整体指标偏低，但作为领域早期工作仍具参考价值。本文提出的Stage-1模型在特异度（88.89%）和AUC（96.26%）上表现良好，Stage-2模型则具有较高的敏感度（95.74%）。</w:t>
      </w:r>
    </w:p>
    <w:p w14:paraId="07327E93">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需要指出的是，本文方法的设计目标并非追求单一指标的极致，而是面向大规模天然肽库的实际筛选需求，构建一个可分工、可融合多证据的两阶段框架。表中BertADP和ADP-Fuse虽然在ACC或AUC上优于本文模型，但它们均为单阶段单模型，无法在同一框架内同时兼顾高召回与高精度。相反，本文利用Stage-2的高敏感度进行第一阶段粗筛，确保活性肽的最大召回；再利用Stage-1的高特异度和高AUC进行第二阶段精筛，有效控制假阳性。此外，本文框架还能在第二阶段引入结构感知评分（SaProt-3Di）和可开发性惩罚项（毒性/溶血性），这是现有方法不具备的。因此，本文的优势在于提供了一条从序列到结构、从活性到安全性的系统性筛选路径，更适合真实的抗糖尿病肽发现流程。</w:t>
      </w:r>
    </w:p>
    <w:p w14:paraId="372E8AC6">
      <w:pPr>
        <w:pStyle w:val="3"/>
        <w:rPr>
          <w:rFonts w:hint="eastAsia" w:ascii="楷体" w:hAnsi="楷体" w:eastAsia="楷体" w:cs="Times New Roman"/>
          <w:color w:val="000000" w:themeColor="text1"/>
          <w:sz w:val="28"/>
          <w:szCs w:val="28"/>
          <w14:textFill>
            <w14:solidFill>
              <w14:schemeClr w14:val="tx1"/>
            </w14:solidFill>
          </w14:textFill>
        </w:rPr>
      </w:pPr>
      <w:bookmarkStart w:id="73" w:name="_Toc29723"/>
      <w:r>
        <w:rPr>
          <w:rFonts w:hint="eastAsia" w:ascii="楷体" w:hAnsi="楷体" w:eastAsia="楷体" w:cs="Times New Roman"/>
          <w:color w:val="000000" w:themeColor="text1"/>
          <w:sz w:val="28"/>
          <w:szCs w:val="28"/>
          <w14:textFill>
            <w14:solidFill>
              <w14:schemeClr w14:val="tx1"/>
            </w14:solidFill>
          </w14:textFill>
        </w:rPr>
        <w:t>（四）</w:t>
      </w:r>
      <w:r>
        <w:rPr>
          <w:rFonts w:ascii="楷体" w:hAnsi="楷体" w:eastAsia="楷体" w:cs="Times New Roman"/>
          <w:color w:val="000000" w:themeColor="text1"/>
          <w:sz w:val="28"/>
          <w:szCs w:val="28"/>
          <w14:textFill>
            <w14:solidFill>
              <w14:schemeClr w14:val="tx1"/>
            </w14:solidFill>
          </w14:textFill>
        </w:rPr>
        <w:t>模型应用</w:t>
      </w:r>
      <w:bookmarkEnd w:id="73"/>
    </w:p>
    <w:p w14:paraId="0F8E8F56">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74" w:name="_Toc27117"/>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1、</w:t>
      </w:r>
      <w:r>
        <w:rPr>
          <w:rFonts w:cs="Times New Roman" w:asciiTheme="majorEastAsia" w:hAnsiTheme="majorEastAsia" w:eastAsiaTheme="majorEastAsia"/>
          <w:b/>
          <w:bCs/>
          <w:color w:val="000000" w:themeColor="text1"/>
          <w:kern w:val="0"/>
          <w:sz w:val="24"/>
          <w:lang w:bidi="ar"/>
          <w14:textFill>
            <w14:solidFill>
              <w14:schemeClr w14:val="tx1"/>
            </w14:solidFill>
          </w14:textFill>
        </w:rPr>
        <w:t>预测结果</w:t>
      </w:r>
      <w:bookmarkEnd w:id="74"/>
    </w:p>
    <w:p w14:paraId="6B1D9062">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bookmarkStart w:id="75" w:name="OLE_LINK15"/>
      <w:r>
        <w:rPr>
          <w:rFonts w:ascii="Times New Roman" w:hAnsi="Times New Roman" w:cs="Times New Roman" w:eastAsiaTheme="minorEastAsia"/>
          <w:color w:val="000000" w:themeColor="text1"/>
          <w14:textFill>
            <w14:solidFill>
              <w14:schemeClr w14:val="tx1"/>
            </w14:solidFill>
          </w14:textFill>
        </w:rPr>
        <w:t>为验证本文模型在天然功能肽挖掘中的实用价值，以枯草芽孢杆菌蛋白质组酶切肽段为例进行应用展示。首先模拟酶切获得候选肽库，经Stage-1主筛得到Top‑2000，再结合3Di结构token、SaProt‑ADP结构感知评分及毒性/溶血性惩罚项进行Stage-2精排，输出最终Top‑100高置信候选肽。</w:t>
      </w:r>
    </w:p>
    <w:p w14:paraId="6838FE01">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排名融合采用如下的归一化加权策略：</w:t>
      </w:r>
    </w:p>
    <w:p w14:paraId="25969326">
      <w:pPr>
        <w:pStyle w:val="14"/>
        <w:spacing w:before="0" w:beforeAutospacing="0" w:after="0" w:afterAutospacing="0" w:line="720" w:lineRule="auto"/>
        <w:ind w:firstLine="1440" w:firstLineChars="600"/>
        <w:jc w:val="both"/>
        <w:rPr>
          <w:rFonts w:hint="default" w:hAnsi="Cambria Math" w:cs="Times New Roman" w:eastAsiaTheme="minorEastAsia"/>
          <w:i/>
          <w:color w:val="000000" w:themeColor="text1"/>
          <w:lang w:val="en-US" w:eastAsia="zh-CN"/>
          <w14:textFill>
            <w14:solidFill>
              <w14:schemeClr w14:val="tx1"/>
            </w14:solidFill>
          </w14:textFill>
        </w:rPr>
      </w:pPr>
      <m:oMathPara>
        <m:oMath>
          <m:eqArr>
            <m:eqArrPr>
              <m:maxDist m:val="1"/>
              <m:ctrlPr>
                <w:rPr>
                  <w:rFonts w:ascii="Cambria Math" w:hAnsi="Cambria Math" w:cs="Times New Roman" w:eastAsiaTheme="minorEastAsia"/>
                  <w:i/>
                  <w:color w:val="000000" w:themeColor="text1"/>
                  <w14:textFill>
                    <w14:solidFill>
                      <w14:schemeClr w14:val="tx1"/>
                    </w14:solidFill>
                  </w14:textFill>
                </w:rPr>
              </m:ctrlPr>
            </m:eqArrPr>
            <m:e>
              <m:sSub>
                <m:sSubPr>
                  <m:ctrlPr>
                    <w:rPr>
                      <w:rFonts w:ascii="Cambria Math" w:hAnsi="Cambria Math" w:cs="Times New Roman" w:eastAsiaTheme="minorEastAsia"/>
                      <w:color w:val="000000" w:themeColor="text1"/>
                      <w14:textFill>
                        <w14:solidFill>
                          <w14:schemeClr w14:val="tx1"/>
                        </w14:solidFill>
                      </w14:textFill>
                    </w:rPr>
                  </m:ctrlPr>
                </m:sSubPr>
                <m:e>
                  <m:r>
                    <m:rPr/>
                    <w:rPr>
                      <w:rFonts w:ascii="Cambria Math" w:hAnsi="Cambria Math" w:cs="Times New Roman" w:eastAsiaTheme="minorEastAsia"/>
                      <w:color w:val="000000" w:themeColor="text1"/>
                      <w14:textFill>
                        <w14:solidFill>
                          <w14:schemeClr w14:val="tx1"/>
                        </w14:solidFill>
                      </w14:textFill>
                    </w:rPr>
                    <m:t>S</m:t>
                  </m:r>
                  <m:ctrlPr>
                    <w:rPr>
                      <w:rFonts w:ascii="Cambria Math" w:hAnsi="Cambria Math" w:cs="Times New Roman" w:eastAsiaTheme="minorEastAsia"/>
                      <w:color w:val="000000" w:themeColor="text1"/>
                      <w14:textFill>
                        <w14:solidFill>
                          <w14:schemeClr w14:val="tx1"/>
                        </w14:solidFill>
                      </w14:textFill>
                    </w:rPr>
                  </m:ctrlPr>
                </m:e>
                <m:sub>
                  <m:r>
                    <m:rPr/>
                    <w:rPr>
                      <w:rFonts w:ascii="Cambria Math" w:hAnsi="Cambria Math" w:cs="Times New Roman" w:eastAsiaTheme="minorEastAsia"/>
                      <w:color w:val="000000" w:themeColor="text1"/>
                      <w14:textFill>
                        <w14:solidFill>
                          <w14:schemeClr w14:val="tx1"/>
                        </w14:solidFill>
                      </w14:textFill>
                    </w:rPr>
                    <m:t>i</m:t>
                  </m:r>
                  <m:ctrlPr>
                    <w:rPr>
                      <w:rFonts w:ascii="Cambria Math" w:hAnsi="Cambria Math" w:cs="Times New Roman" w:eastAsiaTheme="minorEastAsia"/>
                      <w:color w:val="000000" w:themeColor="text1"/>
                      <w14:textFill>
                        <w14:solidFill>
                          <w14:schemeClr w14:val="tx1"/>
                        </w14:solidFill>
                      </w14:textFill>
                    </w:rPr>
                  </m:ctrlPr>
                </m:sub>
              </m:sSub>
              <m:r>
                <m:rPr>
                  <m:sty m:val="p"/>
                </m:rPr>
                <w:rPr>
                  <w:rFonts w:ascii="Cambria Math" w:hAnsi="Cambria Math" w:cs="Times New Roman" w:eastAsiaTheme="minorEastAsia"/>
                  <w:color w:val="000000" w:themeColor="text1"/>
                  <w14:textFill>
                    <w14:solidFill>
                      <w14:schemeClr w14:val="tx1"/>
                    </w14:solidFill>
                  </w14:textFill>
                </w:rPr>
                <m:t>=1−</m:t>
              </m:r>
              <m:f>
                <m:fPr>
                  <m:ctrlPr>
                    <w:rPr>
                      <w:rFonts w:ascii="Cambria Math" w:hAnsi="Cambria Math" w:cs="Times New Roman" w:eastAsiaTheme="minorEastAsia"/>
                      <w:color w:val="000000" w:themeColor="text1"/>
                      <w14:textFill>
                        <w14:solidFill>
                          <w14:schemeClr w14:val="tx1"/>
                        </w14:solidFill>
                      </w14:textFill>
                    </w:rPr>
                  </m:ctrlPr>
                </m:fPr>
                <m:num>
                  <m:sSub>
                    <m:sSubPr>
                      <m:ctrlPr>
                        <w:rPr>
                          <w:rFonts w:ascii="Cambria Math" w:hAnsi="Cambria Math" w:cs="Times New Roman" w:eastAsiaTheme="minorEastAsia"/>
                          <w:color w:val="000000" w:themeColor="text1"/>
                          <w14:textFill>
                            <w14:solidFill>
                              <w14:schemeClr w14:val="tx1"/>
                            </w14:solidFill>
                          </w14:textFill>
                        </w:rPr>
                      </m:ctrlPr>
                    </m:sSubPr>
                    <m:e>
                      <m:r>
                        <m:rPr/>
                        <w:rPr>
                          <w:rFonts w:ascii="Cambria Math" w:hAnsi="Cambria Math" w:cs="Times New Roman" w:eastAsiaTheme="minorEastAsia"/>
                          <w:color w:val="000000" w:themeColor="text1"/>
                          <w14:textFill>
                            <w14:solidFill>
                              <w14:schemeClr w14:val="tx1"/>
                            </w14:solidFill>
                          </w14:textFill>
                        </w:rPr>
                        <m:t>r</m:t>
                      </m:r>
                      <m:ctrlPr>
                        <w:rPr>
                          <w:rFonts w:ascii="Cambria Math" w:hAnsi="Cambria Math" w:cs="Times New Roman" w:eastAsiaTheme="minorEastAsia"/>
                          <w:color w:val="000000" w:themeColor="text1"/>
                          <w14:textFill>
                            <w14:solidFill>
                              <w14:schemeClr w14:val="tx1"/>
                            </w14:solidFill>
                          </w14:textFill>
                        </w:rPr>
                      </m:ctrlPr>
                    </m:e>
                    <m:sub>
                      <m:r>
                        <m:rPr/>
                        <w:rPr>
                          <w:rFonts w:ascii="Cambria Math" w:hAnsi="Cambria Math" w:cs="Times New Roman" w:eastAsiaTheme="minorEastAsia"/>
                          <w:color w:val="000000" w:themeColor="text1"/>
                          <w14:textFill>
                            <w14:solidFill>
                              <w14:schemeClr w14:val="tx1"/>
                            </w14:solidFill>
                          </w14:textFill>
                        </w:rPr>
                        <m:t>i</m:t>
                      </m:r>
                      <m:ctrlPr>
                        <w:rPr>
                          <w:rFonts w:ascii="Cambria Math" w:hAnsi="Cambria Math" w:cs="Times New Roman" w:eastAsiaTheme="minorEastAsia"/>
                          <w:color w:val="000000" w:themeColor="text1"/>
                          <w14:textFill>
                            <w14:solidFill>
                              <w14:schemeClr w14:val="tx1"/>
                            </w14:solidFill>
                          </w14:textFill>
                        </w:rPr>
                      </m:ctrlPr>
                    </m:sub>
                  </m:sSub>
                  <m:r>
                    <m:rPr>
                      <m:sty m:val="p"/>
                    </m:rPr>
                    <w:rPr>
                      <w:rFonts w:ascii="Cambria Math" w:hAnsi="Cambria Math" w:cs="Times New Roman" w:eastAsiaTheme="minorEastAsia"/>
                      <w:color w:val="000000" w:themeColor="text1"/>
                      <w14:textFill>
                        <w14:solidFill>
                          <w14:schemeClr w14:val="tx1"/>
                        </w14:solidFill>
                      </w14:textFill>
                    </w:rPr>
                    <m:t>−1</m:t>
                  </m:r>
                  <m:ctrlPr>
                    <w:rPr>
                      <w:rFonts w:ascii="Cambria Math" w:hAnsi="Cambria Math" w:cs="Times New Roman" w:eastAsiaTheme="minorEastAsia"/>
                      <w:color w:val="000000" w:themeColor="text1"/>
                      <w14:textFill>
                        <w14:solidFill>
                          <w14:schemeClr w14:val="tx1"/>
                        </w14:solidFill>
                      </w14:textFill>
                    </w:rPr>
                  </m:ctrlPr>
                </m:num>
                <m:den>
                  <m:r>
                    <m:rPr/>
                    <w:rPr>
                      <w:rFonts w:ascii="Cambria Math" w:hAnsi="Cambria Math" w:cs="Times New Roman" w:eastAsiaTheme="minorEastAsia"/>
                      <w:color w:val="000000" w:themeColor="text1"/>
                      <w14:textFill>
                        <w14:solidFill>
                          <w14:schemeClr w14:val="tx1"/>
                        </w14:solidFill>
                      </w14:textFill>
                    </w:rPr>
                    <m:t>N</m:t>
                  </m:r>
                  <m:r>
                    <m:rPr>
                      <m:sty m:val="p"/>
                    </m:rPr>
                    <w:rPr>
                      <w:rFonts w:ascii="Cambria Math" w:hAnsi="Cambria Math" w:cs="Times New Roman" w:eastAsiaTheme="minorEastAsia"/>
                      <w:color w:val="000000" w:themeColor="text1"/>
                      <w14:textFill>
                        <w14:solidFill>
                          <w14:schemeClr w14:val="tx1"/>
                        </w14:solidFill>
                      </w14:textFill>
                    </w:rPr>
                    <m:t>−1</m:t>
                  </m:r>
                  <m:ctrlPr>
                    <w:rPr>
                      <w:rFonts w:ascii="Cambria Math" w:hAnsi="Cambria Math" w:cs="Times New Roman" w:eastAsiaTheme="minorEastAsia"/>
                      <w:color w:val="000000" w:themeColor="text1"/>
                      <w14:textFill>
                        <w14:solidFill>
                          <w14:schemeClr w14:val="tx1"/>
                        </w14:solidFill>
                      </w14:textFill>
                    </w:rPr>
                  </m:ctrlPr>
                </m:den>
              </m:f>
              <m:r>
                <m:rPr>
                  <m:sty m:val="p"/>
                </m:rPr>
                <w:rPr>
                  <w:rFonts w:hint="default" w:ascii="Cambria Math" w:hAnsi="Cambria Math" w:cs="Times New Roman" w:eastAsiaTheme="minorEastAsia"/>
                  <w:color w:val="000000" w:themeColor="text1"/>
                  <w:lang w:val="en-US" w:eastAsia="zh-CN"/>
                  <w14:textFill>
                    <w14:solidFill>
                      <w14:schemeClr w14:val="tx1"/>
                    </w14:solidFill>
                  </w14:textFill>
                </w:rPr>
                <m:t>#(10)</m:t>
              </m:r>
              <m:ctrlPr>
                <w:rPr>
                  <w:rFonts w:ascii="Cambria Math" w:hAnsi="Cambria Math" w:cs="Times New Roman" w:eastAsiaTheme="minorEastAsia"/>
                  <w:i/>
                  <w:color w:val="000000" w:themeColor="text1"/>
                  <w14:textFill>
                    <w14:solidFill>
                      <w14:schemeClr w14:val="tx1"/>
                    </w14:solidFill>
                  </w14:textFill>
                </w:rPr>
              </m:ctrlPr>
            </m:e>
          </m:eqArr>
        </m:oMath>
      </m:oMathPara>
    </w:p>
    <w:p w14:paraId="6D7556AF">
      <w:pPr>
        <w:pStyle w:val="14"/>
        <w:spacing w:before="0" w:beforeAutospacing="0" w:after="0" w:afterAutospacing="0" w:line="720" w:lineRule="auto"/>
        <w:ind w:firstLine="1440" w:firstLineChars="600"/>
        <w:jc w:val="both"/>
        <w:rPr>
          <w:rFonts w:ascii="Times New Roman" w:hAnsi="Times New Roman" w:cs="Times New Roman" w:eastAsiaTheme="minorEastAsia"/>
          <w:color w:val="000000" w:themeColor="text1"/>
          <w14:textFill>
            <w14:solidFill>
              <w14:schemeClr w14:val="tx1"/>
            </w14:solidFill>
          </w14:textFill>
        </w:rPr>
      </w:pPr>
      <m:oMathPara>
        <m:oMath>
          <m:r>
            <m:rPr/>
            <w:rPr>
              <w:rFonts w:ascii="Cambria Math" w:hAnsi="Cambria Math" w:cs="Times New Roman" w:eastAsiaTheme="minorEastAsia"/>
              <w:color w:val="000000" w:themeColor="text1"/>
              <w14:textFill>
                <w14:solidFill>
                  <w14:schemeClr w14:val="tx1"/>
                </w14:solidFill>
              </w14:textFill>
            </w:rPr>
            <m:t xml:space="preserve"> </m:t>
          </m:r>
        </m:oMath>
      </m:oMathPara>
    </w:p>
    <w:p w14:paraId="498B6E1C">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其中，</w:t>
      </w:r>
      <m:oMath>
        <m:sSub>
          <m:sSubPr>
            <m:ctrlPr>
              <w:rPr>
                <w:rFonts w:ascii="Cambria Math" w:hAnsi="Cambria Math" w:cs="Times New Roman" w:eastAsiaTheme="minorEastAsia"/>
                <w:color w:val="000000" w:themeColor="text1"/>
                <w14:textFill>
                  <w14:solidFill>
                    <w14:schemeClr w14:val="tx1"/>
                  </w14:solidFill>
                </w14:textFill>
              </w:rPr>
            </m:ctrlPr>
          </m:sSubPr>
          <m:e>
            <m:r>
              <m:rPr/>
              <w:rPr>
                <w:rFonts w:ascii="Cambria Math" w:hAnsi="Cambria Math" w:cs="Times New Roman" w:eastAsiaTheme="minorEastAsia"/>
                <w:color w:val="000000" w:themeColor="text1"/>
                <w14:textFill>
                  <w14:solidFill>
                    <w14:schemeClr w14:val="tx1"/>
                  </w14:solidFill>
                </w14:textFill>
              </w:rPr>
              <m:t>r</m:t>
            </m:r>
            <m:ctrlPr>
              <w:rPr>
                <w:rFonts w:ascii="Cambria Math" w:hAnsi="Cambria Math" w:cs="Times New Roman" w:eastAsiaTheme="minorEastAsia"/>
                <w:color w:val="000000" w:themeColor="text1"/>
                <w14:textFill>
                  <w14:solidFill>
                    <w14:schemeClr w14:val="tx1"/>
                  </w14:solidFill>
                </w14:textFill>
              </w:rPr>
            </m:ctrlPr>
          </m:e>
          <m:sub>
            <m:r>
              <m:rPr/>
              <w:rPr>
                <w:rFonts w:ascii="Cambria Math" w:hAnsi="Cambria Math" w:cs="Times New Roman" w:eastAsiaTheme="minorEastAsia"/>
                <w:color w:val="000000" w:themeColor="text1"/>
                <w14:textFill>
                  <w14:solidFill>
                    <w14:schemeClr w14:val="tx1"/>
                  </w14:solidFill>
                </w14:textFill>
              </w:rPr>
              <m:t>i</m:t>
            </m:r>
            <m:ctrlPr>
              <w:rPr>
                <w:rFonts w:ascii="Cambria Math" w:hAnsi="Cambria Math" w:cs="Times New Roman" w:eastAsiaTheme="minorEastAsia"/>
                <w:color w:val="000000" w:themeColor="text1"/>
                <w14:textFill>
                  <w14:solidFill>
                    <w14:schemeClr w14:val="tx1"/>
                  </w14:solidFill>
                </w14:textFill>
              </w:rPr>
            </m:ctrlPr>
          </m:sub>
        </m:sSub>
      </m:oMath>
      <w:r>
        <w:rPr>
          <w:rFonts w:ascii="Times New Roman" w:hAnsi="Times New Roman" w:cs="Times New Roman" w:eastAsiaTheme="minorEastAsia"/>
          <w:color w:val="000000" w:themeColor="text1"/>
          <w14:textFill>
            <w14:solidFill>
              <w14:schemeClr w14:val="tx1"/>
            </w14:solidFill>
          </w14:textFill>
        </w:rPr>
        <w:t> 表示候选肽 i 在某个模型（Stage-1主筛模型 或 SaProt结构感知模型）所有预测结果中的 排名序号（rank）。通过上式可分别将Stage</w:t>
      </w:r>
      <w:r>
        <w:rPr>
          <w:rFonts w:ascii="Times New Roman" w:hAnsi="Times New Roman" w:cs="Times New Roman" w:eastAsiaTheme="minorEastAsia"/>
          <w:color w:val="000000" w:themeColor="text1"/>
          <w14:textFill>
            <w14:solidFill>
              <w14:schemeClr w14:val="tx1"/>
            </w14:solidFill>
          </w14:textFill>
        </w:rPr>
        <w:noBreakHyphen/>
      </w:r>
      <w:r>
        <w:rPr>
          <w:rFonts w:ascii="Times New Roman" w:hAnsi="Times New Roman" w:cs="Times New Roman" w:eastAsiaTheme="minorEastAsia"/>
          <w:color w:val="000000" w:themeColor="text1"/>
          <w14:textFill>
            <w14:solidFill>
              <w14:schemeClr w14:val="tx1"/>
            </w14:solidFill>
          </w14:textFill>
        </w:rPr>
        <w:t>1排名与SaProt</w:t>
      </w:r>
      <w:r>
        <w:rPr>
          <w:rFonts w:ascii="Times New Roman" w:hAnsi="Times New Roman" w:cs="Times New Roman" w:eastAsiaTheme="minorEastAsia"/>
          <w:color w:val="000000" w:themeColor="text1"/>
          <w14:textFill>
            <w14:solidFill>
              <w14:schemeClr w14:val="tx1"/>
            </w14:solidFill>
          </w14:textFill>
        </w:rPr>
        <w:noBreakHyphen/>
      </w:r>
      <w:r>
        <w:rPr>
          <w:rFonts w:ascii="Times New Roman" w:hAnsi="Times New Roman" w:cs="Times New Roman" w:eastAsiaTheme="minorEastAsia"/>
          <w:color w:val="000000" w:themeColor="text1"/>
          <w14:textFill>
            <w14:solidFill>
              <w14:schemeClr w14:val="tx1"/>
            </w14:solidFill>
          </w14:textFill>
        </w:rPr>
        <w:t>ADP排名按下式转换为0~1分数，再以0.7:0.3权重加权得到最终精排分。</w:t>
      </w:r>
    </w:p>
    <w:p w14:paraId="050C0FCD">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表8为两步预测的Top‑2000与Top‑100的肽段分布情况。由表8可知，Top‑2000长度5–38aa（平均10.69aa），short/mid/long分箱分别为818/820/362；Top‑100长度11–23aa（平均14.85aa），仅含mid（65）和long（35），短肽被完全排除。SaProt‑ADP评分从Top‑2000的0.0875–0.7244（平均0.5117）提升至Top‑100的0.6668–0.7244（平均0.7122）。上述结果表明，Stage‑2精排倾向于保留长度适中、结构信息更完整的肽段，且能有效提升结构感知评分，有利于后续分子对接与实验验证。</w:t>
      </w:r>
    </w:p>
    <w:bookmarkEnd w:id="75"/>
    <w:p w14:paraId="3AC6E6F7">
      <w:pPr>
        <w:pStyle w:val="14"/>
        <w:spacing w:before="0" w:beforeAutospacing="0" w:after="0" w:afterAutospacing="0"/>
        <w:ind w:firstLine="480" w:firstLineChars="200"/>
        <w:jc w:val="center"/>
        <w:rPr>
          <w:rFonts w:hint="eastAsia" w:cs="Times New Roman"/>
          <w:color w:val="000000" w:themeColor="text1"/>
          <w14:textFill>
            <w14:solidFill>
              <w14:schemeClr w14:val="tx1"/>
            </w14:solidFill>
          </w14:textFill>
        </w:rPr>
      </w:pPr>
      <w:bookmarkStart w:id="76" w:name="_Toc228654629"/>
      <w:bookmarkStart w:id="77" w:name="_Toc228655979"/>
      <w:r>
        <w:rPr>
          <w:rFonts w:cs="Times New Roman"/>
          <w:color w:val="000000" w:themeColor="text1"/>
          <w14:textFill>
            <w14:solidFill>
              <w14:schemeClr w14:val="tx1"/>
            </w14:solidFill>
          </w14:textFill>
        </w:rPr>
        <w:t xml:space="preserve">表 </w:t>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SEQ 表 \* ARABIC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8</w:t>
      </w:r>
      <w:r>
        <w:rPr>
          <w:rFonts w:cs="Times New Roman"/>
          <w:color w:val="000000" w:themeColor="text1"/>
          <w14:textFill>
            <w14:solidFill>
              <w14:schemeClr w14:val="tx1"/>
            </w14:solidFill>
          </w14:textFill>
        </w:rPr>
        <w:fldChar w:fldCharType="end"/>
      </w:r>
      <w:bookmarkStart w:id="78" w:name="_Toc19110"/>
      <w:r>
        <w:rPr>
          <w:rFonts w:hint="eastAsia" w:cs="Times New Roman"/>
          <w:color w:val="000000" w:themeColor="text1"/>
          <w14:textFill>
            <w14:solidFill>
              <w14:schemeClr w14:val="tx1"/>
            </w14:solidFill>
          </w14:textFill>
        </w:rPr>
        <w:t xml:space="preserve"> </w:t>
      </w:r>
      <w:r>
        <w:rPr>
          <w:rFonts w:cs="Times New Roman"/>
          <w:color w:val="000000" w:themeColor="text1"/>
          <w14:textFill>
            <w14:solidFill>
              <w14:schemeClr w14:val="tx1"/>
            </w14:solidFill>
          </w14:textFill>
        </w:rPr>
        <w:t>最终预测结果分析</w:t>
      </w:r>
      <w:bookmarkEnd w:id="76"/>
      <w:bookmarkEnd w:id="77"/>
      <w:bookmarkEnd w:id="78"/>
    </w:p>
    <w:tbl>
      <w:tblPr>
        <w:tblStyle w:val="18"/>
        <w:tblW w:w="848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4"/>
        <w:gridCol w:w="3017"/>
        <w:gridCol w:w="2770"/>
      </w:tblGrid>
      <w:tr w14:paraId="057E1C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694" w:type="dxa"/>
            <w:tcBorders>
              <w:top w:val="single" w:color="000000" w:sz="12" w:space="0"/>
              <w:bottom w:val="single" w:color="000000" w:sz="4" w:space="0"/>
              <w:tl2br w:val="nil"/>
            </w:tcBorders>
            <w:shd w:val="clear" w:color="auto" w:fill="FFFFFF"/>
          </w:tcPr>
          <w:p w14:paraId="7B97741C">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项目</w:t>
            </w:r>
          </w:p>
        </w:tc>
        <w:tc>
          <w:tcPr>
            <w:tcW w:w="3017" w:type="dxa"/>
            <w:tcBorders>
              <w:top w:val="single" w:color="000000" w:sz="12" w:space="0"/>
              <w:bottom w:val="single" w:color="000000" w:sz="4" w:space="0"/>
            </w:tcBorders>
            <w:shd w:val="clear" w:color="auto" w:fill="FFFFFF"/>
          </w:tcPr>
          <w:p w14:paraId="7C4E42F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Top-2000</w:t>
            </w:r>
          </w:p>
        </w:tc>
        <w:tc>
          <w:tcPr>
            <w:tcW w:w="2770" w:type="dxa"/>
            <w:tcBorders>
              <w:top w:val="single" w:color="000000" w:sz="12" w:space="0"/>
              <w:bottom w:val="single" w:color="000000" w:sz="4" w:space="0"/>
            </w:tcBorders>
            <w:shd w:val="clear" w:color="auto" w:fill="FFFFFF"/>
          </w:tcPr>
          <w:p w14:paraId="616BF40A">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Top-100</w:t>
            </w:r>
          </w:p>
        </w:tc>
      </w:tr>
      <w:tr w14:paraId="5629E6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2694" w:type="dxa"/>
            <w:tcBorders>
              <w:top w:val="single" w:color="000000" w:sz="4" w:space="0"/>
              <w:bottom w:val="nil"/>
            </w:tcBorders>
            <w:shd w:val="clear" w:color="auto" w:fill="FFFFFF"/>
          </w:tcPr>
          <w:p w14:paraId="521DA6D4">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长度范围</w:t>
            </w:r>
          </w:p>
        </w:tc>
        <w:tc>
          <w:tcPr>
            <w:tcW w:w="3017" w:type="dxa"/>
            <w:tcBorders>
              <w:top w:val="single" w:color="000000" w:sz="4" w:space="0"/>
              <w:bottom w:val="nil"/>
            </w:tcBorders>
            <w:shd w:val="clear" w:color="auto" w:fill="FFFFFF"/>
          </w:tcPr>
          <w:p w14:paraId="5695F864">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5–38aa</w:t>
            </w:r>
          </w:p>
        </w:tc>
        <w:tc>
          <w:tcPr>
            <w:tcW w:w="2770" w:type="dxa"/>
            <w:tcBorders>
              <w:top w:val="single" w:color="000000" w:sz="4" w:space="0"/>
              <w:bottom w:val="nil"/>
            </w:tcBorders>
            <w:shd w:val="clear" w:color="auto" w:fill="FFFFFF"/>
          </w:tcPr>
          <w:p w14:paraId="52670B50">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11–23aa</w:t>
            </w:r>
          </w:p>
        </w:tc>
      </w:tr>
      <w:tr w14:paraId="0D2BB1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2694" w:type="dxa"/>
            <w:tcBorders>
              <w:top w:val="nil"/>
              <w:bottom w:val="nil"/>
            </w:tcBorders>
            <w:shd w:val="clear" w:color="auto" w:fill="FFFFFF"/>
          </w:tcPr>
          <w:p w14:paraId="208F331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平均长度</w:t>
            </w:r>
          </w:p>
        </w:tc>
        <w:tc>
          <w:tcPr>
            <w:tcW w:w="3017" w:type="dxa"/>
            <w:tcBorders>
              <w:top w:val="nil"/>
              <w:bottom w:val="nil"/>
            </w:tcBorders>
            <w:shd w:val="clear" w:color="auto" w:fill="FFFFFF"/>
          </w:tcPr>
          <w:p w14:paraId="30A85951">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10.69aa</w:t>
            </w:r>
          </w:p>
        </w:tc>
        <w:tc>
          <w:tcPr>
            <w:tcW w:w="2770" w:type="dxa"/>
            <w:tcBorders>
              <w:top w:val="nil"/>
              <w:bottom w:val="nil"/>
            </w:tcBorders>
            <w:shd w:val="clear" w:color="auto" w:fill="FFFFFF"/>
          </w:tcPr>
          <w:p w14:paraId="45774F5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14.85aa</w:t>
            </w:r>
          </w:p>
        </w:tc>
      </w:tr>
      <w:tr w14:paraId="73E0DC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2694" w:type="dxa"/>
            <w:tcBorders>
              <w:top w:val="nil"/>
              <w:bottom w:val="nil"/>
            </w:tcBorders>
            <w:shd w:val="clear" w:color="auto" w:fill="FFFFFF"/>
          </w:tcPr>
          <w:p w14:paraId="6042368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SaProt-ADP分数范围</w:t>
            </w:r>
          </w:p>
        </w:tc>
        <w:tc>
          <w:tcPr>
            <w:tcW w:w="3017" w:type="dxa"/>
            <w:tcBorders>
              <w:top w:val="nil"/>
              <w:bottom w:val="nil"/>
            </w:tcBorders>
            <w:shd w:val="clear" w:color="auto" w:fill="FFFFFF"/>
          </w:tcPr>
          <w:p w14:paraId="6732BF05">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0.0875–0.7244</w:t>
            </w:r>
          </w:p>
        </w:tc>
        <w:tc>
          <w:tcPr>
            <w:tcW w:w="2770" w:type="dxa"/>
            <w:tcBorders>
              <w:top w:val="nil"/>
              <w:bottom w:val="nil"/>
            </w:tcBorders>
            <w:shd w:val="clear" w:color="auto" w:fill="FFFFFF"/>
          </w:tcPr>
          <w:p w14:paraId="20D704D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0.6668–0.7244</w:t>
            </w:r>
          </w:p>
        </w:tc>
      </w:tr>
      <w:tr w14:paraId="38368D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2694" w:type="dxa"/>
            <w:tcBorders>
              <w:top w:val="nil"/>
              <w:bottom w:val="nil"/>
            </w:tcBorders>
            <w:shd w:val="clear" w:color="auto" w:fill="FFFFFF"/>
          </w:tcPr>
          <w:p w14:paraId="147C0ADE">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SaProt-ADP平均分数</w:t>
            </w:r>
          </w:p>
        </w:tc>
        <w:tc>
          <w:tcPr>
            <w:tcW w:w="3017" w:type="dxa"/>
            <w:tcBorders>
              <w:top w:val="nil"/>
              <w:bottom w:val="nil"/>
            </w:tcBorders>
            <w:shd w:val="clear" w:color="auto" w:fill="FFFFFF"/>
          </w:tcPr>
          <w:p w14:paraId="75B99121">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0.5117</w:t>
            </w:r>
          </w:p>
        </w:tc>
        <w:tc>
          <w:tcPr>
            <w:tcW w:w="2770" w:type="dxa"/>
            <w:tcBorders>
              <w:top w:val="nil"/>
              <w:bottom w:val="nil"/>
            </w:tcBorders>
            <w:shd w:val="clear" w:color="auto" w:fill="FFFFFF"/>
          </w:tcPr>
          <w:p w14:paraId="6B019ED0">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0.7122</w:t>
            </w:r>
          </w:p>
        </w:tc>
      </w:tr>
      <w:tr w14:paraId="69A101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2694" w:type="dxa"/>
            <w:tcBorders>
              <w:top w:val="nil"/>
              <w:bottom w:val="single" w:color="000000" w:sz="12" w:space="0"/>
            </w:tcBorders>
            <w:shd w:val="clear" w:color="auto" w:fill="FFFFFF"/>
          </w:tcPr>
          <w:p w14:paraId="1FD665B6">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长度分箱分布</w:t>
            </w:r>
          </w:p>
        </w:tc>
        <w:tc>
          <w:tcPr>
            <w:tcW w:w="3017" w:type="dxa"/>
            <w:tcBorders>
              <w:top w:val="nil"/>
              <w:bottom w:val="single" w:color="000000" w:sz="12" w:space="0"/>
            </w:tcBorders>
            <w:shd w:val="clear" w:color="auto" w:fill="FFFFFF"/>
          </w:tcPr>
          <w:p w14:paraId="7F08C231">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short818/mid820/long362</w:t>
            </w:r>
          </w:p>
        </w:tc>
        <w:tc>
          <w:tcPr>
            <w:tcW w:w="2770" w:type="dxa"/>
            <w:tcBorders>
              <w:top w:val="nil"/>
              <w:bottom w:val="single" w:color="000000" w:sz="12" w:space="0"/>
            </w:tcBorders>
            <w:shd w:val="clear" w:color="auto" w:fill="FFFFFF"/>
          </w:tcPr>
          <w:p w14:paraId="0E0ED22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mid65/long35</w:t>
            </w:r>
          </w:p>
        </w:tc>
      </w:tr>
    </w:tbl>
    <w:p w14:paraId="60D0E04F">
      <w:pPr>
        <w:widowControl/>
        <w:outlineLvl w:val="2"/>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pPr>
      <w:bookmarkStart w:id="79" w:name="_Toc24967"/>
      <w:r>
        <w:rPr>
          <w:rFonts w:hint="eastAsia" w:cs="Times New Roman" w:asciiTheme="majorEastAsia" w:hAnsiTheme="majorEastAsia" w:eastAsiaTheme="majorEastAsia"/>
          <w:b/>
          <w:bCs/>
          <w:color w:val="000000" w:themeColor="text1"/>
          <w:kern w:val="0"/>
          <w:sz w:val="24"/>
          <w:lang w:bidi="ar"/>
          <w14:textFill>
            <w14:solidFill>
              <w14:schemeClr w14:val="tx1"/>
            </w14:solidFill>
          </w14:textFill>
        </w:rPr>
        <w:t>2、</w:t>
      </w:r>
      <w:r>
        <w:rPr>
          <w:rFonts w:cs="Times New Roman" w:asciiTheme="majorEastAsia" w:hAnsiTheme="majorEastAsia" w:eastAsiaTheme="majorEastAsia"/>
          <w:b/>
          <w:bCs/>
          <w:color w:val="000000" w:themeColor="text1"/>
          <w:kern w:val="0"/>
          <w:sz w:val="24"/>
          <w:lang w:bidi="ar"/>
          <w14:textFill>
            <w14:solidFill>
              <w14:schemeClr w14:val="tx1"/>
            </w14:solidFill>
          </w14:textFill>
        </w:rPr>
        <w:t>分子对接</w:t>
      </w:r>
      <w:bookmarkEnd w:id="79"/>
    </w:p>
    <w:p w14:paraId="483A27EA">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bookmarkStart w:id="80" w:name="OLE_LINK16"/>
      <w:r>
        <w:rPr>
          <w:rFonts w:ascii="Times New Roman" w:hAnsi="Times New Roman" w:cs="Times New Roman" w:eastAsiaTheme="minorEastAsia"/>
          <w:color w:val="000000" w:themeColor="text1"/>
          <w14:textFill>
            <w14:solidFill>
              <w14:schemeClr w14:val="tx1"/>
            </w14:solidFill>
          </w14:textFill>
        </w:rPr>
        <w:t>本研究选取二肽基肽酶 IV（DPP-IV）作为靶点蛋白。DPP-IV 是 2 型糖尿病治疗的重要药物靶点，通过降解肠促胰岛素激素 GLP‑1 和 GIP 参与血糖调节，抑制其活性可有效改善血糖水平。本文采用 DPP‑IV 的人源共晶结构（PDB ID: 1WCY）作为受体结构。该结构为 DPP-IV 与已知抑制肽Diprotin A的复合物，能够为结合位点提供可靠参考。首先，从RCSB Protein Data Bank 下载 1WCY 的三维结构文件（PDB 格式）。随后，利用PyMOL对结构进行预处理，包括去除结晶水分子、删除配体与糖基修饰、补加氢原子，并对结构进行规范化处理。同时，将复合物中的 DPP-IV 受体蛋白与共晶配体Diprotin A分离，并分别保存为独立的 PDB 文件，用于后续对接分析。在此基础上，将处理后的 DPP‑IV 结构作为受体输入至 HPEPDOCK 对接平台，并将模型筛选得到的候选抗糖尿病肽序列作为配体进行对接。对接过程中生成多个候选复合物构象，HPEPDOCK 依据其内置打分函数输出结合能评分（单位：</w:t>
      </w:r>
      <w:bookmarkStart w:id="81" w:name="OLE_LINK19"/>
      <w:r>
        <w:rPr>
          <w:rFonts w:ascii="Times New Roman" w:hAnsi="Times New Roman" w:cs="Times New Roman" w:eastAsiaTheme="minorEastAsia"/>
          <w:color w:val="000000" w:themeColor="text1"/>
          <w14:textFill>
            <w14:solidFill>
              <w14:schemeClr w14:val="tx1"/>
            </w14:solidFill>
          </w14:textFill>
        </w:rPr>
        <w:t>kcal/mol</w:t>
      </w:r>
      <w:bookmarkEnd w:id="81"/>
      <w:r>
        <w:rPr>
          <w:rFonts w:ascii="Times New Roman" w:hAnsi="Times New Roman" w:cs="Times New Roman" w:eastAsiaTheme="minorEastAsia"/>
          <w:color w:val="000000" w:themeColor="text1"/>
          <w14:textFill>
            <w14:solidFill>
              <w14:schemeClr w14:val="tx1"/>
            </w14:solidFill>
          </w14:textFill>
        </w:rPr>
        <w:t xml:space="preserve">），分值越低表示预测的结合亲和力越强。需要说明的是，该打分值为经验性评分，其数值范围与标准热力学结合自由能（通常为−5 ~ −15 </w:t>
      </w:r>
      <w:bookmarkStart w:id="82" w:name="OLE_LINK17"/>
      <w:r>
        <w:rPr>
          <w:rFonts w:ascii="Times New Roman" w:hAnsi="Times New Roman" w:cs="Times New Roman" w:eastAsiaTheme="minorEastAsia"/>
          <w:color w:val="000000" w:themeColor="text1"/>
          <w14:textFill>
            <w14:solidFill>
              <w14:schemeClr w14:val="tx1"/>
            </w14:solidFill>
          </w14:textFill>
        </w:rPr>
        <w:t>kcal/mol</w:t>
      </w:r>
      <w:bookmarkEnd w:id="82"/>
      <w:r>
        <w:rPr>
          <w:rFonts w:ascii="Times New Roman" w:hAnsi="Times New Roman" w:cs="Times New Roman" w:eastAsiaTheme="minorEastAsia"/>
          <w:color w:val="000000" w:themeColor="text1"/>
          <w14:textFill>
            <w14:solidFill>
              <w14:schemeClr w14:val="tx1"/>
            </w14:solidFill>
          </w14:textFill>
        </w:rPr>
        <w:t>）不同，但可用于同一平台下不同肽段之间的相对排序。对接完成后，本文列出前20个分子对接结果（表9），并从中筛选出打分低于−220 kcal/mol的</w:t>
      </w:r>
      <w:r>
        <w:rPr>
          <w:rFonts w:hint="eastAsia" w:ascii="Times New Roman" w:hAnsi="Times New Roman" w:cs="Times New Roman" w:eastAsiaTheme="minorEastAsia"/>
          <w:color w:val="000000" w:themeColor="text1"/>
          <w14:textFill>
            <w14:solidFill>
              <w14:schemeClr w14:val="tx1"/>
            </w14:solidFill>
          </w14:textFill>
        </w:rPr>
        <w:t>5</w:t>
      </w:r>
      <w:r>
        <w:rPr>
          <w:rFonts w:ascii="Times New Roman" w:hAnsi="Times New Roman" w:cs="Times New Roman" w:eastAsiaTheme="minorEastAsia"/>
          <w:color w:val="000000" w:themeColor="text1"/>
          <w14:textFill>
            <w14:solidFill>
              <w14:schemeClr w14:val="tx1"/>
            </w14:solidFill>
          </w14:textFill>
        </w:rPr>
        <w:t>个高置信复合物，用于后续结合模式展示与相互作用分析（图</w:t>
      </w:r>
      <w:r>
        <w:rPr>
          <w:rFonts w:hint="eastAsia" w:ascii="Times New Roman" w:hAnsi="Times New Roman" w:cs="Times New Roman" w:eastAsiaTheme="minorEastAsia"/>
          <w:color w:val="000000" w:themeColor="text1"/>
          <w:lang w:val="en-US" w:eastAsia="zh-CN"/>
          <w14:textFill>
            <w14:solidFill>
              <w14:schemeClr w14:val="tx1"/>
            </w14:solidFill>
          </w14:textFill>
        </w:rPr>
        <w:t>7</w:t>
      </w:r>
      <w:r>
        <w:rPr>
          <w:rFonts w:ascii="Times New Roman" w:hAnsi="Times New Roman" w:cs="Times New Roman" w:eastAsiaTheme="minorEastAsia"/>
          <w:color w:val="000000" w:themeColor="text1"/>
          <w14:textFill>
            <w14:solidFill>
              <w14:schemeClr w14:val="tx1"/>
            </w14:solidFill>
          </w14:textFill>
        </w:rPr>
        <w:t>）。</w:t>
      </w:r>
    </w:p>
    <w:p w14:paraId="7A1A2774">
      <w:pPr>
        <w:pStyle w:val="14"/>
        <w:spacing w:before="0" w:beforeAutospacing="0" w:after="0" w:afterAutospacing="0"/>
        <w:ind w:firstLine="480" w:firstLineChars="200"/>
        <w:jc w:val="center"/>
        <w:rPr>
          <w:rFonts w:hint="eastAsia"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表9 预测高概率肽段与DPP-IV的分子对接结果</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6"/>
        <w:gridCol w:w="2376"/>
        <w:gridCol w:w="1176"/>
        <w:gridCol w:w="2376"/>
        <w:gridCol w:w="1682"/>
      </w:tblGrid>
      <w:tr w14:paraId="7B3746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Borders>
              <w:top w:val="single" w:color="auto" w:sz="4" w:space="0"/>
              <w:bottom w:val="single" w:color="auto" w:sz="4" w:space="0"/>
            </w:tcBorders>
          </w:tcPr>
          <w:p w14:paraId="5868791C">
            <w:pPr>
              <w:spacing w:line="240" w:lineRule="auto"/>
              <w:rPr>
                <w:rFonts w:hint="eastAsia" w:ascii="宋体" w:hAnsi="宋体" w:eastAsia="宋体" w:cs="Times New Roman"/>
                <w:color w:val="000000" w:themeColor="text1"/>
                <w:sz w:val="24"/>
                <w14:textFill>
                  <w14:solidFill>
                    <w14:schemeClr w14:val="tx1"/>
                  </w14:solidFill>
                </w14:textFill>
              </w:rPr>
            </w:pPr>
            <w:bookmarkStart w:id="83" w:name="OLE_LINK21"/>
            <w:bookmarkStart w:id="84" w:name="_Hlk228626845"/>
            <w:r>
              <w:rPr>
                <w:rFonts w:ascii="宋体" w:hAnsi="宋体" w:eastAsia="宋体" w:cs="Times New Roman"/>
                <w:color w:val="000000" w:themeColor="text1"/>
                <w:sz w:val="24"/>
                <w14:textFill>
                  <w14:solidFill>
                    <w14:schemeClr w14:val="tx1"/>
                  </w14:solidFill>
                </w14:textFill>
              </w:rPr>
              <w:t>序号</w:t>
            </w:r>
          </w:p>
        </w:tc>
        <w:tc>
          <w:tcPr>
            <w:tcW w:w="2376" w:type="dxa"/>
            <w:tcBorders>
              <w:top w:val="single" w:color="auto" w:sz="4" w:space="0"/>
              <w:bottom w:val="single" w:color="auto" w:sz="4" w:space="0"/>
            </w:tcBorders>
          </w:tcPr>
          <w:p w14:paraId="3AFB1DA2">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肽段</w:t>
            </w:r>
          </w:p>
        </w:tc>
        <w:tc>
          <w:tcPr>
            <w:tcW w:w="1176" w:type="dxa"/>
            <w:tcBorders>
              <w:top w:val="single" w:color="auto" w:sz="4" w:space="0"/>
              <w:bottom w:val="single" w:color="auto" w:sz="4" w:space="0"/>
            </w:tcBorders>
          </w:tcPr>
          <w:p w14:paraId="4EACB05C">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预测概率</w:t>
            </w:r>
          </w:p>
        </w:tc>
        <w:tc>
          <w:tcPr>
            <w:tcW w:w="2376" w:type="dxa"/>
            <w:tcBorders>
              <w:top w:val="single" w:color="auto" w:sz="4" w:space="0"/>
              <w:bottom w:val="single" w:color="auto" w:sz="4" w:space="0"/>
            </w:tcBorders>
          </w:tcPr>
          <w:p w14:paraId="51F69176">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结合能（kcal/mol）</w:t>
            </w:r>
          </w:p>
        </w:tc>
      </w:tr>
      <w:tr w14:paraId="63B726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Borders>
              <w:top w:val="single" w:color="auto" w:sz="4" w:space="0"/>
            </w:tcBorders>
          </w:tcPr>
          <w:p w14:paraId="1289B61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w:t>
            </w:r>
          </w:p>
        </w:tc>
        <w:tc>
          <w:tcPr>
            <w:tcW w:w="2376" w:type="dxa"/>
            <w:tcBorders>
              <w:top w:val="single" w:color="auto" w:sz="4" w:space="0"/>
            </w:tcBorders>
            <w:vAlign w:val="center"/>
          </w:tcPr>
          <w:p w14:paraId="481BEF1E">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MEALKRKIEEEGVVL</w:t>
            </w:r>
          </w:p>
        </w:tc>
        <w:tc>
          <w:tcPr>
            <w:tcW w:w="1176" w:type="dxa"/>
            <w:tcBorders>
              <w:top w:val="single" w:color="auto" w:sz="4" w:space="0"/>
            </w:tcBorders>
            <w:vAlign w:val="center"/>
          </w:tcPr>
          <w:p w14:paraId="72B12C69">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97.50%</w:t>
            </w:r>
          </w:p>
        </w:tc>
        <w:tc>
          <w:tcPr>
            <w:tcW w:w="2376" w:type="dxa"/>
            <w:tcBorders>
              <w:top w:val="single" w:color="auto" w:sz="4" w:space="0"/>
            </w:tcBorders>
            <w:vAlign w:val="bottom"/>
          </w:tcPr>
          <w:p w14:paraId="1201A22C">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-208.572</w:t>
            </w:r>
          </w:p>
        </w:tc>
      </w:tr>
      <w:tr w14:paraId="7E6B6E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04476FFE">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2</w:t>
            </w:r>
          </w:p>
        </w:tc>
        <w:tc>
          <w:tcPr>
            <w:tcW w:w="2376" w:type="dxa"/>
            <w:vAlign w:val="center"/>
          </w:tcPr>
          <w:p w14:paraId="43A00B36">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RIMVGAGVVMILAAL</w:t>
            </w:r>
          </w:p>
        </w:tc>
        <w:tc>
          <w:tcPr>
            <w:tcW w:w="1176" w:type="dxa"/>
            <w:vAlign w:val="center"/>
          </w:tcPr>
          <w:p w14:paraId="6DDAE956">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97.05%</w:t>
            </w:r>
          </w:p>
        </w:tc>
        <w:tc>
          <w:tcPr>
            <w:tcW w:w="2376" w:type="dxa"/>
            <w:vAlign w:val="bottom"/>
          </w:tcPr>
          <w:p w14:paraId="0236767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-229.722</w:t>
            </w:r>
          </w:p>
        </w:tc>
      </w:tr>
      <w:tr w14:paraId="384601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7A6F727E">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3</w:t>
            </w:r>
          </w:p>
        </w:tc>
        <w:tc>
          <w:tcPr>
            <w:tcW w:w="2376" w:type="dxa"/>
            <w:vAlign w:val="center"/>
          </w:tcPr>
          <w:p w14:paraId="20884622">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HMELLREELMDDEVR</w:t>
            </w:r>
          </w:p>
        </w:tc>
        <w:tc>
          <w:tcPr>
            <w:tcW w:w="1176" w:type="dxa"/>
            <w:vAlign w:val="center"/>
          </w:tcPr>
          <w:p w14:paraId="26F751A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96.49%</w:t>
            </w:r>
          </w:p>
        </w:tc>
        <w:tc>
          <w:tcPr>
            <w:tcW w:w="2376" w:type="dxa"/>
            <w:vAlign w:val="bottom"/>
          </w:tcPr>
          <w:p w14:paraId="7904628F">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-192.458</w:t>
            </w:r>
          </w:p>
        </w:tc>
      </w:tr>
      <w:tr w14:paraId="55B6D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70B69D4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4</w:t>
            </w:r>
          </w:p>
        </w:tc>
        <w:tc>
          <w:tcPr>
            <w:tcW w:w="2376" w:type="dxa"/>
            <w:vAlign w:val="center"/>
          </w:tcPr>
          <w:p w14:paraId="28BD37FD">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KEEAEELGKKIEEL</w:t>
            </w:r>
          </w:p>
        </w:tc>
        <w:tc>
          <w:tcPr>
            <w:tcW w:w="1176" w:type="dxa"/>
            <w:vAlign w:val="center"/>
          </w:tcPr>
          <w:p w14:paraId="7E19B48E">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96.46%</w:t>
            </w:r>
          </w:p>
        </w:tc>
        <w:tc>
          <w:tcPr>
            <w:tcW w:w="2376" w:type="dxa"/>
            <w:vAlign w:val="bottom"/>
          </w:tcPr>
          <w:p w14:paraId="3B30AF0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-139.292</w:t>
            </w:r>
          </w:p>
        </w:tc>
      </w:tr>
      <w:tr w14:paraId="7462BB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616F198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5</w:t>
            </w:r>
          </w:p>
        </w:tc>
        <w:tc>
          <w:tcPr>
            <w:tcW w:w="2376" w:type="dxa"/>
            <w:vAlign w:val="center"/>
          </w:tcPr>
          <w:p w14:paraId="7E32B30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AGLEFEDEIEELAEK</w:t>
            </w:r>
          </w:p>
        </w:tc>
        <w:tc>
          <w:tcPr>
            <w:tcW w:w="1176" w:type="dxa"/>
            <w:vAlign w:val="center"/>
          </w:tcPr>
          <w:p w14:paraId="7A0BA1E2">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95.68%</w:t>
            </w:r>
          </w:p>
        </w:tc>
        <w:tc>
          <w:tcPr>
            <w:tcW w:w="2376" w:type="dxa"/>
            <w:vAlign w:val="bottom"/>
          </w:tcPr>
          <w:p w14:paraId="2B4E42B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-186.206</w:t>
            </w:r>
          </w:p>
        </w:tc>
      </w:tr>
      <w:tr w14:paraId="449803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0AC006DA">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6</w:t>
            </w:r>
          </w:p>
        </w:tc>
        <w:tc>
          <w:tcPr>
            <w:tcW w:w="2376" w:type="dxa"/>
            <w:vAlign w:val="center"/>
          </w:tcPr>
          <w:p w14:paraId="03D39BA9">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IMKAGGVLMIVIGVL</w:t>
            </w:r>
          </w:p>
        </w:tc>
        <w:tc>
          <w:tcPr>
            <w:tcW w:w="1176" w:type="dxa"/>
            <w:vAlign w:val="center"/>
          </w:tcPr>
          <w:p w14:paraId="68075A4A">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95.30%</w:t>
            </w:r>
          </w:p>
        </w:tc>
        <w:tc>
          <w:tcPr>
            <w:tcW w:w="2376" w:type="dxa"/>
            <w:vAlign w:val="bottom"/>
          </w:tcPr>
          <w:p w14:paraId="7D1FB60D">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-223.661</w:t>
            </w:r>
          </w:p>
        </w:tc>
      </w:tr>
      <w:tr w14:paraId="1926E4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16CB9CEC">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7</w:t>
            </w:r>
          </w:p>
        </w:tc>
        <w:tc>
          <w:tcPr>
            <w:tcW w:w="2376" w:type="dxa"/>
            <w:vAlign w:val="center"/>
          </w:tcPr>
          <w:p w14:paraId="1C4FC58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EVEREIEDMEEDQDL</w:t>
            </w:r>
          </w:p>
        </w:tc>
        <w:tc>
          <w:tcPr>
            <w:tcW w:w="1176" w:type="dxa"/>
            <w:vAlign w:val="center"/>
          </w:tcPr>
          <w:p w14:paraId="3B59A3EF">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95.09%</w:t>
            </w:r>
          </w:p>
        </w:tc>
        <w:tc>
          <w:tcPr>
            <w:tcW w:w="2376" w:type="dxa"/>
            <w:vAlign w:val="bottom"/>
          </w:tcPr>
          <w:p w14:paraId="78F2E422">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-158.129</w:t>
            </w:r>
          </w:p>
        </w:tc>
      </w:tr>
      <w:tr w14:paraId="6C84CE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040BE3D2">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8</w:t>
            </w:r>
          </w:p>
        </w:tc>
        <w:tc>
          <w:tcPr>
            <w:tcW w:w="2376" w:type="dxa"/>
            <w:vAlign w:val="center"/>
          </w:tcPr>
          <w:p w14:paraId="572FAA7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ILAVVAVGMIGAGL</w:t>
            </w:r>
          </w:p>
        </w:tc>
        <w:tc>
          <w:tcPr>
            <w:tcW w:w="1176" w:type="dxa"/>
            <w:vAlign w:val="center"/>
          </w:tcPr>
          <w:p w14:paraId="5AAC1D8E">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95.02%</w:t>
            </w:r>
          </w:p>
        </w:tc>
        <w:tc>
          <w:tcPr>
            <w:tcW w:w="2376" w:type="dxa"/>
            <w:vAlign w:val="bottom"/>
          </w:tcPr>
          <w:p w14:paraId="17F6A781">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-209.499</w:t>
            </w:r>
          </w:p>
        </w:tc>
      </w:tr>
      <w:tr w14:paraId="1A7297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3DEBB3B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w:t>
            </w:r>
          </w:p>
        </w:tc>
        <w:tc>
          <w:tcPr>
            <w:tcW w:w="2376" w:type="dxa"/>
            <w:vAlign w:val="center"/>
          </w:tcPr>
          <w:p w14:paraId="165A7FF9">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RVIPAAVVGAAVAGGL</w:t>
            </w:r>
          </w:p>
        </w:tc>
        <w:tc>
          <w:tcPr>
            <w:tcW w:w="1176" w:type="dxa"/>
            <w:vAlign w:val="center"/>
          </w:tcPr>
          <w:p w14:paraId="28EC3D0A">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94.90%</w:t>
            </w:r>
          </w:p>
        </w:tc>
        <w:tc>
          <w:tcPr>
            <w:tcW w:w="2376" w:type="dxa"/>
            <w:vAlign w:val="center"/>
          </w:tcPr>
          <w:p w14:paraId="09EE6A59">
            <w:pPr>
              <w:spacing w:line="240" w:lineRule="auto"/>
              <w:rPr>
                <w:rFonts w:hint="eastAsia" w:ascii="宋体" w:hAnsi="宋体" w:eastAsia="宋体" w:cs="Times New Roman"/>
                <w:color w:val="000000" w:themeColor="text1"/>
                <w:sz w:val="24"/>
                <w14:textFill>
                  <w14:solidFill>
                    <w14:schemeClr w14:val="tx1"/>
                  </w14:solidFill>
                </w14:textFill>
              </w:rPr>
            </w:pPr>
            <w:bookmarkStart w:id="85" w:name="OLE_LINK30"/>
            <w:r>
              <w:rPr>
                <w:rFonts w:ascii="宋体" w:hAnsi="宋体" w:eastAsia="宋体" w:cs="Times New Roman"/>
                <w:color w:val="000000" w:themeColor="text1"/>
                <w:sz w:val="24"/>
                <w14:textFill>
                  <w14:solidFill>
                    <w14:schemeClr w14:val="tx1"/>
                  </w14:solidFill>
                </w14:textFill>
              </w:rPr>
              <w:t>-253.026</w:t>
            </w:r>
            <w:bookmarkEnd w:id="85"/>
          </w:p>
        </w:tc>
      </w:tr>
      <w:tr w14:paraId="52E644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39222216">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10</w:t>
            </w:r>
          </w:p>
        </w:tc>
        <w:tc>
          <w:tcPr>
            <w:tcW w:w="2376" w:type="dxa"/>
            <w:vAlign w:val="center"/>
          </w:tcPr>
          <w:p w14:paraId="6D826EAC">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LAPEIERMGAMIVEL</w:t>
            </w:r>
          </w:p>
        </w:tc>
        <w:tc>
          <w:tcPr>
            <w:tcW w:w="1176" w:type="dxa"/>
            <w:vAlign w:val="center"/>
          </w:tcPr>
          <w:p w14:paraId="3FDC9DA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94.63%</w:t>
            </w:r>
          </w:p>
        </w:tc>
        <w:tc>
          <w:tcPr>
            <w:tcW w:w="2376" w:type="dxa"/>
            <w:vAlign w:val="center"/>
          </w:tcPr>
          <w:p w14:paraId="0D99733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-221.880</w:t>
            </w:r>
          </w:p>
        </w:tc>
      </w:tr>
      <w:tr w14:paraId="550111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66D320F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11</w:t>
            </w:r>
          </w:p>
        </w:tc>
        <w:tc>
          <w:tcPr>
            <w:tcW w:w="2376" w:type="dxa"/>
            <w:vAlign w:val="center"/>
          </w:tcPr>
          <w:p w14:paraId="4CA52FD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EEIDALIQELGDRHE</w:t>
            </w:r>
          </w:p>
        </w:tc>
        <w:tc>
          <w:tcPr>
            <w:tcW w:w="1176" w:type="dxa"/>
            <w:vAlign w:val="center"/>
          </w:tcPr>
          <w:p w14:paraId="7828880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94.42%</w:t>
            </w:r>
          </w:p>
        </w:tc>
        <w:tc>
          <w:tcPr>
            <w:tcW w:w="2376" w:type="dxa"/>
            <w:vAlign w:val="center"/>
          </w:tcPr>
          <w:p w14:paraId="45F7F865">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-186.633</w:t>
            </w:r>
          </w:p>
        </w:tc>
      </w:tr>
      <w:tr w14:paraId="287E6E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2515FBBC">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12</w:t>
            </w:r>
          </w:p>
        </w:tc>
        <w:tc>
          <w:tcPr>
            <w:tcW w:w="2376" w:type="dxa"/>
            <w:vAlign w:val="center"/>
          </w:tcPr>
          <w:p w14:paraId="57672F9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AEEMIEEGKELAK</w:t>
            </w:r>
          </w:p>
        </w:tc>
        <w:tc>
          <w:tcPr>
            <w:tcW w:w="1176" w:type="dxa"/>
            <w:vAlign w:val="center"/>
          </w:tcPr>
          <w:p w14:paraId="2C999AF5">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93.97%</w:t>
            </w:r>
          </w:p>
        </w:tc>
        <w:tc>
          <w:tcPr>
            <w:tcW w:w="2376" w:type="dxa"/>
            <w:vAlign w:val="center"/>
          </w:tcPr>
          <w:p w14:paraId="1BDA8073">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-152.641</w:t>
            </w:r>
          </w:p>
        </w:tc>
      </w:tr>
      <w:tr w14:paraId="26194A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155983F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13</w:t>
            </w:r>
          </w:p>
        </w:tc>
        <w:tc>
          <w:tcPr>
            <w:tcW w:w="2376" w:type="dxa"/>
            <w:vAlign w:val="center"/>
          </w:tcPr>
          <w:p w14:paraId="26288355">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ADLEEHLRMLEEAK</w:t>
            </w:r>
          </w:p>
        </w:tc>
        <w:tc>
          <w:tcPr>
            <w:tcW w:w="1176" w:type="dxa"/>
            <w:vAlign w:val="center"/>
          </w:tcPr>
          <w:p w14:paraId="7B431D3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93.90%</w:t>
            </w:r>
          </w:p>
        </w:tc>
        <w:tc>
          <w:tcPr>
            <w:tcW w:w="2376" w:type="dxa"/>
            <w:vAlign w:val="center"/>
          </w:tcPr>
          <w:p w14:paraId="58C559F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-190.501</w:t>
            </w:r>
          </w:p>
        </w:tc>
      </w:tr>
      <w:tr w14:paraId="14E2A0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334DB354">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14</w:t>
            </w:r>
          </w:p>
        </w:tc>
        <w:tc>
          <w:tcPr>
            <w:tcW w:w="2376" w:type="dxa"/>
            <w:vAlign w:val="center"/>
          </w:tcPr>
          <w:p w14:paraId="46E56885">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EEEDPREELIEKL</w:t>
            </w:r>
          </w:p>
        </w:tc>
        <w:tc>
          <w:tcPr>
            <w:tcW w:w="1176" w:type="dxa"/>
            <w:vAlign w:val="center"/>
          </w:tcPr>
          <w:p w14:paraId="69E78956">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93.58%</w:t>
            </w:r>
          </w:p>
        </w:tc>
        <w:tc>
          <w:tcPr>
            <w:tcW w:w="2376" w:type="dxa"/>
            <w:vAlign w:val="center"/>
          </w:tcPr>
          <w:p w14:paraId="728C8BF8">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-176.092</w:t>
            </w:r>
          </w:p>
        </w:tc>
      </w:tr>
      <w:tr w14:paraId="5A1A8F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5529CA14">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15</w:t>
            </w:r>
          </w:p>
        </w:tc>
        <w:tc>
          <w:tcPr>
            <w:tcW w:w="2376" w:type="dxa"/>
            <w:vAlign w:val="center"/>
          </w:tcPr>
          <w:p w14:paraId="3F3A4884">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KEHPELEGIIKKML</w:t>
            </w:r>
          </w:p>
        </w:tc>
        <w:tc>
          <w:tcPr>
            <w:tcW w:w="1176" w:type="dxa"/>
            <w:vAlign w:val="center"/>
          </w:tcPr>
          <w:p w14:paraId="39FCD555">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93.45%</w:t>
            </w:r>
          </w:p>
        </w:tc>
        <w:tc>
          <w:tcPr>
            <w:tcW w:w="2376" w:type="dxa"/>
            <w:vAlign w:val="bottom"/>
          </w:tcPr>
          <w:p w14:paraId="3390EE81">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-190.310</w:t>
            </w:r>
          </w:p>
        </w:tc>
      </w:tr>
      <w:tr w14:paraId="2DE066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47FD03CA">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16</w:t>
            </w:r>
          </w:p>
        </w:tc>
        <w:tc>
          <w:tcPr>
            <w:tcW w:w="2376" w:type="dxa"/>
            <w:vAlign w:val="center"/>
          </w:tcPr>
          <w:p w14:paraId="50874941">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ETARKGDEAALEEERRL</w:t>
            </w:r>
          </w:p>
        </w:tc>
        <w:tc>
          <w:tcPr>
            <w:tcW w:w="1176" w:type="dxa"/>
            <w:vAlign w:val="center"/>
          </w:tcPr>
          <w:p w14:paraId="7112198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93.36%</w:t>
            </w:r>
          </w:p>
        </w:tc>
        <w:tc>
          <w:tcPr>
            <w:tcW w:w="2376" w:type="dxa"/>
            <w:vAlign w:val="center"/>
          </w:tcPr>
          <w:p w14:paraId="5E6A44D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-186.439</w:t>
            </w:r>
          </w:p>
        </w:tc>
      </w:tr>
      <w:tr w14:paraId="5E3739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14C111D5">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17</w:t>
            </w:r>
          </w:p>
        </w:tc>
        <w:tc>
          <w:tcPr>
            <w:tcW w:w="2376" w:type="dxa"/>
            <w:vAlign w:val="center"/>
          </w:tcPr>
          <w:p w14:paraId="4DD5CFE6">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LAGGMIAVMAPIL</w:t>
            </w:r>
          </w:p>
        </w:tc>
        <w:tc>
          <w:tcPr>
            <w:tcW w:w="1176" w:type="dxa"/>
            <w:vAlign w:val="center"/>
          </w:tcPr>
          <w:p w14:paraId="1E959B40">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93.27%</w:t>
            </w:r>
          </w:p>
        </w:tc>
        <w:tc>
          <w:tcPr>
            <w:tcW w:w="2376" w:type="dxa"/>
            <w:vAlign w:val="center"/>
          </w:tcPr>
          <w:p w14:paraId="6C71A0E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-201.536</w:t>
            </w:r>
          </w:p>
        </w:tc>
      </w:tr>
      <w:tr w14:paraId="5A7DE8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07B24792">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18</w:t>
            </w:r>
          </w:p>
        </w:tc>
        <w:tc>
          <w:tcPr>
            <w:tcW w:w="2376" w:type="dxa"/>
            <w:vAlign w:val="center"/>
          </w:tcPr>
          <w:p w14:paraId="5D705F70">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GIAMAVGMAIAERHL</w:t>
            </w:r>
          </w:p>
        </w:tc>
        <w:tc>
          <w:tcPr>
            <w:tcW w:w="1176" w:type="dxa"/>
            <w:vAlign w:val="center"/>
          </w:tcPr>
          <w:p w14:paraId="3B0A3CC1">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92.49%</w:t>
            </w:r>
          </w:p>
        </w:tc>
        <w:tc>
          <w:tcPr>
            <w:tcW w:w="2376" w:type="dxa"/>
            <w:vAlign w:val="center"/>
          </w:tcPr>
          <w:p w14:paraId="12C995A0">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-246.048</w:t>
            </w:r>
          </w:p>
        </w:tc>
      </w:tr>
      <w:tr w14:paraId="1AD550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2B5F8E19">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19</w:t>
            </w:r>
          </w:p>
        </w:tc>
        <w:tc>
          <w:tcPr>
            <w:tcW w:w="2376" w:type="dxa"/>
            <w:vAlign w:val="center"/>
          </w:tcPr>
          <w:p w14:paraId="0BDB0F4E">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LKEIHEAAKGDKREDIPL</w:t>
            </w:r>
          </w:p>
        </w:tc>
        <w:tc>
          <w:tcPr>
            <w:tcW w:w="1176" w:type="dxa"/>
            <w:vAlign w:val="center"/>
          </w:tcPr>
          <w:p w14:paraId="6DE6DBFB">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92.36%</w:t>
            </w:r>
          </w:p>
        </w:tc>
        <w:tc>
          <w:tcPr>
            <w:tcW w:w="2376" w:type="dxa"/>
            <w:vAlign w:val="center"/>
          </w:tcPr>
          <w:p w14:paraId="4C92124F">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-195.509</w:t>
            </w:r>
          </w:p>
        </w:tc>
      </w:tr>
      <w:tr w14:paraId="55C9DB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82" w:type="dxa"/>
          <w:jc w:val="center"/>
        </w:trPr>
        <w:tc>
          <w:tcPr>
            <w:tcW w:w="696" w:type="dxa"/>
          </w:tcPr>
          <w:p w14:paraId="04866B8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20</w:t>
            </w:r>
          </w:p>
        </w:tc>
        <w:tc>
          <w:tcPr>
            <w:tcW w:w="2376" w:type="dxa"/>
            <w:vAlign w:val="center"/>
          </w:tcPr>
          <w:p w14:paraId="33D7D4DD">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EAGGEELRIEEDL</w:t>
            </w:r>
          </w:p>
        </w:tc>
        <w:tc>
          <w:tcPr>
            <w:tcW w:w="1176" w:type="dxa"/>
            <w:vAlign w:val="center"/>
          </w:tcPr>
          <w:p w14:paraId="7A0DEC50">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92.04%</w:t>
            </w:r>
          </w:p>
        </w:tc>
        <w:tc>
          <w:tcPr>
            <w:tcW w:w="2376" w:type="dxa"/>
            <w:vAlign w:val="bottom"/>
          </w:tcPr>
          <w:p w14:paraId="032FA497">
            <w:pPr>
              <w:spacing w:line="240" w:lineRule="auto"/>
              <w:rPr>
                <w:rFonts w:hint="eastAsia" w:ascii="宋体" w:hAnsi="宋体" w:eastAsia="宋体" w:cs="Times New Roman"/>
                <w:color w:val="000000" w:themeColor="text1"/>
                <w:sz w:val="24"/>
                <w14:textFill>
                  <w14:solidFill>
                    <w14:schemeClr w14:val="tx1"/>
                  </w14:solidFill>
                </w14:textFill>
              </w:rPr>
            </w:pPr>
            <w:r>
              <w:rPr>
                <w:rFonts w:ascii="宋体" w:hAnsi="宋体" w:eastAsia="宋体" w:cs="Times New Roman"/>
                <w:color w:val="000000" w:themeColor="text1"/>
                <w:sz w:val="24"/>
                <w14:textFill>
                  <w14:solidFill>
                    <w14:schemeClr w14:val="tx1"/>
                  </w14:solidFill>
                </w14:textFill>
              </w:rPr>
              <w:t>-171.697</w:t>
            </w:r>
          </w:p>
        </w:tc>
      </w:tr>
      <w:bookmarkEnd w:id="83"/>
      <w:bookmarkEnd w:id="84"/>
      <w:tr w14:paraId="79AB8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6" w:type="dxa"/>
            <w:gridSpan w:val="5"/>
          </w:tcPr>
          <w:p w14:paraId="50727A47">
            <w:pPr>
              <w:pStyle w:val="14"/>
              <w:spacing w:before="0" w:beforeAutospacing="0" w:after="0" w:afterAutospacing="0"/>
              <w:jc w:val="both"/>
              <w:rPr>
                <w:rFonts w:hint="eastAsia" w:ascii="Times New Roman" w:hAnsi="Times New Roman" w:cs="Times New Roman" w:eastAsiaTheme="minorEastAsia"/>
                <w:color w:val="000000" w:themeColor="text1"/>
                <w:lang w:eastAsia="zh-CN"/>
                <w14:textFill>
                  <w14:solidFill>
                    <w14:schemeClr w14:val="tx1"/>
                  </w14:solidFill>
                </w14:textFill>
              </w:rPr>
            </w:pPr>
            <w:r>
              <w:rPr>
                <w:sz w:val="24"/>
              </w:rPr>
              <mc:AlternateContent>
                <mc:Choice Requires="wps">
                  <w:drawing>
                    <wp:anchor distT="0" distB="0" distL="114300" distR="114300" simplePos="0" relativeHeight="251671552" behindDoc="0" locked="0" layoutInCell="1" allowOverlap="1">
                      <wp:simplePos x="0" y="0"/>
                      <wp:positionH relativeFrom="column">
                        <wp:posOffset>-67310</wp:posOffset>
                      </wp:positionH>
                      <wp:positionV relativeFrom="paragraph">
                        <wp:posOffset>2527300</wp:posOffset>
                      </wp:positionV>
                      <wp:extent cx="5268595" cy="215900"/>
                      <wp:effectExtent l="0" t="0" r="4445" b="12700"/>
                      <wp:wrapTopAndBottom/>
                      <wp:docPr id="4" name="文本框 4"/>
                      <wp:cNvGraphicFramePr/>
                      <a:graphic xmlns:a="http://schemas.openxmlformats.org/drawingml/2006/main">
                        <a:graphicData uri="http://schemas.microsoft.com/office/word/2010/wordprocessingShape">
                          <wps:wsp>
                            <wps:cNvSpPr txBox="1"/>
                            <wps:spPr>
                              <a:xfrm>
                                <a:off x="0" y="0"/>
                                <a:ext cx="526859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56E91C8">
                                  <w:pPr>
                                    <w:pStyle w:val="5"/>
                                    <w:jc w:val="center"/>
                                    <w:rPr>
                                      <w:rFonts w:hint="eastAsia" w:ascii="宋体" w:hAnsi="宋体" w:eastAsia="宋体" w:cs="宋体"/>
                                      <w:sz w:val="24"/>
                                      <w:szCs w:val="24"/>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t>部分高置信度复合物</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5.3pt;margin-top:199pt;height:17pt;width:414.85pt;mso-wrap-distance-bottom:0pt;mso-wrap-distance-top:0pt;z-index:251671552;mso-width-relative:page;mso-height-relative:page;" fillcolor="#FFFFFF [3201]" filled="t" stroked="f" coordsize="21600,21600" o:gfxdata="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LgbSNsAAAALAQAADwAAAAAA&#10;AAABACAAAAAiAAAAZHJzL2Rvd25yZXYueG1sUEsBAhQAFAAAAAgAh07iQIxTCNZJAgAAfwQAAA4A&#10;AAAAAAAAAQAgAAAAKgEAAGRycy9lMm9Eb2MueG1sUEsFBgAAAAAGAAYAWQEAAOUFAAAAAA==&#10;">
                      <v:fill on="t" focussize="0,0"/>
                      <v:stroke on="f" weight="0.5pt"/>
                      <v:imagedata o:title=""/>
                      <o:lock v:ext="edit" aspectratio="f"/>
                      <v:textbox inset="0mm,0mm,0mm,0mm" style="mso-fit-shape-to-text:t;">
                        <w:txbxContent>
                          <w:p w14:paraId="356E91C8">
                            <w:pPr>
                              <w:pStyle w:val="5"/>
                              <w:jc w:val="center"/>
                              <w:rPr>
                                <w:rFonts w:hint="eastAsia" w:ascii="宋体" w:hAnsi="宋体" w:eastAsia="宋体" w:cs="宋体"/>
                                <w:sz w:val="24"/>
                                <w:szCs w:val="24"/>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t>部分高置信度复合物</w:t>
                            </w:r>
                          </w:p>
                        </w:txbxContent>
                      </v:textbox>
                      <w10:wrap type="topAndBottom"/>
                    </v:shape>
                  </w:pict>
                </mc:Fallback>
              </mc:AlternateContent>
            </w:r>
            <w:r>
              <w:rPr>
                <w:rFonts w:hint="eastAsia" w:ascii="Times New Roman" w:hAnsi="Times New Roman" w:cs="Times New Roman" w:eastAsiaTheme="minorEastAsia"/>
                <w:color w:val="000000" w:themeColor="text1"/>
                <w:lang w:eastAsia="zh-CN"/>
                <w14:textFill>
                  <w14:solidFill>
                    <w14:schemeClr w14:val="tx1"/>
                  </w14:solidFill>
                </w14:textFill>
              </w:rPr>
              <w:drawing>
                <wp:anchor distT="0" distB="0" distL="114300" distR="114300" simplePos="0" relativeHeight="251670528" behindDoc="0" locked="0" layoutInCell="1" allowOverlap="1">
                  <wp:simplePos x="0" y="0"/>
                  <wp:positionH relativeFrom="column">
                    <wp:posOffset>0</wp:posOffset>
                  </wp:positionH>
                  <wp:positionV relativeFrom="paragraph">
                    <wp:posOffset>-2240280</wp:posOffset>
                  </wp:positionV>
                  <wp:extent cx="5268595" cy="2470150"/>
                  <wp:effectExtent l="0" t="0" r="4445" b="13970"/>
                  <wp:wrapTopAndBottom/>
                  <wp:docPr id="3" name="图片 3" descr="微信图片_20260502233457_946_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502233457_946_126"/>
                          <pic:cNvPicPr>
                            <a:picLocks noChangeAspect="1"/>
                          </pic:cNvPicPr>
                        </pic:nvPicPr>
                        <pic:blipFill>
                          <a:blip r:embed="rId18"/>
                          <a:stretch>
                            <a:fillRect/>
                          </a:stretch>
                        </pic:blipFill>
                        <pic:spPr>
                          <a:xfrm>
                            <a:off x="0" y="0"/>
                            <a:ext cx="5268595" cy="2470150"/>
                          </a:xfrm>
                          <a:prstGeom prst="rect">
                            <a:avLst/>
                          </a:prstGeom>
                        </pic:spPr>
                      </pic:pic>
                    </a:graphicData>
                  </a:graphic>
                </wp:anchor>
              </w:drawing>
            </w:r>
          </w:p>
        </w:tc>
      </w:tr>
    </w:tbl>
    <w:p w14:paraId="3CE5865C">
      <w:pPr>
        <w:pStyle w:val="14"/>
        <w:spacing w:before="0" w:beforeAutospacing="0" w:after="0" w:afterAutospacing="0"/>
        <w:ind w:firstLine="420" w:firstLineChars="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由表9和图</w:t>
      </w:r>
      <w:r>
        <w:rPr>
          <w:rFonts w:hint="eastAsia" w:ascii="Times New Roman" w:hAnsi="Times New Roman" w:cs="Times New Roman" w:eastAsiaTheme="minorEastAsia"/>
          <w:color w:val="000000" w:themeColor="text1"/>
          <w14:textFill>
            <w14:solidFill>
              <w14:schemeClr w14:val="tx1"/>
            </w14:solidFill>
          </w14:textFill>
        </w:rPr>
        <w:t>7</w:t>
      </w:r>
      <w:r>
        <w:rPr>
          <w:rFonts w:ascii="Times New Roman" w:hAnsi="Times New Roman" w:cs="Times New Roman" w:eastAsiaTheme="minorEastAsia"/>
          <w:color w:val="000000" w:themeColor="text1"/>
          <w14:textFill>
            <w14:solidFill>
              <w14:schemeClr w14:val="tx1"/>
            </w14:solidFill>
          </w14:textFill>
        </w:rPr>
        <w:t>可知，表X中前20条候选肽的HPEPDOCK结合能范围为-139.292 ~ -253.026 kcal/mol，其中低于-200 kcal/mol的有9条，低于-220 kcal/mol的高置信肽段达5条（肽段2、6、9、10、18），最低达到-253.026 kcal/mol（肽段9）。整体而言，绝大多数候选肽表现出较强的预测结合亲和力，验证了本文两阶段筛选模型能够有效富集具有高DPP-IV结合潜力的活性肽段。</w:t>
      </w:r>
    </w:p>
    <w:p w14:paraId="3411EED0">
      <w:pPr>
        <w:pStyle w:val="14"/>
        <w:spacing w:before="0" w:beforeAutospacing="0" w:after="0" w:afterAutospacing="0" w:line="240" w:lineRule="auto"/>
        <w:ind w:firstLine="420"/>
        <w:jc w:val="both"/>
        <w:rPr>
          <w:rFonts w:hint="eastAsia" w:ascii="Times New Roman" w:hAnsi="Times New Roman" w:cs="Times New Roman" w:eastAsiaTheme="minorEastAsia"/>
          <w:color w:val="000000" w:themeColor="text1"/>
          <w:lang w:eastAsia="zh-CN"/>
          <w14:textFill>
            <w14:solidFill>
              <w14:schemeClr w14:val="tx1"/>
            </w14:solidFill>
          </w14:textFill>
        </w:rPr>
      </w:pPr>
    </w:p>
    <w:bookmarkEnd w:id="80"/>
    <w:p w14:paraId="23208B49">
      <w:pPr>
        <w:keepNext w:val="0"/>
        <w:keepLines w:val="0"/>
        <w:pageBreakBefore w:val="0"/>
        <w:widowControl w:val="0"/>
        <w:kinsoku/>
        <w:wordWrap/>
        <w:overflowPunct/>
        <w:topLinePunct w:val="0"/>
        <w:autoSpaceDE/>
        <w:autoSpaceDN/>
        <w:bidi w:val="0"/>
        <w:adjustRightInd w:val="0"/>
        <w:snapToGrid/>
        <w:spacing w:line="480" w:lineRule="exact"/>
        <w:textAlignment w:val="auto"/>
        <w:outlineLvl w:val="0"/>
        <w:rPr>
          <w:rFonts w:hint="eastAsia" w:ascii="黑体" w:hAnsi="黑体" w:eastAsia="黑体"/>
          <w:b/>
          <w:bCs/>
          <w:sz w:val="30"/>
          <w:szCs w:val="30"/>
        </w:rPr>
      </w:pPr>
      <w:bookmarkStart w:id="86" w:name="_Toc3508"/>
      <w:r>
        <w:rPr>
          <w:rFonts w:ascii="黑体" w:hAnsi="黑体" w:eastAsia="黑体"/>
          <w:b/>
          <w:bCs/>
          <w:sz w:val="30"/>
          <w:szCs w:val="30"/>
        </w:rPr>
        <w:t>四、调查结果</w:t>
      </w:r>
      <w:bookmarkEnd w:id="86"/>
    </w:p>
    <w:p w14:paraId="328C3474">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bookmarkStart w:id="87" w:name="OLE_LINK24"/>
      <w:r>
        <w:rPr>
          <w:rFonts w:ascii="Times New Roman" w:hAnsi="Times New Roman" w:cs="Times New Roman" w:eastAsiaTheme="minorEastAsia"/>
          <w:color w:val="000000" w:themeColor="text1"/>
          <w14:textFill>
            <w14:solidFill>
              <w14:schemeClr w14:val="tx1"/>
            </w14:solidFill>
          </w14:textFill>
        </w:rPr>
        <w:t>本文提出了一种两阶段多证据融合框架（ADP-DEM），用于抗糖尿病肽的大规模筛选。第一阶段融合ESM2、ProtBert、AAC、理化性质、简化CTD及长度分箱等多源特征，通过门控机制实现高通量主筛。第二阶段引入SaProt-3Di结构感知模型，对Top-K候选肽进行结构层面精排。Stage-1在交叉验证中表现良好，GAUR-XGB模块可提升特异性，SaProt-ADP虽单独分类性能略低但召回率高，适合作为结构辅助排序模块。以枯草芽孢杆菌蛋白质组酶切肽段为应用案例，经Stage-1筛选出Top‑2000，再经SaProt-ADP评分与毒性/溶血性惩罚重排，最终获得Top‑100高置信候选肽。分析表明，Top‑100肽段长度集中（11–23 aa），结构感知评分显著提升，且完全排除了短肽，说明框架能有效富集结构完整、活性潜力高的候选序列。分子对接进一步显示，前100条候选肽中</w:t>
      </w:r>
      <w:r>
        <w:rPr>
          <w:rFonts w:hint="eastAsia" w:ascii="Times New Roman" w:hAnsi="Times New Roman" w:cs="Times New Roman" w:eastAsiaTheme="minorEastAsia"/>
          <w:color w:val="000000" w:themeColor="text1"/>
          <w14:textFill>
            <w14:solidFill>
              <w14:schemeClr w14:val="tx1"/>
            </w14:solidFill>
          </w14:textFill>
        </w:rPr>
        <w:t>3</w:t>
      </w:r>
      <w:r>
        <w:rPr>
          <w:rFonts w:hint="eastAsia" w:ascii="Times New Roman" w:hAnsi="Times New Roman" w:cs="Times New Roman" w:eastAsiaTheme="minorEastAsia"/>
          <w:color w:val="000000" w:themeColor="text1"/>
          <w:lang w:val="en-US" w:eastAsia="zh-CN"/>
          <w14:textFill>
            <w14:solidFill>
              <w14:schemeClr w14:val="tx1"/>
            </w14:solidFill>
          </w14:textFill>
        </w:rPr>
        <w:t>7</w:t>
      </w:r>
      <w:r>
        <w:rPr>
          <w:rFonts w:ascii="Times New Roman" w:hAnsi="Times New Roman" w:cs="Times New Roman" w:eastAsiaTheme="minorEastAsia"/>
          <w:color w:val="000000" w:themeColor="text1"/>
          <w14:textFill>
            <w14:solidFill>
              <w14:schemeClr w14:val="tx1"/>
            </w14:solidFill>
          </w14:textFill>
        </w:rPr>
        <w:t>条结合能低于-200 kcal/mol，</w:t>
      </w:r>
      <w:r>
        <w:rPr>
          <w:rFonts w:hint="eastAsia" w:ascii="Times New Roman" w:hAnsi="Times New Roman" w:cs="Times New Roman" w:eastAsiaTheme="minorEastAsia"/>
          <w:color w:val="000000" w:themeColor="text1"/>
          <w:lang w:val="en-US" w:eastAsia="zh-CN"/>
          <w14:textFill>
            <w14:solidFill>
              <w14:schemeClr w14:val="tx1"/>
            </w14:solidFill>
          </w14:textFill>
        </w:rPr>
        <w:t>16</w:t>
      </w:r>
      <w:r>
        <w:rPr>
          <w:rFonts w:ascii="Times New Roman" w:hAnsi="Times New Roman" w:cs="Times New Roman" w:eastAsiaTheme="minorEastAsia"/>
          <w:color w:val="000000" w:themeColor="text1"/>
          <w14:textFill>
            <w14:solidFill>
              <w14:schemeClr w14:val="tx1"/>
            </w14:solidFill>
          </w14:textFill>
        </w:rPr>
        <w:t>条低于-220 kcal/mol，最低达</w:t>
      </w:r>
      <w:r>
        <w:rPr>
          <w:rFonts w:hint="eastAsia" w:ascii="Times New Roman" w:hAnsi="Times New Roman" w:cs="Times New Roman" w:eastAsiaTheme="minorEastAsia"/>
          <w:color w:val="000000" w:themeColor="text1"/>
          <w14:textFill>
            <w14:solidFill>
              <w14:schemeClr w14:val="tx1"/>
            </w14:solidFill>
          </w14:textFill>
        </w:rPr>
        <w:t>-258.90</w:t>
      </w:r>
      <w:r>
        <w:rPr>
          <w:rFonts w:hint="eastAsia" w:ascii="Times New Roman" w:hAnsi="Times New Roman" w:cs="Times New Roman" w:eastAsiaTheme="minorEastAsia"/>
          <w:color w:val="000000" w:themeColor="text1"/>
          <w:lang w:val="en-US" w:eastAsia="zh-CN"/>
          <w14:textFill>
            <w14:solidFill>
              <w14:schemeClr w14:val="tx1"/>
            </w14:solidFill>
          </w14:textFill>
        </w:rPr>
        <w:t xml:space="preserve"> </w:t>
      </w:r>
      <w:bookmarkStart w:id="99" w:name="_GoBack"/>
      <w:bookmarkEnd w:id="99"/>
      <w:r>
        <w:rPr>
          <w:rFonts w:hint="eastAsia" w:ascii="Times New Roman" w:hAnsi="Times New Roman" w:cs="Times New Roman" w:eastAsiaTheme="minorEastAsia"/>
          <w:color w:val="000000" w:themeColor="text1"/>
          <w14:textFill>
            <w14:solidFill>
              <w14:schemeClr w14:val="tx1"/>
            </w14:solidFill>
          </w14:textFill>
        </w:rPr>
        <w:t>k</w:t>
      </w:r>
      <w:r>
        <w:rPr>
          <w:rFonts w:ascii="Times New Roman" w:hAnsi="Times New Roman" w:cs="Times New Roman" w:eastAsiaTheme="minorEastAsia"/>
          <w:color w:val="000000" w:themeColor="text1"/>
          <w14:textFill>
            <w14:solidFill>
              <w14:schemeClr w14:val="tx1"/>
            </w14:solidFill>
          </w14:textFill>
        </w:rPr>
        <w:t>cal/mol，验证了预测肽段的强结合亲和力。</w:t>
      </w:r>
    </w:p>
    <w:p w14:paraId="47C5242D">
      <w:pPr>
        <w:pStyle w:val="14"/>
        <w:spacing w:before="0" w:beforeAutospacing="0" w:after="0" w:afterAutospacing="0"/>
        <w:ind w:firstLine="480" w:firstLineChars="200"/>
        <w:jc w:val="both"/>
        <w:rPr>
          <w:rFonts w:ascii="Times New Roman" w:hAnsi="Times New Roman" w:cs="Times New Roman" w:eastAsiaTheme="minorEastAsia"/>
          <w:color w:val="000000" w:themeColor="text1"/>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本文存在以下局限性。首先，Stage-2中使用的3Di token来源于预测结构而非实验解析结构，其可靠性受短肽结构预测质量影响；其次，Top-100候选肽虽经分子对接评估并显示出较强预测结合亲和力，但该结果仍属于计算模拟范畴，其真实抗糖尿病活性需通过体外酶抑制实验、细胞实验或动物实验进一步验证。后续研究将引入湿实验数据，对候选肽进行系统验证。</w:t>
      </w:r>
    </w:p>
    <w:p w14:paraId="1AE321D4">
      <w:pPr>
        <w:pStyle w:val="14"/>
        <w:spacing w:before="0" w:beforeAutospacing="0" w:after="0" w:afterAutospacing="0"/>
        <w:ind w:firstLine="480" w:firstLineChars="200"/>
        <w:jc w:val="both"/>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eastAsiaTheme="minorEastAsia"/>
          <w:color w:val="000000" w:themeColor="text1"/>
          <w14:textFill>
            <w14:solidFill>
              <w14:schemeClr w14:val="tx1"/>
            </w14:solidFill>
          </w14:textFill>
        </w:rPr>
        <w:t>综上，本文框架兼顾高通量筛选效率、序列语义建模与结构感知精排，并引入可开发性约束，为天然抗糖尿病肽的计算发现提供了实用技术路线。。</w:t>
      </w:r>
      <w:bookmarkEnd w:id="87"/>
    </w:p>
    <w:p w14:paraId="16957EEF">
      <w:pPr>
        <w:keepNext w:val="0"/>
        <w:keepLines w:val="0"/>
        <w:pageBreakBefore w:val="0"/>
        <w:widowControl w:val="0"/>
        <w:kinsoku/>
        <w:wordWrap/>
        <w:overflowPunct/>
        <w:topLinePunct w:val="0"/>
        <w:autoSpaceDE/>
        <w:autoSpaceDN/>
        <w:bidi w:val="0"/>
        <w:adjustRightInd w:val="0"/>
        <w:snapToGrid/>
        <w:spacing w:line="480" w:lineRule="exact"/>
        <w:textAlignment w:val="auto"/>
        <w:outlineLvl w:val="0"/>
        <w:rPr>
          <w:rFonts w:hint="eastAsia" w:ascii="黑体" w:hAnsi="黑体" w:eastAsia="黑体"/>
          <w:b/>
          <w:bCs/>
          <w:sz w:val="30"/>
          <w:szCs w:val="30"/>
        </w:rPr>
      </w:pPr>
      <w:bookmarkStart w:id="88" w:name="_Toc13742"/>
      <w:r>
        <w:rPr>
          <w:rFonts w:hint="eastAsia" w:ascii="黑体" w:hAnsi="黑体" w:eastAsia="黑体"/>
          <w:b/>
          <w:bCs/>
          <w:sz w:val="30"/>
          <w:szCs w:val="30"/>
        </w:rPr>
        <w:t>五、</w:t>
      </w:r>
      <w:r>
        <w:rPr>
          <w:rFonts w:ascii="黑体" w:hAnsi="黑体" w:eastAsia="黑体"/>
          <w:b/>
          <w:bCs/>
          <w:sz w:val="30"/>
          <w:szCs w:val="30"/>
        </w:rPr>
        <w:t>参考文献</w:t>
      </w:r>
      <w:bookmarkEnd w:id="88"/>
    </w:p>
    <w:p w14:paraId="00336428">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fldChar w:fldCharType="begin"/>
      </w:r>
      <w:r>
        <w:rPr>
          <w:rFonts w:hint="eastAsia" w:ascii="宋体" w:hAnsi="宋体" w:eastAsia="宋体" w:cs="宋体"/>
          <w:color w:val="000000" w:themeColor="text1"/>
          <w:sz w:val="24"/>
          <w:szCs w:val="24"/>
          <w14:textFill>
            <w14:solidFill>
              <w14:schemeClr w14:val="tx1"/>
            </w14:solidFill>
          </w14:textFill>
        </w:rPr>
        <w:instrText xml:space="preserve"> ADDIN ZOTERO_BIBL {"uncited":[],"omitted":[],"custom":[]} CSL_BIBLIOGRAPHY </w:instrText>
      </w:r>
      <w:r>
        <w:rPr>
          <w:rFonts w:hint="eastAsia" w:ascii="宋体" w:hAnsi="宋体" w:eastAsia="宋体" w:cs="宋体"/>
          <w:color w:val="000000" w:themeColor="text1"/>
          <w:sz w:val="24"/>
          <w:szCs w:val="24"/>
          <w14:textFill>
            <w14:solidFill>
              <w14:schemeClr w14:val="tx1"/>
            </w14:solidFill>
          </w14:textFill>
        </w:rPr>
        <w:fldChar w:fldCharType="separate"/>
      </w:r>
      <w:r>
        <w:rPr>
          <w:rFonts w:hint="eastAsia" w:ascii="宋体" w:hAnsi="宋体" w:eastAsia="宋体" w:cs="宋体"/>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王伟好. 中国糖尿病流行现状及其防控策略[J/OL]. 中华糖尿病杂志, 2026, 18(02): 89. DOI:10.3760/cma.j.cn115791-20260108-00011.</w:t>
      </w:r>
    </w:p>
    <w:p w14:paraId="4E95F107">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MAGLIANO D, BOYKO E J. Diabetes atlas[M]. 11th edition. Brussels: International Diabetes Federation, 2025.</w:t>
      </w:r>
    </w:p>
    <w:p w14:paraId="694C709C">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中华医学会糖尿病学分会. 中国糖尿病防治指南（2024版）[J/OL]. 中华糖尿病杂志, 2025, 17(01): 16. DOI:10.3760/cma.j.cn115791-20241203-00705.</w:t>
      </w:r>
    </w:p>
    <w:p w14:paraId="3488FB72">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CAI K, ZHANG Z, ZHU W, et al. Predicting Antidiabetic Peptide Activity: A Machine Learning Perspective on Type 1 and Type 2 Diabetes[J/OL]. International Journal of Molecular Sciences, 2024, 25(18): 10020. DOI:10.3390/ijms251810020.</w:t>
      </w:r>
    </w:p>
    <w:p w14:paraId="0623180A">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CHEN X, HUANG J, HE B. AntiDMPpred: a web service for identifying anti-diabetic peptides[J/OL]. PeerJ, 2022, 10: e13581. DOI:10.7717/peerj.13581.</w:t>
      </w:r>
    </w:p>
    <w:p w14:paraId="0B5DE006">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[6]</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BASITH S, PHAM N T, SONG M, et al. ADP-Fuse: A novel two-layer machine learning predictor to identify antidiabetic peptides and diabetes types using multiview information[J/OL]. Computers in Biology and Medicine, 2023, 165: 107386. DOI:10.1016/j.compbiomed.2023.107386.</w:t>
      </w:r>
    </w:p>
    <w:p w14:paraId="2B67F5FC">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[7]</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ARSHAD F, AHMED S, AMJAD A, et al. An explainable stacking-based approach for accelerating the prediction of antidiabetic peptides[J/OL]. Analytical Biochemistry, 2024, 691: 115546. DOI:10.1016/j.ab.2024.115546.</w:t>
      </w:r>
    </w:p>
    <w:p w14:paraId="4E549A0A">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[8]</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XIE X, WU C, QI Y, et al. BertADP: a fine-tuned protein language model for anti-diabetic peptide prediction[J/OL]. BMC Biology, 2025, 23(1): 210. DOI:10.1186/s12915-025-02312-w.</w:t>
      </w:r>
    </w:p>
    <w:p w14:paraId="1EA65524">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[9]</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LIN Z, ALQURAISHI M, RAO R, et al. Evolutionary-scale prediction of atomic-level protein structure with a language model[J/OL]. Science, 2023, 379(6637): 1123-1130. DOI:10.1126/science.ade2574.</w:t>
      </w:r>
    </w:p>
    <w:p w14:paraId="6E1D01F1">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[10]</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DUBCHAK I, MUCHNIK I, HOLBROOK S R, et al. Prediction of protein folding class using global description of amino acid sequence.[J/OL]. Proceedings of the National Academy of Sciences, 1995, 92(19): 8700-8704. DOI:10.1073/pnas.92.19.8700.</w:t>
      </w:r>
    </w:p>
    <w:p w14:paraId="69E07FC5">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[11]</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ELNAGGAR A, HEINZINGER M, DALLAGO C, et al. ProtTrans: Towards Cracking the Language of Life’s Code Through Self-Supervised Learning[A/OL]. Bioinformatics, 2020[2026-05-01]. http://biorxiv.org/lookup/doi/10.1101/2020.07.12.199554. DOI:10.1101/2020.07.12.199554.</w:t>
      </w:r>
    </w:p>
    <w:p w14:paraId="6492A745">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[12]</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SU J, HAN C, ZHOU Y, et al. SaProt: Protein Language Modeling with Structure-aware Vocabulary[A/OL]. Bioinformatics, 2023[2026-05-01]. http://biorxiv.org/lookup/doi/10.1101/2023.10.01.560349. DOI:10.1101/2023.10.01.560349.</w:t>
      </w:r>
    </w:p>
    <w:p w14:paraId="6927E1D3">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[13]</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CHICCO D, JURMAN G. The Matthews correlation coefficient (MCC) should replace the ROC AUC as the standard metric for assessing binary classification[J/OL]. BioData Mining, 2023, 16(1): 4. DOI:10.1186/s13040-023-00322-4.</w:t>
      </w:r>
    </w:p>
    <w:p w14:paraId="3A0F3ABD">
      <w:pPr>
        <w:pStyle w:val="44"/>
        <w:ind w:left="420" w:hanging="42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[14]</w:t>
      </w:r>
      <w:r>
        <w:rPr>
          <w:rFonts w:hint="eastAsia" w:ascii="宋体" w:hAnsi="宋体" w:eastAsia="宋体" w:cs="宋体"/>
          <w:color w:val="000000" w:themeColor="text1"/>
          <w:sz w:val="24"/>
          <w:szCs w:val="24"/>
          <w14:textFill>
            <w14:solidFill>
              <w14:schemeClr w14:val="tx1"/>
            </w14:solidFill>
          </w14:textFill>
        </w:rPr>
        <w:tab/>
      </w:r>
      <w:r>
        <w:rPr>
          <w:rFonts w:hint="eastAsia" w:ascii="宋体" w:hAnsi="宋体" w:eastAsia="宋体" w:cs="宋体"/>
          <w:color w:val="000000" w:themeColor="text1"/>
          <w:sz w:val="24"/>
          <w:szCs w:val="24"/>
          <w14:textFill>
            <w14:solidFill>
              <w14:schemeClr w14:val="tx1"/>
            </w14:solidFill>
          </w14:textFill>
        </w:rPr>
        <w:t>HAND D J, TILL R J. A Simple Generalisation of the Area Under the ROC Curve for Multiple Class Classification Problems[J]. Machine Learning, 45, 171–186, 2001.</w:t>
      </w:r>
    </w:p>
    <w:p w14:paraId="754D2B64">
      <w:pPr>
        <w:rPr>
          <w:rFonts w:ascii="Times New Roman" w:hAnsi="Times New Roman" w:cs="Times New Roman"/>
          <w:color w:val="000000" w:themeColor="text1"/>
          <w:sz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fldChar w:fldCharType="end"/>
      </w:r>
    </w:p>
    <w:sectPr>
      <w:footerReference r:id="rId10"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方正小标宋简体">
    <w:altName w:val="方正舒体"/>
    <w:panose1 w:val="00000000000000000000"/>
    <w:charset w:val="00"/>
    <w:family w:val="auto"/>
    <w:pitch w:val="default"/>
    <w:sig w:usb0="00000000" w:usb1="00000000" w:usb2="00000000" w:usb3="00000000" w:csb0="00000000" w:csb1="00000000"/>
  </w:font>
  <w:font w:name="方正舒体">
    <w:panose1 w:val="02010601030101010101"/>
    <w:charset w:val="86"/>
    <w:family w:val="auto"/>
    <w:pitch w:val="default"/>
    <w:sig w:usb0="00000003"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小标宋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KSOFBE25B2F9">
    <w:panose1 w:val="0201060103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E582C">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51292">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72266">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DC201">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E3610">
    <w:pPr>
      <w:pStyle w:val="9"/>
    </w:pP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09FB95">
                          <w:pPr>
                            <w:pStyle w:val="9"/>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3A09FB95">
                    <w:pPr>
                      <w:pStyle w:val="9"/>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212DA">
    <w:pPr>
      <w:pStyle w:val="9"/>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512458">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2512458">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QzNzI3ZTUwOGQ3NDA3NGYwM2Y1ZTBmYTYzZjNhMWIifQ=="/>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eez0tz9209swuea9zspvrf49zazsrs99fwx&quot;&gt;Malonylation-Converted&lt;record-ids&gt;&lt;item&gt;716&lt;/item&gt;&lt;item&gt;746&lt;/item&gt;&lt;item&gt;896&lt;/item&gt;&lt;item&gt;921&lt;/item&gt;&lt;item&gt;1065&lt;/item&gt;&lt;item&gt;1070&lt;/item&gt;&lt;item&gt;1073&lt;/item&gt;&lt;item&gt;1086&lt;/item&gt;&lt;item&gt;1130&lt;/item&gt;&lt;item&gt;1132&lt;/item&gt;&lt;item&gt;1134&lt;/item&gt;&lt;item&gt;1135&lt;/item&gt;&lt;item&gt;1138&lt;/item&gt;&lt;item&gt;1140&lt;/item&gt;&lt;item&gt;1141&lt;/item&gt;&lt;item&gt;1142&lt;/item&gt;&lt;item&gt;1143&lt;/item&gt;&lt;item&gt;1144&lt;/item&gt;&lt;/record-ids&gt;&lt;/item&gt;&lt;/Libraries&gt;"/>
  </w:docVars>
  <w:rsids>
    <w:rsidRoot w:val="007574B9"/>
    <w:rsid w:val="00004124"/>
    <w:rsid w:val="00005024"/>
    <w:rsid w:val="00015C1D"/>
    <w:rsid w:val="00043451"/>
    <w:rsid w:val="000479E2"/>
    <w:rsid w:val="0005476A"/>
    <w:rsid w:val="00071486"/>
    <w:rsid w:val="0007241B"/>
    <w:rsid w:val="00072B89"/>
    <w:rsid w:val="00073BD9"/>
    <w:rsid w:val="000754F5"/>
    <w:rsid w:val="000778FE"/>
    <w:rsid w:val="000840D5"/>
    <w:rsid w:val="000917B1"/>
    <w:rsid w:val="00093CAA"/>
    <w:rsid w:val="00096732"/>
    <w:rsid w:val="00097091"/>
    <w:rsid w:val="000B0A02"/>
    <w:rsid w:val="000B6716"/>
    <w:rsid w:val="000D4B54"/>
    <w:rsid w:val="000E377A"/>
    <w:rsid w:val="000F0603"/>
    <w:rsid w:val="000F44C9"/>
    <w:rsid w:val="000F499B"/>
    <w:rsid w:val="00111418"/>
    <w:rsid w:val="00117820"/>
    <w:rsid w:val="00117E3B"/>
    <w:rsid w:val="001203BF"/>
    <w:rsid w:val="00125798"/>
    <w:rsid w:val="001303E8"/>
    <w:rsid w:val="00135A53"/>
    <w:rsid w:val="00136541"/>
    <w:rsid w:val="0013713C"/>
    <w:rsid w:val="0014369B"/>
    <w:rsid w:val="001476E2"/>
    <w:rsid w:val="0015068F"/>
    <w:rsid w:val="0015207E"/>
    <w:rsid w:val="00165D6D"/>
    <w:rsid w:val="001669D4"/>
    <w:rsid w:val="00173114"/>
    <w:rsid w:val="0017362A"/>
    <w:rsid w:val="00174F31"/>
    <w:rsid w:val="00182265"/>
    <w:rsid w:val="00186394"/>
    <w:rsid w:val="0018696A"/>
    <w:rsid w:val="00187599"/>
    <w:rsid w:val="00187B5E"/>
    <w:rsid w:val="00191D9B"/>
    <w:rsid w:val="001A7E50"/>
    <w:rsid w:val="001B67A7"/>
    <w:rsid w:val="001C42E5"/>
    <w:rsid w:val="001C56E1"/>
    <w:rsid w:val="001D48C8"/>
    <w:rsid w:val="001D5399"/>
    <w:rsid w:val="001E113E"/>
    <w:rsid w:val="001E48DF"/>
    <w:rsid w:val="001E5E68"/>
    <w:rsid w:val="001E7251"/>
    <w:rsid w:val="001F03EE"/>
    <w:rsid w:val="001F66ED"/>
    <w:rsid w:val="002151A3"/>
    <w:rsid w:val="00216012"/>
    <w:rsid w:val="00216F5E"/>
    <w:rsid w:val="00222D7B"/>
    <w:rsid w:val="002353BB"/>
    <w:rsid w:val="00241FF7"/>
    <w:rsid w:val="00245979"/>
    <w:rsid w:val="00250E4A"/>
    <w:rsid w:val="00255375"/>
    <w:rsid w:val="002578BC"/>
    <w:rsid w:val="002613D3"/>
    <w:rsid w:val="00265819"/>
    <w:rsid w:val="00265B7D"/>
    <w:rsid w:val="00270A91"/>
    <w:rsid w:val="00272268"/>
    <w:rsid w:val="00277E45"/>
    <w:rsid w:val="00291250"/>
    <w:rsid w:val="0029132A"/>
    <w:rsid w:val="0029217C"/>
    <w:rsid w:val="0029594B"/>
    <w:rsid w:val="002A2DD9"/>
    <w:rsid w:val="002A34B8"/>
    <w:rsid w:val="002C4F4C"/>
    <w:rsid w:val="002C7F51"/>
    <w:rsid w:val="002D0C20"/>
    <w:rsid w:val="002D5B60"/>
    <w:rsid w:val="002D64FC"/>
    <w:rsid w:val="002E1313"/>
    <w:rsid w:val="002E50A9"/>
    <w:rsid w:val="002F0E11"/>
    <w:rsid w:val="002F1731"/>
    <w:rsid w:val="0030446C"/>
    <w:rsid w:val="00310E36"/>
    <w:rsid w:val="00315841"/>
    <w:rsid w:val="00316B84"/>
    <w:rsid w:val="003252F4"/>
    <w:rsid w:val="003305EA"/>
    <w:rsid w:val="00332936"/>
    <w:rsid w:val="00333F5A"/>
    <w:rsid w:val="00345A3F"/>
    <w:rsid w:val="003464DE"/>
    <w:rsid w:val="00353423"/>
    <w:rsid w:val="003553D0"/>
    <w:rsid w:val="003560B8"/>
    <w:rsid w:val="00360DF6"/>
    <w:rsid w:val="00363452"/>
    <w:rsid w:val="00365FF2"/>
    <w:rsid w:val="003661C3"/>
    <w:rsid w:val="00373EB4"/>
    <w:rsid w:val="00386035"/>
    <w:rsid w:val="0039272D"/>
    <w:rsid w:val="00394FAA"/>
    <w:rsid w:val="003A1378"/>
    <w:rsid w:val="003B53F9"/>
    <w:rsid w:val="003B6841"/>
    <w:rsid w:val="003C2E35"/>
    <w:rsid w:val="003C56FD"/>
    <w:rsid w:val="003D0DC2"/>
    <w:rsid w:val="003D1F67"/>
    <w:rsid w:val="003D773D"/>
    <w:rsid w:val="003F3CB1"/>
    <w:rsid w:val="00407BE5"/>
    <w:rsid w:val="00417423"/>
    <w:rsid w:val="00422787"/>
    <w:rsid w:val="004239C4"/>
    <w:rsid w:val="004303D9"/>
    <w:rsid w:val="00436EF6"/>
    <w:rsid w:val="00437233"/>
    <w:rsid w:val="00440541"/>
    <w:rsid w:val="00475D01"/>
    <w:rsid w:val="00485352"/>
    <w:rsid w:val="00487756"/>
    <w:rsid w:val="0049067E"/>
    <w:rsid w:val="00491FAE"/>
    <w:rsid w:val="004A3030"/>
    <w:rsid w:val="004A41EC"/>
    <w:rsid w:val="004A49ED"/>
    <w:rsid w:val="004B73C1"/>
    <w:rsid w:val="004C1B16"/>
    <w:rsid w:val="004C451F"/>
    <w:rsid w:val="004C5E56"/>
    <w:rsid w:val="004C6194"/>
    <w:rsid w:val="004C7EF0"/>
    <w:rsid w:val="004D07FC"/>
    <w:rsid w:val="004D1230"/>
    <w:rsid w:val="004D4A17"/>
    <w:rsid w:val="004D61D6"/>
    <w:rsid w:val="004D6788"/>
    <w:rsid w:val="004D757D"/>
    <w:rsid w:val="004D7B53"/>
    <w:rsid w:val="004E10F2"/>
    <w:rsid w:val="004F022E"/>
    <w:rsid w:val="004F0B18"/>
    <w:rsid w:val="004F3C09"/>
    <w:rsid w:val="004F468F"/>
    <w:rsid w:val="00504486"/>
    <w:rsid w:val="005060F2"/>
    <w:rsid w:val="005062CF"/>
    <w:rsid w:val="0051213D"/>
    <w:rsid w:val="00514A61"/>
    <w:rsid w:val="00524FB6"/>
    <w:rsid w:val="00527B4F"/>
    <w:rsid w:val="005323E3"/>
    <w:rsid w:val="00545197"/>
    <w:rsid w:val="00560468"/>
    <w:rsid w:val="0056084B"/>
    <w:rsid w:val="0056193E"/>
    <w:rsid w:val="005624B7"/>
    <w:rsid w:val="00566703"/>
    <w:rsid w:val="00576270"/>
    <w:rsid w:val="0057628F"/>
    <w:rsid w:val="005768E2"/>
    <w:rsid w:val="00581894"/>
    <w:rsid w:val="005841DB"/>
    <w:rsid w:val="00593163"/>
    <w:rsid w:val="00594EC5"/>
    <w:rsid w:val="005A4295"/>
    <w:rsid w:val="005A4AD4"/>
    <w:rsid w:val="005A4FBA"/>
    <w:rsid w:val="005B7BCE"/>
    <w:rsid w:val="005C3D2C"/>
    <w:rsid w:val="005C7CBA"/>
    <w:rsid w:val="005D0146"/>
    <w:rsid w:val="005E59D2"/>
    <w:rsid w:val="005F0E4E"/>
    <w:rsid w:val="005F20F5"/>
    <w:rsid w:val="005F5FD5"/>
    <w:rsid w:val="00602347"/>
    <w:rsid w:val="00602F98"/>
    <w:rsid w:val="00621307"/>
    <w:rsid w:val="00621411"/>
    <w:rsid w:val="00624325"/>
    <w:rsid w:val="0063398A"/>
    <w:rsid w:val="00647D69"/>
    <w:rsid w:val="00652F0D"/>
    <w:rsid w:val="006530C3"/>
    <w:rsid w:val="00653AE8"/>
    <w:rsid w:val="00656E81"/>
    <w:rsid w:val="006634BB"/>
    <w:rsid w:val="006639FF"/>
    <w:rsid w:val="006654F7"/>
    <w:rsid w:val="00665BE0"/>
    <w:rsid w:val="006802A0"/>
    <w:rsid w:val="006802A6"/>
    <w:rsid w:val="00682ECF"/>
    <w:rsid w:val="00691BA3"/>
    <w:rsid w:val="00694E85"/>
    <w:rsid w:val="006950C3"/>
    <w:rsid w:val="006A0EEF"/>
    <w:rsid w:val="006A500D"/>
    <w:rsid w:val="006B006D"/>
    <w:rsid w:val="006B1805"/>
    <w:rsid w:val="006B1827"/>
    <w:rsid w:val="006B4F99"/>
    <w:rsid w:val="006C2B92"/>
    <w:rsid w:val="006C2C47"/>
    <w:rsid w:val="006C7B0B"/>
    <w:rsid w:val="006D107A"/>
    <w:rsid w:val="006D6453"/>
    <w:rsid w:val="006E2AC3"/>
    <w:rsid w:val="006E41EE"/>
    <w:rsid w:val="006E545E"/>
    <w:rsid w:val="006E700B"/>
    <w:rsid w:val="006F08F6"/>
    <w:rsid w:val="00700959"/>
    <w:rsid w:val="00706112"/>
    <w:rsid w:val="00707D82"/>
    <w:rsid w:val="0071376B"/>
    <w:rsid w:val="0072188F"/>
    <w:rsid w:val="0072213A"/>
    <w:rsid w:val="00732995"/>
    <w:rsid w:val="00743521"/>
    <w:rsid w:val="007520B5"/>
    <w:rsid w:val="00753DB4"/>
    <w:rsid w:val="007574B9"/>
    <w:rsid w:val="00762488"/>
    <w:rsid w:val="00763B75"/>
    <w:rsid w:val="00780015"/>
    <w:rsid w:val="00784F9E"/>
    <w:rsid w:val="0079011C"/>
    <w:rsid w:val="007968BF"/>
    <w:rsid w:val="00797B67"/>
    <w:rsid w:val="007A2EE2"/>
    <w:rsid w:val="007A35F9"/>
    <w:rsid w:val="007B35DB"/>
    <w:rsid w:val="007B3877"/>
    <w:rsid w:val="007B40AE"/>
    <w:rsid w:val="007C0073"/>
    <w:rsid w:val="007C309D"/>
    <w:rsid w:val="007C30AB"/>
    <w:rsid w:val="007D32A2"/>
    <w:rsid w:val="007E1DD3"/>
    <w:rsid w:val="007E7F3B"/>
    <w:rsid w:val="007F64B2"/>
    <w:rsid w:val="007F7616"/>
    <w:rsid w:val="00802F84"/>
    <w:rsid w:val="00811D48"/>
    <w:rsid w:val="00816BCA"/>
    <w:rsid w:val="008177AA"/>
    <w:rsid w:val="00820694"/>
    <w:rsid w:val="00824A9C"/>
    <w:rsid w:val="008272E6"/>
    <w:rsid w:val="0083082C"/>
    <w:rsid w:val="00841658"/>
    <w:rsid w:val="00844552"/>
    <w:rsid w:val="00844CA0"/>
    <w:rsid w:val="00850203"/>
    <w:rsid w:val="00850E74"/>
    <w:rsid w:val="00853298"/>
    <w:rsid w:val="00856E03"/>
    <w:rsid w:val="00861454"/>
    <w:rsid w:val="00861BCC"/>
    <w:rsid w:val="0086269F"/>
    <w:rsid w:val="00867137"/>
    <w:rsid w:val="00870C68"/>
    <w:rsid w:val="0087123D"/>
    <w:rsid w:val="008828A5"/>
    <w:rsid w:val="00884580"/>
    <w:rsid w:val="00886B84"/>
    <w:rsid w:val="0089387A"/>
    <w:rsid w:val="008953F8"/>
    <w:rsid w:val="00897C25"/>
    <w:rsid w:val="008A1DEF"/>
    <w:rsid w:val="008A37FE"/>
    <w:rsid w:val="008A3ED1"/>
    <w:rsid w:val="008A4023"/>
    <w:rsid w:val="008B36FF"/>
    <w:rsid w:val="008C171F"/>
    <w:rsid w:val="008C1BAD"/>
    <w:rsid w:val="008C1CBC"/>
    <w:rsid w:val="008C5D91"/>
    <w:rsid w:val="008C675E"/>
    <w:rsid w:val="008D2B60"/>
    <w:rsid w:val="008D4FC1"/>
    <w:rsid w:val="008E29F6"/>
    <w:rsid w:val="008E5962"/>
    <w:rsid w:val="008F0956"/>
    <w:rsid w:val="008F5FEF"/>
    <w:rsid w:val="008F701B"/>
    <w:rsid w:val="00903D75"/>
    <w:rsid w:val="0091340E"/>
    <w:rsid w:val="009155B2"/>
    <w:rsid w:val="009178EF"/>
    <w:rsid w:val="00921330"/>
    <w:rsid w:val="00923FED"/>
    <w:rsid w:val="009303FF"/>
    <w:rsid w:val="00933B69"/>
    <w:rsid w:val="00936243"/>
    <w:rsid w:val="0093655A"/>
    <w:rsid w:val="00954A86"/>
    <w:rsid w:val="00954CA3"/>
    <w:rsid w:val="00963020"/>
    <w:rsid w:val="009640DF"/>
    <w:rsid w:val="00967A8F"/>
    <w:rsid w:val="00973A8B"/>
    <w:rsid w:val="00980347"/>
    <w:rsid w:val="0098339E"/>
    <w:rsid w:val="009A2A6A"/>
    <w:rsid w:val="009B0113"/>
    <w:rsid w:val="009B0608"/>
    <w:rsid w:val="009B4860"/>
    <w:rsid w:val="009B5550"/>
    <w:rsid w:val="009B6998"/>
    <w:rsid w:val="009C1AA8"/>
    <w:rsid w:val="009C246B"/>
    <w:rsid w:val="009D3583"/>
    <w:rsid w:val="009D3BA4"/>
    <w:rsid w:val="009D4636"/>
    <w:rsid w:val="009D5B02"/>
    <w:rsid w:val="009E0667"/>
    <w:rsid w:val="009F1B9E"/>
    <w:rsid w:val="009F1CC0"/>
    <w:rsid w:val="009F2E4F"/>
    <w:rsid w:val="00A010BF"/>
    <w:rsid w:val="00A05307"/>
    <w:rsid w:val="00A1084B"/>
    <w:rsid w:val="00A1193C"/>
    <w:rsid w:val="00A2075E"/>
    <w:rsid w:val="00A228A5"/>
    <w:rsid w:val="00A23606"/>
    <w:rsid w:val="00A25C32"/>
    <w:rsid w:val="00A260DE"/>
    <w:rsid w:val="00A3169A"/>
    <w:rsid w:val="00A3231E"/>
    <w:rsid w:val="00A328EE"/>
    <w:rsid w:val="00A35A42"/>
    <w:rsid w:val="00A35C2F"/>
    <w:rsid w:val="00A37132"/>
    <w:rsid w:val="00A37190"/>
    <w:rsid w:val="00A4288F"/>
    <w:rsid w:val="00A606F9"/>
    <w:rsid w:val="00A645EE"/>
    <w:rsid w:val="00A7259D"/>
    <w:rsid w:val="00A73A4D"/>
    <w:rsid w:val="00A76105"/>
    <w:rsid w:val="00A766AC"/>
    <w:rsid w:val="00A76D4B"/>
    <w:rsid w:val="00A83A89"/>
    <w:rsid w:val="00A87A83"/>
    <w:rsid w:val="00A87F01"/>
    <w:rsid w:val="00A921FE"/>
    <w:rsid w:val="00AA2504"/>
    <w:rsid w:val="00AB08BC"/>
    <w:rsid w:val="00AB5740"/>
    <w:rsid w:val="00AB73C8"/>
    <w:rsid w:val="00AC4504"/>
    <w:rsid w:val="00AD1AB5"/>
    <w:rsid w:val="00AD2E2F"/>
    <w:rsid w:val="00AD3050"/>
    <w:rsid w:val="00AD6B06"/>
    <w:rsid w:val="00AE5481"/>
    <w:rsid w:val="00AF5583"/>
    <w:rsid w:val="00AF58AC"/>
    <w:rsid w:val="00AF65F4"/>
    <w:rsid w:val="00AF66C9"/>
    <w:rsid w:val="00B11239"/>
    <w:rsid w:val="00B11894"/>
    <w:rsid w:val="00B440C5"/>
    <w:rsid w:val="00B5240F"/>
    <w:rsid w:val="00B63E5E"/>
    <w:rsid w:val="00B807DC"/>
    <w:rsid w:val="00B80D93"/>
    <w:rsid w:val="00B87377"/>
    <w:rsid w:val="00B87A8B"/>
    <w:rsid w:val="00B90A46"/>
    <w:rsid w:val="00B91A30"/>
    <w:rsid w:val="00BA14DB"/>
    <w:rsid w:val="00BA5BF0"/>
    <w:rsid w:val="00BC12CD"/>
    <w:rsid w:val="00BC1DF5"/>
    <w:rsid w:val="00BD1F96"/>
    <w:rsid w:val="00BD2B6B"/>
    <w:rsid w:val="00BD4354"/>
    <w:rsid w:val="00BD5DC6"/>
    <w:rsid w:val="00BD74F9"/>
    <w:rsid w:val="00BE2733"/>
    <w:rsid w:val="00C10FF1"/>
    <w:rsid w:val="00C16695"/>
    <w:rsid w:val="00C204BA"/>
    <w:rsid w:val="00C206B8"/>
    <w:rsid w:val="00C21AF8"/>
    <w:rsid w:val="00C23EAC"/>
    <w:rsid w:val="00C25710"/>
    <w:rsid w:val="00C302FE"/>
    <w:rsid w:val="00C320E5"/>
    <w:rsid w:val="00C33FAC"/>
    <w:rsid w:val="00C4183A"/>
    <w:rsid w:val="00C41B38"/>
    <w:rsid w:val="00C531A2"/>
    <w:rsid w:val="00C6062D"/>
    <w:rsid w:val="00C71C04"/>
    <w:rsid w:val="00C734EF"/>
    <w:rsid w:val="00C754F3"/>
    <w:rsid w:val="00C75D12"/>
    <w:rsid w:val="00C81189"/>
    <w:rsid w:val="00C94AA0"/>
    <w:rsid w:val="00C95F1F"/>
    <w:rsid w:val="00CA0F5A"/>
    <w:rsid w:val="00CB1B29"/>
    <w:rsid w:val="00CC2E2F"/>
    <w:rsid w:val="00CC3361"/>
    <w:rsid w:val="00CC7426"/>
    <w:rsid w:val="00CD1788"/>
    <w:rsid w:val="00CD4ABB"/>
    <w:rsid w:val="00CD79A5"/>
    <w:rsid w:val="00CE0B20"/>
    <w:rsid w:val="00CF0385"/>
    <w:rsid w:val="00CF39DD"/>
    <w:rsid w:val="00CF77FC"/>
    <w:rsid w:val="00D01AC4"/>
    <w:rsid w:val="00D0494A"/>
    <w:rsid w:val="00D125FF"/>
    <w:rsid w:val="00D34939"/>
    <w:rsid w:val="00D36657"/>
    <w:rsid w:val="00D37352"/>
    <w:rsid w:val="00D4274E"/>
    <w:rsid w:val="00D53084"/>
    <w:rsid w:val="00D543FB"/>
    <w:rsid w:val="00D54DA8"/>
    <w:rsid w:val="00D55D41"/>
    <w:rsid w:val="00D56646"/>
    <w:rsid w:val="00D64AE1"/>
    <w:rsid w:val="00D74E34"/>
    <w:rsid w:val="00D82CCA"/>
    <w:rsid w:val="00D83B40"/>
    <w:rsid w:val="00D91887"/>
    <w:rsid w:val="00D92CBB"/>
    <w:rsid w:val="00DB2615"/>
    <w:rsid w:val="00DB5E62"/>
    <w:rsid w:val="00DC3136"/>
    <w:rsid w:val="00DD20B4"/>
    <w:rsid w:val="00DE2933"/>
    <w:rsid w:val="00DE5D42"/>
    <w:rsid w:val="00DE7F86"/>
    <w:rsid w:val="00DF0391"/>
    <w:rsid w:val="00DF3162"/>
    <w:rsid w:val="00DF462E"/>
    <w:rsid w:val="00DF71E4"/>
    <w:rsid w:val="00E04C55"/>
    <w:rsid w:val="00E04CC0"/>
    <w:rsid w:val="00E10C79"/>
    <w:rsid w:val="00E10F37"/>
    <w:rsid w:val="00E176BE"/>
    <w:rsid w:val="00E177E2"/>
    <w:rsid w:val="00E3214B"/>
    <w:rsid w:val="00E3774D"/>
    <w:rsid w:val="00E4493F"/>
    <w:rsid w:val="00E54B2E"/>
    <w:rsid w:val="00E64840"/>
    <w:rsid w:val="00E661B4"/>
    <w:rsid w:val="00E677C7"/>
    <w:rsid w:val="00E72A72"/>
    <w:rsid w:val="00E84089"/>
    <w:rsid w:val="00E9431D"/>
    <w:rsid w:val="00E943F2"/>
    <w:rsid w:val="00E96FFF"/>
    <w:rsid w:val="00EB0B1B"/>
    <w:rsid w:val="00EB57B7"/>
    <w:rsid w:val="00EC4992"/>
    <w:rsid w:val="00ED0CD5"/>
    <w:rsid w:val="00ED4D34"/>
    <w:rsid w:val="00EF774B"/>
    <w:rsid w:val="00F04BF1"/>
    <w:rsid w:val="00F05F61"/>
    <w:rsid w:val="00F126B8"/>
    <w:rsid w:val="00F1417E"/>
    <w:rsid w:val="00F16505"/>
    <w:rsid w:val="00F21D40"/>
    <w:rsid w:val="00F21F5B"/>
    <w:rsid w:val="00F2556F"/>
    <w:rsid w:val="00F3348A"/>
    <w:rsid w:val="00F342F7"/>
    <w:rsid w:val="00F3500D"/>
    <w:rsid w:val="00F375AB"/>
    <w:rsid w:val="00F445F7"/>
    <w:rsid w:val="00F52FB9"/>
    <w:rsid w:val="00F60B18"/>
    <w:rsid w:val="00F614FF"/>
    <w:rsid w:val="00F6489B"/>
    <w:rsid w:val="00F65C7C"/>
    <w:rsid w:val="00F674BD"/>
    <w:rsid w:val="00F751D9"/>
    <w:rsid w:val="00F8026B"/>
    <w:rsid w:val="00F8273D"/>
    <w:rsid w:val="00F838AD"/>
    <w:rsid w:val="00F855F1"/>
    <w:rsid w:val="00F857A6"/>
    <w:rsid w:val="00F92315"/>
    <w:rsid w:val="00FA0443"/>
    <w:rsid w:val="00FA3E95"/>
    <w:rsid w:val="00FB41BF"/>
    <w:rsid w:val="00FB47CB"/>
    <w:rsid w:val="00FB560B"/>
    <w:rsid w:val="00FC2928"/>
    <w:rsid w:val="00FC2B8E"/>
    <w:rsid w:val="00FC70A5"/>
    <w:rsid w:val="00FD3C7C"/>
    <w:rsid w:val="00FD7CAA"/>
    <w:rsid w:val="00FE1424"/>
    <w:rsid w:val="00FE5612"/>
    <w:rsid w:val="00FE66AD"/>
    <w:rsid w:val="00FE7754"/>
    <w:rsid w:val="011C44BE"/>
    <w:rsid w:val="011E0236"/>
    <w:rsid w:val="012A0989"/>
    <w:rsid w:val="014B2183"/>
    <w:rsid w:val="01875DDB"/>
    <w:rsid w:val="019B3634"/>
    <w:rsid w:val="01F66ABD"/>
    <w:rsid w:val="01FF1E15"/>
    <w:rsid w:val="02105DD0"/>
    <w:rsid w:val="02377801"/>
    <w:rsid w:val="02897931"/>
    <w:rsid w:val="02E8185F"/>
    <w:rsid w:val="02ED1C6E"/>
    <w:rsid w:val="03305FFE"/>
    <w:rsid w:val="038F71C9"/>
    <w:rsid w:val="03962305"/>
    <w:rsid w:val="03AF1619"/>
    <w:rsid w:val="03C527A5"/>
    <w:rsid w:val="04051239"/>
    <w:rsid w:val="04387860"/>
    <w:rsid w:val="044C0C16"/>
    <w:rsid w:val="046E5030"/>
    <w:rsid w:val="047B1719"/>
    <w:rsid w:val="04B30C95"/>
    <w:rsid w:val="04E11CA6"/>
    <w:rsid w:val="051536FE"/>
    <w:rsid w:val="051E25B2"/>
    <w:rsid w:val="052E47BF"/>
    <w:rsid w:val="055E6118"/>
    <w:rsid w:val="055F2BCB"/>
    <w:rsid w:val="05E27A84"/>
    <w:rsid w:val="05F96B7B"/>
    <w:rsid w:val="062A404A"/>
    <w:rsid w:val="067B3A34"/>
    <w:rsid w:val="070103DE"/>
    <w:rsid w:val="071F2612"/>
    <w:rsid w:val="07524795"/>
    <w:rsid w:val="07577FFE"/>
    <w:rsid w:val="07C136C9"/>
    <w:rsid w:val="07C37441"/>
    <w:rsid w:val="07DD49A7"/>
    <w:rsid w:val="08193505"/>
    <w:rsid w:val="081D2FF5"/>
    <w:rsid w:val="083E2F6B"/>
    <w:rsid w:val="08935065"/>
    <w:rsid w:val="08EC29C7"/>
    <w:rsid w:val="093A1985"/>
    <w:rsid w:val="09594501"/>
    <w:rsid w:val="098552F6"/>
    <w:rsid w:val="0995305F"/>
    <w:rsid w:val="09BF2FBF"/>
    <w:rsid w:val="09FB55B8"/>
    <w:rsid w:val="0A5E2D20"/>
    <w:rsid w:val="0A636CB9"/>
    <w:rsid w:val="0A6A4724"/>
    <w:rsid w:val="0A6D7B38"/>
    <w:rsid w:val="0A913826"/>
    <w:rsid w:val="0A917CCA"/>
    <w:rsid w:val="0AFA2706"/>
    <w:rsid w:val="0B21104E"/>
    <w:rsid w:val="0B2E376B"/>
    <w:rsid w:val="0B6D6042"/>
    <w:rsid w:val="0B864C55"/>
    <w:rsid w:val="0B9F1F73"/>
    <w:rsid w:val="0BB41243"/>
    <w:rsid w:val="0BDA11FD"/>
    <w:rsid w:val="0C063DA0"/>
    <w:rsid w:val="0C547201"/>
    <w:rsid w:val="0C5E598A"/>
    <w:rsid w:val="0C913FB2"/>
    <w:rsid w:val="0CF32576"/>
    <w:rsid w:val="0D0373F7"/>
    <w:rsid w:val="0D0C53E6"/>
    <w:rsid w:val="0D442DD2"/>
    <w:rsid w:val="0D9C49BC"/>
    <w:rsid w:val="0DDB2B4E"/>
    <w:rsid w:val="0E2A646C"/>
    <w:rsid w:val="0E4B0190"/>
    <w:rsid w:val="0E686F94"/>
    <w:rsid w:val="0E6D3269"/>
    <w:rsid w:val="0EB21FBD"/>
    <w:rsid w:val="0EC00B7E"/>
    <w:rsid w:val="0F29227F"/>
    <w:rsid w:val="0F5C08A7"/>
    <w:rsid w:val="0F7472A5"/>
    <w:rsid w:val="0FBC30F4"/>
    <w:rsid w:val="0FD241C0"/>
    <w:rsid w:val="0FD75787"/>
    <w:rsid w:val="10264A11"/>
    <w:rsid w:val="108C0107"/>
    <w:rsid w:val="10F82345"/>
    <w:rsid w:val="11266AF2"/>
    <w:rsid w:val="114E06C3"/>
    <w:rsid w:val="11823EC9"/>
    <w:rsid w:val="119F4A7B"/>
    <w:rsid w:val="11AE2F10"/>
    <w:rsid w:val="11C70752"/>
    <w:rsid w:val="11E44B84"/>
    <w:rsid w:val="121216F1"/>
    <w:rsid w:val="12751C80"/>
    <w:rsid w:val="129739A4"/>
    <w:rsid w:val="12BC7E07"/>
    <w:rsid w:val="12EF1A32"/>
    <w:rsid w:val="131E7C21"/>
    <w:rsid w:val="13645F7C"/>
    <w:rsid w:val="13AE77A4"/>
    <w:rsid w:val="13B10A95"/>
    <w:rsid w:val="13BD568C"/>
    <w:rsid w:val="13DF1AA7"/>
    <w:rsid w:val="141428B9"/>
    <w:rsid w:val="142A46A5"/>
    <w:rsid w:val="144B0EEA"/>
    <w:rsid w:val="144E2788"/>
    <w:rsid w:val="144F7614"/>
    <w:rsid w:val="147541B9"/>
    <w:rsid w:val="14B051F1"/>
    <w:rsid w:val="14B52AD6"/>
    <w:rsid w:val="14DC7D94"/>
    <w:rsid w:val="14DD02FC"/>
    <w:rsid w:val="14E1184E"/>
    <w:rsid w:val="14F835C4"/>
    <w:rsid w:val="15115C90"/>
    <w:rsid w:val="15393438"/>
    <w:rsid w:val="15724254"/>
    <w:rsid w:val="15973CBB"/>
    <w:rsid w:val="15AF54A9"/>
    <w:rsid w:val="16816E45"/>
    <w:rsid w:val="168D7298"/>
    <w:rsid w:val="169C5A2D"/>
    <w:rsid w:val="16F2564D"/>
    <w:rsid w:val="17190E2C"/>
    <w:rsid w:val="17773DA4"/>
    <w:rsid w:val="1796247C"/>
    <w:rsid w:val="17B1375A"/>
    <w:rsid w:val="180D4793"/>
    <w:rsid w:val="18420856"/>
    <w:rsid w:val="18624A54"/>
    <w:rsid w:val="18AE7C99"/>
    <w:rsid w:val="18B76B4E"/>
    <w:rsid w:val="18BD66DB"/>
    <w:rsid w:val="18C15C1F"/>
    <w:rsid w:val="18DA0A8E"/>
    <w:rsid w:val="19526877"/>
    <w:rsid w:val="195A78FE"/>
    <w:rsid w:val="195C76F5"/>
    <w:rsid w:val="19653219"/>
    <w:rsid w:val="198033E4"/>
    <w:rsid w:val="19A507F7"/>
    <w:rsid w:val="19AA0461"/>
    <w:rsid w:val="1A1678A4"/>
    <w:rsid w:val="1A4A39F2"/>
    <w:rsid w:val="1A6525DA"/>
    <w:rsid w:val="1AC015F1"/>
    <w:rsid w:val="1AC808FC"/>
    <w:rsid w:val="1AD16F45"/>
    <w:rsid w:val="1ADE00A1"/>
    <w:rsid w:val="1AEC6857"/>
    <w:rsid w:val="1AEE25CF"/>
    <w:rsid w:val="1B154000"/>
    <w:rsid w:val="1B3B043B"/>
    <w:rsid w:val="1B5E1503"/>
    <w:rsid w:val="1B66485B"/>
    <w:rsid w:val="1B6C00C4"/>
    <w:rsid w:val="1B862808"/>
    <w:rsid w:val="1BA10F17"/>
    <w:rsid w:val="1BB83309"/>
    <w:rsid w:val="1BB9498B"/>
    <w:rsid w:val="1BC05D1A"/>
    <w:rsid w:val="1BCF41AF"/>
    <w:rsid w:val="1BDB2B53"/>
    <w:rsid w:val="1C055E22"/>
    <w:rsid w:val="1C275D99"/>
    <w:rsid w:val="1C2B0811"/>
    <w:rsid w:val="1C36422E"/>
    <w:rsid w:val="1C365FDC"/>
    <w:rsid w:val="1C420E24"/>
    <w:rsid w:val="1C672639"/>
    <w:rsid w:val="1C6963B1"/>
    <w:rsid w:val="1C782A98"/>
    <w:rsid w:val="1C874A89"/>
    <w:rsid w:val="1D104E5D"/>
    <w:rsid w:val="1D183933"/>
    <w:rsid w:val="1D1D719C"/>
    <w:rsid w:val="1D352737"/>
    <w:rsid w:val="1D76522A"/>
    <w:rsid w:val="1D81597C"/>
    <w:rsid w:val="1D943902"/>
    <w:rsid w:val="1D9E208B"/>
    <w:rsid w:val="1DAF24EA"/>
    <w:rsid w:val="1DB573D4"/>
    <w:rsid w:val="1DCB4E4A"/>
    <w:rsid w:val="1E14234D"/>
    <w:rsid w:val="1E2C3B3A"/>
    <w:rsid w:val="1E320A25"/>
    <w:rsid w:val="1E470974"/>
    <w:rsid w:val="1E5B7F7C"/>
    <w:rsid w:val="1E763007"/>
    <w:rsid w:val="1E865BA3"/>
    <w:rsid w:val="1EA77665"/>
    <w:rsid w:val="1F0720F7"/>
    <w:rsid w:val="1F152820"/>
    <w:rsid w:val="1F372797"/>
    <w:rsid w:val="1F443106"/>
    <w:rsid w:val="1F777037"/>
    <w:rsid w:val="1F7F5EEC"/>
    <w:rsid w:val="1F973235"/>
    <w:rsid w:val="1F980D5B"/>
    <w:rsid w:val="1FAE057F"/>
    <w:rsid w:val="1FD9384E"/>
    <w:rsid w:val="1FED554B"/>
    <w:rsid w:val="1FF57F5C"/>
    <w:rsid w:val="200A3A07"/>
    <w:rsid w:val="200D34F7"/>
    <w:rsid w:val="20142AD8"/>
    <w:rsid w:val="20286583"/>
    <w:rsid w:val="207812B9"/>
    <w:rsid w:val="20A0611A"/>
    <w:rsid w:val="20A57BD4"/>
    <w:rsid w:val="20AA48D5"/>
    <w:rsid w:val="20D81D57"/>
    <w:rsid w:val="21025026"/>
    <w:rsid w:val="21035862"/>
    <w:rsid w:val="210E2B59"/>
    <w:rsid w:val="212D20A3"/>
    <w:rsid w:val="215F5FD5"/>
    <w:rsid w:val="215F7D83"/>
    <w:rsid w:val="226454E4"/>
    <w:rsid w:val="22D402FC"/>
    <w:rsid w:val="22D84291"/>
    <w:rsid w:val="22EB1E67"/>
    <w:rsid w:val="22FD39AE"/>
    <w:rsid w:val="23201C43"/>
    <w:rsid w:val="2325252A"/>
    <w:rsid w:val="23641680"/>
    <w:rsid w:val="237C5C29"/>
    <w:rsid w:val="238B1303"/>
    <w:rsid w:val="23AD1279"/>
    <w:rsid w:val="23CE11F0"/>
    <w:rsid w:val="23DA7B95"/>
    <w:rsid w:val="23E26A49"/>
    <w:rsid w:val="23F92711"/>
    <w:rsid w:val="24082954"/>
    <w:rsid w:val="243E6375"/>
    <w:rsid w:val="2492046F"/>
    <w:rsid w:val="24955B50"/>
    <w:rsid w:val="24A361D8"/>
    <w:rsid w:val="24D87F5B"/>
    <w:rsid w:val="25453733"/>
    <w:rsid w:val="256242E5"/>
    <w:rsid w:val="25A4045A"/>
    <w:rsid w:val="25D32AED"/>
    <w:rsid w:val="260E1D77"/>
    <w:rsid w:val="26543C2E"/>
    <w:rsid w:val="26BF3C7A"/>
    <w:rsid w:val="26EC20B9"/>
    <w:rsid w:val="27027B2E"/>
    <w:rsid w:val="27156F2D"/>
    <w:rsid w:val="27261707"/>
    <w:rsid w:val="272A0E33"/>
    <w:rsid w:val="27377C59"/>
    <w:rsid w:val="277420AE"/>
    <w:rsid w:val="27910EB2"/>
    <w:rsid w:val="27AE736E"/>
    <w:rsid w:val="27BA21B7"/>
    <w:rsid w:val="27D8088F"/>
    <w:rsid w:val="27D843EB"/>
    <w:rsid w:val="27FD02F5"/>
    <w:rsid w:val="28215D92"/>
    <w:rsid w:val="28386BE0"/>
    <w:rsid w:val="285443B9"/>
    <w:rsid w:val="28681C13"/>
    <w:rsid w:val="286B34B1"/>
    <w:rsid w:val="28A40771"/>
    <w:rsid w:val="28BC5ABB"/>
    <w:rsid w:val="28D041DB"/>
    <w:rsid w:val="28D948BF"/>
    <w:rsid w:val="291C5D93"/>
    <w:rsid w:val="29324B09"/>
    <w:rsid w:val="29385A89"/>
    <w:rsid w:val="295757E3"/>
    <w:rsid w:val="29954C89"/>
    <w:rsid w:val="299A22A0"/>
    <w:rsid w:val="2A0616E3"/>
    <w:rsid w:val="2A1B6843"/>
    <w:rsid w:val="2A331DAD"/>
    <w:rsid w:val="2A7228D5"/>
    <w:rsid w:val="2AE82B97"/>
    <w:rsid w:val="2B3C2EE3"/>
    <w:rsid w:val="2B85488A"/>
    <w:rsid w:val="2B942D1F"/>
    <w:rsid w:val="2BA60333"/>
    <w:rsid w:val="2BD4136D"/>
    <w:rsid w:val="2BDE7B47"/>
    <w:rsid w:val="2BF043F9"/>
    <w:rsid w:val="2C583D4C"/>
    <w:rsid w:val="2C624BCB"/>
    <w:rsid w:val="2C7212B2"/>
    <w:rsid w:val="2C820DC9"/>
    <w:rsid w:val="2C862667"/>
    <w:rsid w:val="2CA174A1"/>
    <w:rsid w:val="2CB76CC5"/>
    <w:rsid w:val="2CC32B27"/>
    <w:rsid w:val="2CE3689D"/>
    <w:rsid w:val="2D143097"/>
    <w:rsid w:val="2D574004"/>
    <w:rsid w:val="2D8C0619"/>
    <w:rsid w:val="2D8D3A62"/>
    <w:rsid w:val="2DF33D2D"/>
    <w:rsid w:val="2E220AB6"/>
    <w:rsid w:val="2E7130A9"/>
    <w:rsid w:val="2E9F2106"/>
    <w:rsid w:val="2EB529B1"/>
    <w:rsid w:val="2EDC6EB7"/>
    <w:rsid w:val="2F1321AD"/>
    <w:rsid w:val="2F154177"/>
    <w:rsid w:val="2F1F6DA3"/>
    <w:rsid w:val="2F3B1E2F"/>
    <w:rsid w:val="2F6A001E"/>
    <w:rsid w:val="2F6A2714"/>
    <w:rsid w:val="2F8B61E7"/>
    <w:rsid w:val="2F9C21A2"/>
    <w:rsid w:val="2FBE036A"/>
    <w:rsid w:val="2FFD0E93"/>
    <w:rsid w:val="30136908"/>
    <w:rsid w:val="303D3A86"/>
    <w:rsid w:val="30444D13"/>
    <w:rsid w:val="3095556F"/>
    <w:rsid w:val="30B5176D"/>
    <w:rsid w:val="30C62B96"/>
    <w:rsid w:val="30D065A7"/>
    <w:rsid w:val="30D50061"/>
    <w:rsid w:val="30EE2ED1"/>
    <w:rsid w:val="310D3357"/>
    <w:rsid w:val="312406A1"/>
    <w:rsid w:val="31484F45"/>
    <w:rsid w:val="314B20D2"/>
    <w:rsid w:val="314B3E80"/>
    <w:rsid w:val="315947EF"/>
    <w:rsid w:val="319D0DB2"/>
    <w:rsid w:val="31A517E2"/>
    <w:rsid w:val="31BB2DB3"/>
    <w:rsid w:val="31C854D0"/>
    <w:rsid w:val="31E53BD8"/>
    <w:rsid w:val="31FB7654"/>
    <w:rsid w:val="32052280"/>
    <w:rsid w:val="32313DE2"/>
    <w:rsid w:val="323808A8"/>
    <w:rsid w:val="326970FC"/>
    <w:rsid w:val="327D62BB"/>
    <w:rsid w:val="32821B23"/>
    <w:rsid w:val="329D070B"/>
    <w:rsid w:val="329F26D5"/>
    <w:rsid w:val="32A16CD0"/>
    <w:rsid w:val="32AB72CC"/>
    <w:rsid w:val="32B83797"/>
    <w:rsid w:val="32F50547"/>
    <w:rsid w:val="33072028"/>
    <w:rsid w:val="336F02F9"/>
    <w:rsid w:val="33843679"/>
    <w:rsid w:val="33CF2B46"/>
    <w:rsid w:val="33DA33B5"/>
    <w:rsid w:val="34232E92"/>
    <w:rsid w:val="34394463"/>
    <w:rsid w:val="344A041F"/>
    <w:rsid w:val="345526E8"/>
    <w:rsid w:val="347B2CCE"/>
    <w:rsid w:val="349D2C44"/>
    <w:rsid w:val="34FF38FF"/>
    <w:rsid w:val="351C000D"/>
    <w:rsid w:val="353F3CFB"/>
    <w:rsid w:val="35431A3E"/>
    <w:rsid w:val="358F4C83"/>
    <w:rsid w:val="359758E5"/>
    <w:rsid w:val="359E706C"/>
    <w:rsid w:val="35CD1307"/>
    <w:rsid w:val="35EE4665"/>
    <w:rsid w:val="36034D29"/>
    <w:rsid w:val="36286165"/>
    <w:rsid w:val="367E2601"/>
    <w:rsid w:val="37076A9B"/>
    <w:rsid w:val="37152F66"/>
    <w:rsid w:val="37313B18"/>
    <w:rsid w:val="37441A9D"/>
    <w:rsid w:val="37490E61"/>
    <w:rsid w:val="37515F68"/>
    <w:rsid w:val="37920A5A"/>
    <w:rsid w:val="3848736B"/>
    <w:rsid w:val="38DB01DF"/>
    <w:rsid w:val="38DE55D9"/>
    <w:rsid w:val="395A55A8"/>
    <w:rsid w:val="397A17A6"/>
    <w:rsid w:val="39927671"/>
    <w:rsid w:val="399B34CA"/>
    <w:rsid w:val="39E430C3"/>
    <w:rsid w:val="3A1E0383"/>
    <w:rsid w:val="3A30455A"/>
    <w:rsid w:val="3A63048C"/>
    <w:rsid w:val="3A7E7074"/>
    <w:rsid w:val="3A972F8C"/>
    <w:rsid w:val="3AB111F7"/>
    <w:rsid w:val="3AC0768C"/>
    <w:rsid w:val="3AFE1F63"/>
    <w:rsid w:val="3B11613A"/>
    <w:rsid w:val="3B457B92"/>
    <w:rsid w:val="3B626996"/>
    <w:rsid w:val="3B7641EF"/>
    <w:rsid w:val="3B8B7C9A"/>
    <w:rsid w:val="3BB07701"/>
    <w:rsid w:val="3BB30C3E"/>
    <w:rsid w:val="3BC92571"/>
    <w:rsid w:val="3BE473AB"/>
    <w:rsid w:val="3BE86E9B"/>
    <w:rsid w:val="3C5B1CB9"/>
    <w:rsid w:val="3CC1149A"/>
    <w:rsid w:val="3CCD7E3F"/>
    <w:rsid w:val="3CDB69FF"/>
    <w:rsid w:val="3CE04670"/>
    <w:rsid w:val="3D1D51DD"/>
    <w:rsid w:val="3D583BAC"/>
    <w:rsid w:val="3D695DB9"/>
    <w:rsid w:val="3D81721B"/>
    <w:rsid w:val="3DD60F75"/>
    <w:rsid w:val="3E1201FF"/>
    <w:rsid w:val="3E1D6BA4"/>
    <w:rsid w:val="3E4B3711"/>
    <w:rsid w:val="3E7210B7"/>
    <w:rsid w:val="3EBB0897"/>
    <w:rsid w:val="3EE72E10"/>
    <w:rsid w:val="3EF1250A"/>
    <w:rsid w:val="3EFC2C5D"/>
    <w:rsid w:val="3F1D32FF"/>
    <w:rsid w:val="3F3C52C8"/>
    <w:rsid w:val="3F422D66"/>
    <w:rsid w:val="3F4E07D9"/>
    <w:rsid w:val="3F5E7474"/>
    <w:rsid w:val="3F80388E"/>
    <w:rsid w:val="3FC419CD"/>
    <w:rsid w:val="3FDD65EB"/>
    <w:rsid w:val="4013200C"/>
    <w:rsid w:val="4024421A"/>
    <w:rsid w:val="4057639D"/>
    <w:rsid w:val="407A7D57"/>
    <w:rsid w:val="409C46F8"/>
    <w:rsid w:val="40A13ABC"/>
    <w:rsid w:val="40B76E3C"/>
    <w:rsid w:val="40E02836"/>
    <w:rsid w:val="40E9003F"/>
    <w:rsid w:val="40EA7211"/>
    <w:rsid w:val="411C1395"/>
    <w:rsid w:val="41263FC1"/>
    <w:rsid w:val="412D5350"/>
    <w:rsid w:val="41764F49"/>
    <w:rsid w:val="41AD023F"/>
    <w:rsid w:val="42025F5C"/>
    <w:rsid w:val="420C765B"/>
    <w:rsid w:val="421107CE"/>
    <w:rsid w:val="42B23D5F"/>
    <w:rsid w:val="42BD3544"/>
    <w:rsid w:val="42D52509"/>
    <w:rsid w:val="42FB198B"/>
    <w:rsid w:val="42FC322C"/>
    <w:rsid w:val="43346E69"/>
    <w:rsid w:val="43560B8E"/>
    <w:rsid w:val="43C401ED"/>
    <w:rsid w:val="43C875B2"/>
    <w:rsid w:val="43D85A47"/>
    <w:rsid w:val="43E22422"/>
    <w:rsid w:val="43EC32A0"/>
    <w:rsid w:val="4440539A"/>
    <w:rsid w:val="4447497A"/>
    <w:rsid w:val="445F056C"/>
    <w:rsid w:val="44B738AE"/>
    <w:rsid w:val="44D0671E"/>
    <w:rsid w:val="44F20D8A"/>
    <w:rsid w:val="452A22D2"/>
    <w:rsid w:val="45B44292"/>
    <w:rsid w:val="45BB5620"/>
    <w:rsid w:val="45DC4A98"/>
    <w:rsid w:val="45E848A9"/>
    <w:rsid w:val="46050649"/>
    <w:rsid w:val="460743C1"/>
    <w:rsid w:val="46250CEB"/>
    <w:rsid w:val="463A4797"/>
    <w:rsid w:val="463D6035"/>
    <w:rsid w:val="46AC6D17"/>
    <w:rsid w:val="46F34946"/>
    <w:rsid w:val="46F43749"/>
    <w:rsid w:val="46FF778E"/>
    <w:rsid w:val="47136D96"/>
    <w:rsid w:val="47347438"/>
    <w:rsid w:val="47703FB4"/>
    <w:rsid w:val="47B264C1"/>
    <w:rsid w:val="47DE717A"/>
    <w:rsid w:val="47E04ECA"/>
    <w:rsid w:val="47F95BF5"/>
    <w:rsid w:val="480A0199"/>
    <w:rsid w:val="482F19AD"/>
    <w:rsid w:val="483B0352"/>
    <w:rsid w:val="485A1120"/>
    <w:rsid w:val="486A50DB"/>
    <w:rsid w:val="486F624E"/>
    <w:rsid w:val="4880045B"/>
    <w:rsid w:val="48A24875"/>
    <w:rsid w:val="48AB197C"/>
    <w:rsid w:val="48BD5AF7"/>
    <w:rsid w:val="48EA3B26"/>
    <w:rsid w:val="491A265E"/>
    <w:rsid w:val="496164DE"/>
    <w:rsid w:val="49A34401"/>
    <w:rsid w:val="49E50EBD"/>
    <w:rsid w:val="49F25388"/>
    <w:rsid w:val="49F27137"/>
    <w:rsid w:val="4A767D68"/>
    <w:rsid w:val="4A873D23"/>
    <w:rsid w:val="4A9621B8"/>
    <w:rsid w:val="4A9F106C"/>
    <w:rsid w:val="4AC26B09"/>
    <w:rsid w:val="4AD1516E"/>
    <w:rsid w:val="4B013AD5"/>
    <w:rsid w:val="4B20396D"/>
    <w:rsid w:val="4B2B0B52"/>
    <w:rsid w:val="4B4C2876"/>
    <w:rsid w:val="4B5C0362"/>
    <w:rsid w:val="4B797B0F"/>
    <w:rsid w:val="4B971D44"/>
    <w:rsid w:val="4BDD1758"/>
    <w:rsid w:val="4C215AB1"/>
    <w:rsid w:val="4C7C718B"/>
    <w:rsid w:val="4C8C5620"/>
    <w:rsid w:val="4CA03253"/>
    <w:rsid w:val="4CE03BBE"/>
    <w:rsid w:val="4CFF4044"/>
    <w:rsid w:val="4D0E24D9"/>
    <w:rsid w:val="4D4B377D"/>
    <w:rsid w:val="4DBC1F35"/>
    <w:rsid w:val="4DD728CB"/>
    <w:rsid w:val="4DE1374A"/>
    <w:rsid w:val="4DF72F6D"/>
    <w:rsid w:val="4DF96CE5"/>
    <w:rsid w:val="4E0833CC"/>
    <w:rsid w:val="4E102281"/>
    <w:rsid w:val="4E213EBD"/>
    <w:rsid w:val="4E345F70"/>
    <w:rsid w:val="4E402B66"/>
    <w:rsid w:val="4E546612"/>
    <w:rsid w:val="4E966920"/>
    <w:rsid w:val="4E9B1B4B"/>
    <w:rsid w:val="4EAC1FAA"/>
    <w:rsid w:val="4EB175C0"/>
    <w:rsid w:val="4EDB288F"/>
    <w:rsid w:val="4EEF42F8"/>
    <w:rsid w:val="4EF31987"/>
    <w:rsid w:val="4F0911AA"/>
    <w:rsid w:val="4F0D65C6"/>
    <w:rsid w:val="4F2204BE"/>
    <w:rsid w:val="4F3D0E54"/>
    <w:rsid w:val="4F4915A7"/>
    <w:rsid w:val="4F6A567F"/>
    <w:rsid w:val="4F734876"/>
    <w:rsid w:val="4F981181"/>
    <w:rsid w:val="4FA9473B"/>
    <w:rsid w:val="4FA964E9"/>
    <w:rsid w:val="4FB01626"/>
    <w:rsid w:val="4FB56C3C"/>
    <w:rsid w:val="4FD25A40"/>
    <w:rsid w:val="4FF2671E"/>
    <w:rsid w:val="50416722"/>
    <w:rsid w:val="505A77E4"/>
    <w:rsid w:val="505C17AE"/>
    <w:rsid w:val="505C355C"/>
    <w:rsid w:val="509E5922"/>
    <w:rsid w:val="50A54F03"/>
    <w:rsid w:val="50B82E88"/>
    <w:rsid w:val="51622DF4"/>
    <w:rsid w:val="51750D79"/>
    <w:rsid w:val="51764AF1"/>
    <w:rsid w:val="51907961"/>
    <w:rsid w:val="51C55131"/>
    <w:rsid w:val="51CE66DB"/>
    <w:rsid w:val="51DC2BA6"/>
    <w:rsid w:val="51F55A16"/>
    <w:rsid w:val="527C1C93"/>
    <w:rsid w:val="52AB4326"/>
    <w:rsid w:val="531445C2"/>
    <w:rsid w:val="53514ECE"/>
    <w:rsid w:val="53670B95"/>
    <w:rsid w:val="53980D4F"/>
    <w:rsid w:val="53A5346C"/>
    <w:rsid w:val="53C2401E"/>
    <w:rsid w:val="53FD0BB2"/>
    <w:rsid w:val="543071D9"/>
    <w:rsid w:val="54640C31"/>
    <w:rsid w:val="548D63DA"/>
    <w:rsid w:val="54C16083"/>
    <w:rsid w:val="54C833A7"/>
    <w:rsid w:val="54E35FFA"/>
    <w:rsid w:val="54EF499E"/>
    <w:rsid w:val="551064AC"/>
    <w:rsid w:val="552363AB"/>
    <w:rsid w:val="553A40D2"/>
    <w:rsid w:val="553D1BAE"/>
    <w:rsid w:val="55515659"/>
    <w:rsid w:val="556E7FB9"/>
    <w:rsid w:val="55915A56"/>
    <w:rsid w:val="55A76DC4"/>
    <w:rsid w:val="55B07EC1"/>
    <w:rsid w:val="55BA1450"/>
    <w:rsid w:val="55BF0815"/>
    <w:rsid w:val="55E069DD"/>
    <w:rsid w:val="56344665"/>
    <w:rsid w:val="56530F5D"/>
    <w:rsid w:val="567D5FDA"/>
    <w:rsid w:val="56890E23"/>
    <w:rsid w:val="5697353F"/>
    <w:rsid w:val="56A25A40"/>
    <w:rsid w:val="56C105BC"/>
    <w:rsid w:val="56CF095D"/>
    <w:rsid w:val="56D7393C"/>
    <w:rsid w:val="56EF6ED8"/>
    <w:rsid w:val="570F1328"/>
    <w:rsid w:val="5712791E"/>
    <w:rsid w:val="574511ED"/>
    <w:rsid w:val="57452F9B"/>
    <w:rsid w:val="574839D5"/>
    <w:rsid w:val="57596A47"/>
    <w:rsid w:val="576B5ED7"/>
    <w:rsid w:val="57FB18AC"/>
    <w:rsid w:val="58256929"/>
    <w:rsid w:val="584119B5"/>
    <w:rsid w:val="5853793A"/>
    <w:rsid w:val="58931AE5"/>
    <w:rsid w:val="58A46918"/>
    <w:rsid w:val="58E97957"/>
    <w:rsid w:val="59246BE1"/>
    <w:rsid w:val="593037D7"/>
    <w:rsid w:val="595C637A"/>
    <w:rsid w:val="596714DD"/>
    <w:rsid w:val="599B50F5"/>
    <w:rsid w:val="59AC309D"/>
    <w:rsid w:val="59E22D24"/>
    <w:rsid w:val="5A584D94"/>
    <w:rsid w:val="5A7616BE"/>
    <w:rsid w:val="5ADD1E8F"/>
    <w:rsid w:val="5AE81188"/>
    <w:rsid w:val="5AE91E90"/>
    <w:rsid w:val="5AF50835"/>
    <w:rsid w:val="5B0169BE"/>
    <w:rsid w:val="5B1C4EDD"/>
    <w:rsid w:val="5B6634E0"/>
    <w:rsid w:val="5B7E4CCE"/>
    <w:rsid w:val="5BA65FD3"/>
    <w:rsid w:val="5BAB5397"/>
    <w:rsid w:val="5BB66216"/>
    <w:rsid w:val="5BFC7A7E"/>
    <w:rsid w:val="5C2515ED"/>
    <w:rsid w:val="5C367357"/>
    <w:rsid w:val="5C5B0B6B"/>
    <w:rsid w:val="5C742052"/>
    <w:rsid w:val="5CCB5CF1"/>
    <w:rsid w:val="5CE759E8"/>
    <w:rsid w:val="5D213D20"/>
    <w:rsid w:val="5D35760E"/>
    <w:rsid w:val="5D53269B"/>
    <w:rsid w:val="5DA311AC"/>
    <w:rsid w:val="5DA56542"/>
    <w:rsid w:val="5DC32E6C"/>
    <w:rsid w:val="5DCD7847"/>
    <w:rsid w:val="5E0C56F7"/>
    <w:rsid w:val="5E5B4E53"/>
    <w:rsid w:val="5E671A49"/>
    <w:rsid w:val="5E68756F"/>
    <w:rsid w:val="5E70787F"/>
    <w:rsid w:val="5EAA52DB"/>
    <w:rsid w:val="5EC24ED2"/>
    <w:rsid w:val="5EF05EE3"/>
    <w:rsid w:val="5F090D52"/>
    <w:rsid w:val="5F7412EA"/>
    <w:rsid w:val="5F8D3732"/>
    <w:rsid w:val="5F8E1258"/>
    <w:rsid w:val="5FE01AB3"/>
    <w:rsid w:val="604F6C39"/>
    <w:rsid w:val="60824919"/>
    <w:rsid w:val="609D79A4"/>
    <w:rsid w:val="60A056E7"/>
    <w:rsid w:val="60BA0556"/>
    <w:rsid w:val="60C767CF"/>
    <w:rsid w:val="60DB671F"/>
    <w:rsid w:val="60EF5D26"/>
    <w:rsid w:val="610B7004"/>
    <w:rsid w:val="613025C6"/>
    <w:rsid w:val="614F6ADB"/>
    <w:rsid w:val="617D727E"/>
    <w:rsid w:val="61811074"/>
    <w:rsid w:val="619743F4"/>
    <w:rsid w:val="61A86601"/>
    <w:rsid w:val="61BD71E2"/>
    <w:rsid w:val="61DB4C28"/>
    <w:rsid w:val="61ED04B8"/>
    <w:rsid w:val="61ED12FA"/>
    <w:rsid w:val="621C2B4B"/>
    <w:rsid w:val="621F43E9"/>
    <w:rsid w:val="62257C51"/>
    <w:rsid w:val="623E51B7"/>
    <w:rsid w:val="62431CD7"/>
    <w:rsid w:val="6243457B"/>
    <w:rsid w:val="625E13B5"/>
    <w:rsid w:val="628250A4"/>
    <w:rsid w:val="62E80C7F"/>
    <w:rsid w:val="63316ACA"/>
    <w:rsid w:val="63EB4ECB"/>
    <w:rsid w:val="63FA510E"/>
    <w:rsid w:val="643A0656"/>
    <w:rsid w:val="64FD4EB5"/>
    <w:rsid w:val="650C6EA7"/>
    <w:rsid w:val="651915C4"/>
    <w:rsid w:val="655A2308"/>
    <w:rsid w:val="65827169"/>
    <w:rsid w:val="65EB7404"/>
    <w:rsid w:val="66106E6A"/>
    <w:rsid w:val="663C7C5F"/>
    <w:rsid w:val="66754F1F"/>
    <w:rsid w:val="66833198"/>
    <w:rsid w:val="66CC0FE3"/>
    <w:rsid w:val="66E31E89"/>
    <w:rsid w:val="67292CCC"/>
    <w:rsid w:val="67566AFF"/>
    <w:rsid w:val="6760172C"/>
    <w:rsid w:val="6764121C"/>
    <w:rsid w:val="6773320D"/>
    <w:rsid w:val="67784CC7"/>
    <w:rsid w:val="67801DCE"/>
    <w:rsid w:val="67DB0DB2"/>
    <w:rsid w:val="67DF6AF4"/>
    <w:rsid w:val="68420E31"/>
    <w:rsid w:val="6864641C"/>
    <w:rsid w:val="6894168D"/>
    <w:rsid w:val="68B358BE"/>
    <w:rsid w:val="68B65AA7"/>
    <w:rsid w:val="68DD378F"/>
    <w:rsid w:val="69584DB0"/>
    <w:rsid w:val="697274F4"/>
    <w:rsid w:val="69C42446"/>
    <w:rsid w:val="69D65CD5"/>
    <w:rsid w:val="69FA7C16"/>
    <w:rsid w:val="6A0720EC"/>
    <w:rsid w:val="6A177E9C"/>
    <w:rsid w:val="6A5A6906"/>
    <w:rsid w:val="6A5D1F52"/>
    <w:rsid w:val="6A6B0B13"/>
    <w:rsid w:val="6A87657C"/>
    <w:rsid w:val="6AD00976"/>
    <w:rsid w:val="6B1D005F"/>
    <w:rsid w:val="6B431148"/>
    <w:rsid w:val="6B472364"/>
    <w:rsid w:val="6B475596"/>
    <w:rsid w:val="6B4E646B"/>
    <w:rsid w:val="6BBD1287"/>
    <w:rsid w:val="6BC65A36"/>
    <w:rsid w:val="6BE566A3"/>
    <w:rsid w:val="6C180827"/>
    <w:rsid w:val="6C507FC1"/>
    <w:rsid w:val="6C97174C"/>
    <w:rsid w:val="6CB87914"/>
    <w:rsid w:val="6CBE788A"/>
    <w:rsid w:val="6CC91B21"/>
    <w:rsid w:val="6CF070AE"/>
    <w:rsid w:val="6D374CDD"/>
    <w:rsid w:val="6D68758C"/>
    <w:rsid w:val="6D8D1A6E"/>
    <w:rsid w:val="6D94212F"/>
    <w:rsid w:val="6DE24C48"/>
    <w:rsid w:val="6E2214E9"/>
    <w:rsid w:val="6E22598D"/>
    <w:rsid w:val="6E282B78"/>
    <w:rsid w:val="6E6B2E90"/>
    <w:rsid w:val="6E9F2B3A"/>
    <w:rsid w:val="6EA97E5C"/>
    <w:rsid w:val="6EBA3E17"/>
    <w:rsid w:val="6EDC1FE0"/>
    <w:rsid w:val="6F0873D2"/>
    <w:rsid w:val="6F2B261F"/>
    <w:rsid w:val="6F5B7D32"/>
    <w:rsid w:val="6F9C351D"/>
    <w:rsid w:val="6FAD1286"/>
    <w:rsid w:val="6FD20CED"/>
    <w:rsid w:val="6FDE7692"/>
    <w:rsid w:val="6FEF5D43"/>
    <w:rsid w:val="6FF2313D"/>
    <w:rsid w:val="6FF51C11"/>
    <w:rsid w:val="700F0193"/>
    <w:rsid w:val="701632CF"/>
    <w:rsid w:val="702A6D7B"/>
    <w:rsid w:val="70553DF8"/>
    <w:rsid w:val="70995399"/>
    <w:rsid w:val="70C924BF"/>
    <w:rsid w:val="70E60337"/>
    <w:rsid w:val="70EE5FFA"/>
    <w:rsid w:val="70F73101"/>
    <w:rsid w:val="71125845"/>
    <w:rsid w:val="711A294B"/>
    <w:rsid w:val="71213CDA"/>
    <w:rsid w:val="71355967"/>
    <w:rsid w:val="7150636D"/>
    <w:rsid w:val="71816E6E"/>
    <w:rsid w:val="71AB7A47"/>
    <w:rsid w:val="71E74F23"/>
    <w:rsid w:val="71F66F14"/>
    <w:rsid w:val="7248578B"/>
    <w:rsid w:val="725003E5"/>
    <w:rsid w:val="725E4ABA"/>
    <w:rsid w:val="72A615BC"/>
    <w:rsid w:val="72AA7CFF"/>
    <w:rsid w:val="72D02269"/>
    <w:rsid w:val="733862F7"/>
    <w:rsid w:val="73522870"/>
    <w:rsid w:val="73683E42"/>
    <w:rsid w:val="73702CF6"/>
    <w:rsid w:val="737C78ED"/>
    <w:rsid w:val="73944C37"/>
    <w:rsid w:val="73AF381F"/>
    <w:rsid w:val="73BC5F3C"/>
    <w:rsid w:val="73BE1CB4"/>
    <w:rsid w:val="74082F2F"/>
    <w:rsid w:val="740C6EC3"/>
    <w:rsid w:val="7443040B"/>
    <w:rsid w:val="74714F78"/>
    <w:rsid w:val="747D56CB"/>
    <w:rsid w:val="74B65081"/>
    <w:rsid w:val="74C57072"/>
    <w:rsid w:val="74DF6442"/>
    <w:rsid w:val="750000AA"/>
    <w:rsid w:val="7526055E"/>
    <w:rsid w:val="75597714"/>
    <w:rsid w:val="755A5A0C"/>
    <w:rsid w:val="756B19C7"/>
    <w:rsid w:val="756D1BE3"/>
    <w:rsid w:val="7577036C"/>
    <w:rsid w:val="758111EB"/>
    <w:rsid w:val="75D92DD5"/>
    <w:rsid w:val="75DE663D"/>
    <w:rsid w:val="75E94AD5"/>
    <w:rsid w:val="76070B31"/>
    <w:rsid w:val="76236746"/>
    <w:rsid w:val="763C5112"/>
    <w:rsid w:val="764221C2"/>
    <w:rsid w:val="764F753B"/>
    <w:rsid w:val="765B5EE0"/>
    <w:rsid w:val="76746FA2"/>
    <w:rsid w:val="76780840"/>
    <w:rsid w:val="76872831"/>
    <w:rsid w:val="76A553AD"/>
    <w:rsid w:val="76AF1D88"/>
    <w:rsid w:val="76B03549"/>
    <w:rsid w:val="76C770D1"/>
    <w:rsid w:val="76C84BF7"/>
    <w:rsid w:val="76FD2AF3"/>
    <w:rsid w:val="772E7150"/>
    <w:rsid w:val="77AF64E3"/>
    <w:rsid w:val="78106856"/>
    <w:rsid w:val="783D0D9D"/>
    <w:rsid w:val="786F17CF"/>
    <w:rsid w:val="789446C4"/>
    <w:rsid w:val="789C633C"/>
    <w:rsid w:val="78A05E2C"/>
    <w:rsid w:val="78F543CA"/>
    <w:rsid w:val="791B3704"/>
    <w:rsid w:val="7947274B"/>
    <w:rsid w:val="794C7D62"/>
    <w:rsid w:val="79592940"/>
    <w:rsid w:val="79C63670"/>
    <w:rsid w:val="79D20267"/>
    <w:rsid w:val="79D7587D"/>
    <w:rsid w:val="7A236D15"/>
    <w:rsid w:val="7A4B0019"/>
    <w:rsid w:val="7A8C43F8"/>
    <w:rsid w:val="7AD87AFF"/>
    <w:rsid w:val="7B000E04"/>
    <w:rsid w:val="7B024B7C"/>
    <w:rsid w:val="7B454A69"/>
    <w:rsid w:val="7B4E6013"/>
    <w:rsid w:val="7B7D2454"/>
    <w:rsid w:val="7B9D0826"/>
    <w:rsid w:val="7BA93249"/>
    <w:rsid w:val="7BEB3862"/>
    <w:rsid w:val="7C943EFA"/>
    <w:rsid w:val="7CD442F6"/>
    <w:rsid w:val="7CF404F4"/>
    <w:rsid w:val="7D630A43"/>
    <w:rsid w:val="7E0753BB"/>
    <w:rsid w:val="7E0F1B56"/>
    <w:rsid w:val="7E2412AD"/>
    <w:rsid w:val="7E50776C"/>
    <w:rsid w:val="7E843AFA"/>
    <w:rsid w:val="7EB81375"/>
    <w:rsid w:val="7EE0231B"/>
    <w:rsid w:val="7EF0118F"/>
    <w:rsid w:val="7F336110"/>
    <w:rsid w:val="7F427C3D"/>
    <w:rsid w:val="7F437511"/>
    <w:rsid w:val="7F625BE9"/>
    <w:rsid w:val="7FA426A6"/>
    <w:rsid w:val="7FAA57E2"/>
    <w:rsid w:val="7FBF128D"/>
    <w:rsid w:val="7FDB3BED"/>
    <w:rsid w:val="7FEE1B73"/>
    <w:rsid w:val="7FFA6C75"/>
    <w:rsid w:val="7FFF168A"/>
  </w:rsids>
  <m:mathPr>
    <m:mathFont m:val="Cambria Math"/>
    <m:brkBin m:val="before"/>
    <m:brkBinSub m:val="--"/>
    <m:smallFrac m:val="0"/>
    <m:dispDef/>
    <m:lMargin m:val="0"/>
    <m:rMargin m:val="0"/>
    <m:defJc m:val="centerGroup"/>
    <m:wrapIndent m:val="2347"/>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5"/>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6"/>
    <w:unhideWhenUsed/>
    <w:qFormat/>
    <w:uiPriority w:val="0"/>
    <w:pPr>
      <w:keepNext/>
      <w:keepLines/>
      <w:spacing w:before="260" w:after="260" w:line="416" w:lineRule="auto"/>
      <w:outlineLvl w:val="2"/>
    </w:pPr>
    <w:rPr>
      <w:b/>
      <w:bCs/>
      <w:sz w:val="32"/>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annotation text"/>
    <w:basedOn w:val="1"/>
    <w:link w:val="37"/>
    <w:qFormat/>
    <w:uiPriority w:val="0"/>
    <w:pPr>
      <w:jc w:val="left"/>
    </w:pPr>
  </w:style>
  <w:style w:type="paragraph" w:styleId="7">
    <w:name w:val="toc 3"/>
    <w:basedOn w:val="1"/>
    <w:next w:val="1"/>
    <w:qFormat/>
    <w:uiPriority w:val="39"/>
    <w:pPr>
      <w:ind w:left="840" w:leftChars="400"/>
    </w:pPr>
  </w:style>
  <w:style w:type="paragraph" w:styleId="8">
    <w:name w:val="Date"/>
    <w:basedOn w:val="1"/>
    <w:next w:val="1"/>
    <w:link w:val="40"/>
    <w:qFormat/>
    <w:uiPriority w:val="0"/>
    <w:pPr>
      <w:ind w:left="100" w:leftChars="2500"/>
    </w:pPr>
  </w:style>
  <w:style w:type="paragraph" w:styleId="9">
    <w:name w:val="footer"/>
    <w:basedOn w:val="1"/>
    <w:link w:val="25"/>
    <w:qFormat/>
    <w:uiPriority w:val="0"/>
    <w:pPr>
      <w:tabs>
        <w:tab w:val="center" w:pos="4153"/>
        <w:tab w:val="right" w:pos="8306"/>
      </w:tabs>
      <w:snapToGrid w:val="0"/>
      <w:jc w:val="left"/>
    </w:pPr>
    <w:rPr>
      <w:sz w:val="18"/>
      <w:szCs w:val="18"/>
    </w:rPr>
  </w:style>
  <w:style w:type="paragraph" w:styleId="10">
    <w:name w:val="header"/>
    <w:basedOn w:val="1"/>
    <w:link w:val="24"/>
    <w:qFormat/>
    <w:uiPriority w:val="0"/>
    <w:pPr>
      <w:tabs>
        <w:tab w:val="center" w:pos="4153"/>
        <w:tab w:val="right" w:pos="8306"/>
      </w:tabs>
      <w:snapToGrid w:val="0"/>
      <w:jc w:val="center"/>
    </w:pPr>
    <w:rPr>
      <w:sz w:val="18"/>
      <w:szCs w:val="18"/>
    </w:rPr>
  </w:style>
  <w:style w:type="paragraph" w:styleId="11">
    <w:name w:val="toc 1"/>
    <w:basedOn w:val="1"/>
    <w:next w:val="1"/>
    <w:qFormat/>
    <w:uiPriority w:val="39"/>
  </w:style>
  <w:style w:type="paragraph" w:styleId="12">
    <w:name w:val="table of figures"/>
    <w:basedOn w:val="1"/>
    <w:next w:val="1"/>
    <w:qFormat/>
    <w:uiPriority w:val="99"/>
    <w:pPr>
      <w:ind w:left="200" w:leftChars="200" w:hanging="200" w:hangingChars="200"/>
    </w:pPr>
  </w:style>
  <w:style w:type="paragraph" w:styleId="13">
    <w:name w:val="toc 2"/>
    <w:basedOn w:val="1"/>
    <w:next w:val="1"/>
    <w:qFormat/>
    <w:uiPriority w:val="39"/>
    <w:pPr>
      <w:ind w:left="420" w:leftChars="200"/>
    </w:pPr>
  </w:style>
  <w:style w:type="paragraph" w:styleId="14">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15">
    <w:name w:val="Title"/>
    <w:basedOn w:val="1"/>
    <w:next w:val="1"/>
    <w:link w:val="29"/>
    <w:qFormat/>
    <w:uiPriority w:val="0"/>
    <w:pPr>
      <w:spacing w:before="240" w:after="60"/>
      <w:jc w:val="center"/>
      <w:outlineLvl w:val="0"/>
    </w:pPr>
    <w:rPr>
      <w:rFonts w:asciiTheme="majorHAnsi" w:hAnsiTheme="majorHAnsi" w:eastAsiaTheme="majorEastAsia" w:cstheme="majorBidi"/>
      <w:b/>
      <w:bCs/>
      <w:sz w:val="32"/>
      <w:szCs w:val="32"/>
    </w:rPr>
  </w:style>
  <w:style w:type="paragraph" w:styleId="16">
    <w:name w:val="annotation subject"/>
    <w:basedOn w:val="6"/>
    <w:next w:val="6"/>
    <w:link w:val="38"/>
    <w:qFormat/>
    <w:uiPriority w:val="0"/>
    <w:rPr>
      <w:b/>
      <w:bCs/>
    </w:rPr>
  </w:style>
  <w:style w:type="table" w:styleId="18">
    <w:name w:val="Table Grid"/>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22"/>
    <w:rPr>
      <w:b/>
      <w:bCs/>
    </w:rPr>
  </w:style>
  <w:style w:type="character" w:styleId="21">
    <w:name w:val="Hyperlink"/>
    <w:basedOn w:val="19"/>
    <w:qFormat/>
    <w:uiPriority w:val="99"/>
    <w:rPr>
      <w:color w:val="0026E5" w:themeColor="hyperlink"/>
      <w:u w:val="single"/>
      <w14:textFill>
        <w14:solidFill>
          <w14:schemeClr w14:val="hlink"/>
        </w14:solidFill>
      </w14:textFill>
    </w:rPr>
  </w:style>
  <w:style w:type="character" w:styleId="22">
    <w:name w:val="annotation reference"/>
    <w:basedOn w:val="19"/>
    <w:qFormat/>
    <w:uiPriority w:val="0"/>
    <w:rPr>
      <w:sz w:val="21"/>
      <w:szCs w:val="21"/>
    </w:rPr>
  </w:style>
  <w:style w:type="paragraph" w:customStyle="1" w:styleId="23">
    <w:name w:val="EndNote Bibliography"/>
    <w:link w:val="31"/>
    <w:qFormat/>
    <w:uiPriority w:val="0"/>
    <w:pPr>
      <w:jc w:val="both"/>
    </w:pPr>
    <w:rPr>
      <w:rFonts w:ascii="Calibri" w:hAnsi="Calibri" w:eastAsia="宋体" w:cs="Calibri"/>
      <w:kern w:val="2"/>
      <w:szCs w:val="24"/>
      <w:lang w:val="en-US" w:eastAsia="zh-CN" w:bidi="ar-SA"/>
    </w:rPr>
  </w:style>
  <w:style w:type="character" w:customStyle="1" w:styleId="24">
    <w:name w:val="页眉 字符"/>
    <w:basedOn w:val="19"/>
    <w:link w:val="10"/>
    <w:qFormat/>
    <w:uiPriority w:val="0"/>
    <w:rPr>
      <w:kern w:val="2"/>
      <w:sz w:val="18"/>
      <w:szCs w:val="18"/>
    </w:rPr>
  </w:style>
  <w:style w:type="character" w:customStyle="1" w:styleId="25">
    <w:name w:val="页脚 字符"/>
    <w:basedOn w:val="19"/>
    <w:link w:val="9"/>
    <w:qFormat/>
    <w:uiPriority w:val="0"/>
    <w:rPr>
      <w:kern w:val="2"/>
      <w:sz w:val="18"/>
      <w:szCs w:val="18"/>
    </w:rPr>
  </w:style>
  <w:style w:type="table" w:customStyle="1" w:styleId="26">
    <w:name w:val="样式1"/>
    <w:basedOn w:val="17"/>
    <w:qFormat/>
    <w:uiPriority w:val="99"/>
    <w:tblPr>
      <w:tblBorders>
        <w:top w:val="single" w:color="auto" w:sz="4" w:space="0"/>
        <w:bottom w:val="single" w:color="auto" w:sz="4" w:space="0"/>
      </w:tblBorders>
    </w:tblPr>
    <w:tblStylePr w:type="firstRow">
      <w:tcPr>
        <w:tcBorders>
          <w:bottom w:val="single" w:color="auto" w:sz="4" w:space="0"/>
        </w:tcBorders>
      </w:tcPr>
    </w:tblStylePr>
  </w:style>
  <w:style w:type="character" w:styleId="27">
    <w:name w:val="Placeholder Text"/>
    <w:basedOn w:val="19"/>
    <w:unhideWhenUsed/>
    <w:qFormat/>
    <w:uiPriority w:val="99"/>
    <w:rPr>
      <w:color w:val="666666"/>
    </w:rPr>
  </w:style>
  <w:style w:type="paragraph" w:styleId="28">
    <w:name w:val="List Paragraph"/>
    <w:basedOn w:val="1"/>
    <w:unhideWhenUsed/>
    <w:qFormat/>
    <w:uiPriority w:val="99"/>
    <w:pPr>
      <w:ind w:firstLine="420" w:firstLineChars="200"/>
    </w:pPr>
  </w:style>
  <w:style w:type="character" w:customStyle="1" w:styleId="29">
    <w:name w:val="标题 字符"/>
    <w:basedOn w:val="19"/>
    <w:link w:val="15"/>
    <w:qFormat/>
    <w:uiPriority w:val="0"/>
    <w:rPr>
      <w:rFonts w:asciiTheme="majorHAnsi" w:hAnsiTheme="majorHAnsi" w:eastAsiaTheme="majorEastAsia" w:cstheme="majorBidi"/>
      <w:b/>
      <w:bCs/>
      <w:kern w:val="2"/>
      <w:sz w:val="32"/>
      <w:szCs w:val="32"/>
    </w:rPr>
  </w:style>
  <w:style w:type="paragraph" w:customStyle="1" w:styleId="30">
    <w:name w:val="EndNote Bibliography Title"/>
    <w:basedOn w:val="1"/>
    <w:link w:val="32"/>
    <w:qFormat/>
    <w:uiPriority w:val="0"/>
    <w:pPr>
      <w:jc w:val="center"/>
    </w:pPr>
    <w:rPr>
      <w:rFonts w:ascii="Calibri" w:hAnsi="Calibri" w:cs="Calibri"/>
      <w:sz w:val="20"/>
    </w:rPr>
  </w:style>
  <w:style w:type="character" w:customStyle="1" w:styleId="31">
    <w:name w:val="EndNote Bibliography 字符"/>
    <w:basedOn w:val="19"/>
    <w:link w:val="23"/>
    <w:qFormat/>
    <w:uiPriority w:val="0"/>
    <w:rPr>
      <w:rFonts w:ascii="Calibri" w:hAnsi="Calibri" w:eastAsia="宋体" w:cs="Calibri"/>
      <w:kern w:val="2"/>
      <w:szCs w:val="24"/>
    </w:rPr>
  </w:style>
  <w:style w:type="character" w:customStyle="1" w:styleId="32">
    <w:name w:val="EndNote Bibliography Title 字符"/>
    <w:basedOn w:val="31"/>
    <w:link w:val="30"/>
    <w:qFormat/>
    <w:uiPriority w:val="0"/>
    <w:rPr>
      <w:rFonts w:ascii="Calibri" w:hAnsi="Calibri" w:eastAsia="宋体" w:cs="Calibri"/>
      <w:kern w:val="2"/>
      <w:szCs w:val="24"/>
    </w:rPr>
  </w:style>
  <w:style w:type="character" w:customStyle="1" w:styleId="33">
    <w:name w:val="未处理的提及1"/>
    <w:basedOn w:val="19"/>
    <w:semiHidden/>
    <w:unhideWhenUsed/>
    <w:qFormat/>
    <w:uiPriority w:val="99"/>
    <w:rPr>
      <w:color w:val="605E5C"/>
      <w:shd w:val="clear" w:color="auto" w:fill="E1DFDD"/>
    </w:rPr>
  </w:style>
  <w:style w:type="character" w:customStyle="1" w:styleId="34">
    <w:name w:val="标题 1 字符"/>
    <w:basedOn w:val="19"/>
    <w:link w:val="2"/>
    <w:qFormat/>
    <w:uiPriority w:val="0"/>
    <w:rPr>
      <w:b/>
      <w:bCs/>
      <w:kern w:val="44"/>
      <w:sz w:val="44"/>
      <w:szCs w:val="44"/>
    </w:rPr>
  </w:style>
  <w:style w:type="character" w:customStyle="1" w:styleId="35">
    <w:name w:val="标题 2 字符"/>
    <w:basedOn w:val="19"/>
    <w:link w:val="3"/>
    <w:qFormat/>
    <w:uiPriority w:val="0"/>
    <w:rPr>
      <w:rFonts w:asciiTheme="majorHAnsi" w:hAnsiTheme="majorHAnsi" w:eastAsiaTheme="majorEastAsia" w:cstheme="majorBidi"/>
      <w:b/>
      <w:bCs/>
      <w:kern w:val="2"/>
      <w:sz w:val="32"/>
      <w:szCs w:val="32"/>
    </w:rPr>
  </w:style>
  <w:style w:type="character" w:customStyle="1" w:styleId="36">
    <w:name w:val="标题 3 字符"/>
    <w:basedOn w:val="19"/>
    <w:link w:val="4"/>
    <w:qFormat/>
    <w:uiPriority w:val="0"/>
    <w:rPr>
      <w:b/>
      <w:bCs/>
      <w:kern w:val="2"/>
      <w:sz w:val="32"/>
      <w:szCs w:val="32"/>
    </w:rPr>
  </w:style>
  <w:style w:type="character" w:customStyle="1" w:styleId="37">
    <w:name w:val="批注文字 字符"/>
    <w:basedOn w:val="19"/>
    <w:link w:val="6"/>
    <w:qFormat/>
    <w:uiPriority w:val="0"/>
    <w:rPr>
      <w:kern w:val="2"/>
      <w:sz w:val="21"/>
      <w:szCs w:val="24"/>
    </w:rPr>
  </w:style>
  <w:style w:type="character" w:customStyle="1" w:styleId="38">
    <w:name w:val="批注主题 字符"/>
    <w:basedOn w:val="37"/>
    <w:link w:val="16"/>
    <w:qFormat/>
    <w:uiPriority w:val="0"/>
    <w:rPr>
      <w:b/>
      <w:bCs/>
      <w:kern w:val="2"/>
      <w:sz w:val="21"/>
      <w:szCs w:val="24"/>
    </w:rPr>
  </w:style>
  <w:style w:type="paragraph" w:customStyle="1" w:styleId="39">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40">
    <w:name w:val="日期 字符"/>
    <w:basedOn w:val="19"/>
    <w:link w:val="8"/>
    <w:qFormat/>
    <w:uiPriority w:val="0"/>
    <w:rPr>
      <w:kern w:val="2"/>
      <w:sz w:val="21"/>
      <w:szCs w:val="24"/>
    </w:rPr>
  </w:style>
  <w:style w:type="paragraph" w:customStyle="1" w:styleId="41">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42">
    <w:name w:val="修订3"/>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43">
    <w:name w:val="书目1"/>
    <w:basedOn w:val="1"/>
    <w:next w:val="1"/>
    <w:unhideWhenUsed/>
    <w:qFormat/>
    <w:uiPriority w:val="37"/>
    <w:pPr>
      <w:tabs>
        <w:tab w:val="left" w:pos="384"/>
      </w:tabs>
      <w:spacing w:after="240"/>
      <w:ind w:left="384" w:hanging="384"/>
    </w:pPr>
  </w:style>
  <w:style w:type="paragraph" w:customStyle="1" w:styleId="44">
    <w:name w:val="书目2"/>
    <w:basedOn w:val="1"/>
    <w:next w:val="1"/>
    <w:unhideWhenUsed/>
    <w:qFormat/>
    <w:uiPriority w:val="37"/>
    <w:pPr>
      <w:tabs>
        <w:tab w:val="left" w:pos="504"/>
      </w:tabs>
      <w:wordWrap w:val="0"/>
      <w:snapToGrid w:val="0"/>
      <w:ind w:left="200" w:hanging="200" w:hangingChars="200"/>
      <w:jc w:val="left"/>
    </w:pPr>
  </w:style>
  <w:style w:type="paragraph" w:customStyle="1" w:styleId="45">
    <w:name w:val="书目3"/>
    <w:basedOn w:val="1"/>
    <w:next w:val="1"/>
    <w:unhideWhenUsed/>
    <w:qFormat/>
    <w:uiPriority w:val="37"/>
  </w:style>
  <w:style w:type="table" w:customStyle="1" w:styleId="46">
    <w:name w:val="网格型浅色1"/>
    <w:basedOn w:val="1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83B3FD-2CC0-4D53-9C19-3B15153EB4BB}">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120</Words>
  <Characters>123</Characters>
  <Lines>1687</Lines>
  <Paragraphs>1602</Paragraphs>
  <TotalTime>1</TotalTime>
  <ScaleCrop>false</ScaleCrop>
  <LinksUpToDate>false</LinksUpToDate>
  <CharactersWithSpaces>128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2026-05-02T08:16:00Z</dcterms:created>
  <dc:creator>29549</dc:creator>
  <cp:lastModifiedBy>WPS_1660219602</cp:lastModifiedBy>
  <cp:lastPrinted>2026-04-27T02:41:00Z</cp:lastPrinted>
  <dcterms:modified xsi:type="dcterms:W3CDTF">2026-05-10T08:08:26Z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8D3F7DF6F3514890BDEB33E5DAD679DB_13</vt:lpwstr>
  </property>
  <property fmtid="{D5CDD505-2E9C-101B-9397-08002B2CF9AE}" pid="4" name="KSOTemplateDocerSaveRecord">
    <vt:lpwstr>eyJoZGlkIjoiMTIzMTRkYTQwZDhiMjljMjg5ZTM4NDc3OGEzMDI1YjMiLCJ1c2VySWQiOiIxMzkzMDI4NDg1In0=</vt:lpwstr>
  </property>
  <property fmtid="{D5CDD505-2E9C-101B-9397-08002B2CF9AE}" pid="5" name="ZOTERO_PREF_1">
    <vt:lpwstr>&lt;data data-version="3" zotero-version="9.0.2"&gt;&lt;session id="rXiZrSlW"/&gt;&lt;style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ies>
</file>