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0F6E6E"/>
          <w:sz w:val="24"/>
          <w:szCs w:val="24"/>
        </w:rPr>
        <w:t xml:space="preserve">CYBERSECURITY INTERNSHIP PROGRAM</w:t>
      </w:r>
    </w:p>
    <w:p>
      <w:pPr>
        <w:spacing w:before="200"/>
        <w:jc w:val="center"/>
      </w:pPr>
      <w:r>
        <w:rPr>
          <w:rFonts w:ascii="Calibri" w:cs="Calibri" w:eastAsia="Calibri" w:hAnsi="Calibri"/>
          <w:b/>
          <w:bCs/>
          <w:color w:val="1F3864"/>
          <w:sz w:val="72"/>
          <w:szCs w:val="72"/>
        </w:rPr>
        <w:t xml:space="preserve">DAY 6</w:t>
      </w:r>
    </w:p>
    <w:p>
      <w:pPr>
        <w:spacing w:after="400" w:before="100"/>
        <w:jc w:val="center"/>
      </w:pPr>
      <w:r>
        <w:rPr>
          <w:rFonts w:ascii="Calibri" w:cs="Calibri" w:eastAsia="Calibri" w:hAnsi="Calibri"/>
          <w:b/>
          <w:bCs/>
          <w:color w:val="C55A11"/>
          <w:sz w:val="44"/>
          <w:szCs w:val="44"/>
        </w:rPr>
        <w:t xml:space="preserve">OSINT &amp; Reconnaissance</w:t>
      </w:r>
    </w:p>
    <w:p>
      <w:pPr>
        <w:spacing w:after="800"/>
        <w:jc w:val="center"/>
      </w:pPr>
      <w:r>
        <w:rPr>
          <w:rFonts w:ascii="Calibri" w:cs="Calibri" w:eastAsia="Calibri" w:hAnsi="Calibri"/>
          <w:i/>
          <w:iCs/>
          <w:color w:val="404040"/>
          <w:sz w:val="26"/>
          <w:szCs w:val="26"/>
        </w:rPr>
        <w:t xml:space="preserve">Passive &amp; Active Reconnaissance Methodology</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shd w:fill="E4F2F1" w:val="clear"/>
            <w:tcMar>
              <w:top w:type="dxa" w:w="200"/>
              <w:left w:type="dxa" w:w="300"/>
              <w:bottom w:type="dxa" w:w="200"/>
              <w:right w:type="dxa" w:w="300"/>
            </w:tcMar>
          </w:tcPr>
          <w:p>
            <w:pPr>
              <w:spacing w:after="120"/>
            </w:pPr>
            <w:r>
              <w:rPr>
                <w:rFonts w:ascii="Calibri" w:cs="Calibri" w:eastAsia="Calibri" w:hAnsi="Calibri"/>
                <w:b/>
                <w:bCs/>
                <w:color w:val="1F3864"/>
                <w:sz w:val="24"/>
                <w:szCs w:val="24"/>
              </w:rPr>
              <w:t xml:space="preserve">Today's Focus</w:t>
            </w:r>
          </w:p>
          <w:p>
            <w:pPr>
              <w:spacing w:after="60"/>
            </w:pPr>
            <w:r>
              <w:rPr>
                <w:rFonts w:ascii="Calibri" w:cs="Calibri" w:eastAsia="Calibri" w:hAnsi="Calibri"/>
                <w:color w:val="404040"/>
                <w:sz w:val="21"/>
                <w:szCs w:val="21"/>
              </w:rPr>
              <w:t xml:space="preserve">Theory:  Passive vs. active reconnaissance methodology</w:t>
            </w:r>
          </w:p>
          <w:p>
            <w:pPr>
              <w:spacing w:after="60"/>
            </w:pPr>
            <w:r>
              <w:rPr>
                <w:rFonts w:ascii="Calibri" w:cs="Calibri" w:eastAsia="Calibri" w:hAnsi="Calibri"/>
                <w:color w:val="404040"/>
                <w:sz w:val="21"/>
                <w:szCs w:val="21"/>
              </w:rPr>
              <w:t xml:space="preserve">Hands-on:  WHOIS · nslookup · Shodan · theHarvester</w:t>
            </w:r>
          </w:p>
          <w:p>
            <w:r>
              <w:rPr>
                <w:rFonts w:ascii="Calibri" w:cs="Calibri" w:eastAsia="Calibri" w:hAnsi="Calibri"/>
                <w:color w:val="404040"/>
                <w:sz w:val="21"/>
                <w:szCs w:val="21"/>
              </w:rPr>
              <w:t xml:space="preserve">Challenge:  ThunderCipher OSINT Challenge</w:t>
            </w:r>
          </w:p>
        </w:tc>
      </w:tr>
    </w:tbl>
    <w:p>
      <w:r>
        <w:br w:type="page"/>
      </w:r>
    </w:p>
    <w:p>
      <w:pPr>
        <w:pStyle w:val="Heading1"/>
        <w:pBdr>
          <w:bottom w:val="single" w:color="1F3864" w:sz="12" w:space="4"/>
        </w:pBdr>
        <w:spacing w:after="200" w:before="400"/>
      </w:pPr>
      <w:r>
        <w:rPr>
          <w:rFonts w:ascii="Calibri" w:cs="Calibri" w:eastAsia="Calibri" w:hAnsi="Calibri"/>
          <w:b/>
          <w:bCs/>
          <w:color w:val="1F3864"/>
          <w:sz w:val="32"/>
          <w:szCs w:val="32"/>
        </w:rPr>
        <w:t xml:space="preserve">Session Overview</w:t>
      </w:r>
    </w:p>
    <w:p>
      <w:pPr>
        <w:spacing w:after="120"/>
      </w:pPr>
      <w:r>
        <w:rPr>
          <w:rFonts w:ascii="Calibri" w:cs="Calibri" w:eastAsia="Calibri" w:hAnsi="Calibri"/>
          <w:color w:val="404040"/>
          <w:sz w:val="22"/>
          <w:szCs w:val="22"/>
        </w:rPr>
        <w:t xml:space="preserve">OSINT (Open-Source Intelligence) is the first phase of nearly every real-world security engagement — penetration tests, red team operations, bug bounty hunting, and even incident response all begin by mapping what information about a target is already public. Day 6 builds the reconnaissance foundation that every later offensive-security module depends 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4F2F1" w:sz="2"/>
              <w:left w:val="single" w:color="0F6E6E" w:sz="24"/>
              <w:bottom w:val="single" w:color="E4F2F1" w:sz="2"/>
              <w:right w:val="single" w:color="E4F2F1" w:sz="2"/>
            </w:tcBorders>
            <w:shd w:fill="E4F2F1" w:val="clear"/>
            <w:tcMar>
              <w:top w:type="dxa" w:w="120"/>
              <w:left w:type="dxa" w:w="200"/>
              <w:bottom w:type="dxa" w:w="120"/>
              <w:right w:type="dxa" w:w="200"/>
            </w:tcMar>
          </w:tcPr>
          <w:p>
            <w:pPr>
              <w:spacing w:after="60"/>
            </w:pPr>
            <w:r>
              <w:rPr>
                <w:rFonts w:ascii="Calibri" w:cs="Calibri" w:eastAsia="Calibri" w:hAnsi="Calibri"/>
                <w:b/>
                <w:bCs/>
                <w:color w:val="0F6E6E"/>
                <w:sz w:val="22"/>
                <w:szCs w:val="22"/>
              </w:rPr>
              <w:t xml:space="preserve">Learning Outcomes</w:t>
            </w:r>
          </w:p>
          <w:p>
            <w:pPr>
              <w:spacing w:after="40"/>
            </w:pPr>
            <w:r>
              <w:rPr>
                <w:rFonts w:ascii="Calibri" w:cs="Calibri" w:eastAsia="Calibri" w:hAnsi="Calibri"/>
                <w:color w:val="404040"/>
                <w:sz w:val="21"/>
                <w:szCs w:val="21"/>
              </w:rPr>
              <w:t xml:space="preserve">Distinguish passive recon from active recon and know when each is appropriate/legal.</w:t>
            </w:r>
          </w:p>
          <w:p>
            <w:pPr>
              <w:spacing w:after="40"/>
            </w:pPr>
            <w:r>
              <w:rPr>
                <w:rFonts w:ascii="Calibri" w:cs="Calibri" w:eastAsia="Calibri" w:hAnsi="Calibri"/>
                <w:color w:val="404040"/>
                <w:sz w:val="21"/>
                <w:szCs w:val="21"/>
              </w:rPr>
              <w:t xml:space="preserve">Use WHOIS and nslookup to extract domain, registrar, and DNS infrastructure data.</w:t>
            </w:r>
          </w:p>
          <w:p>
            <w:pPr>
              <w:spacing w:after="40"/>
            </w:pPr>
            <w:r>
              <w:rPr>
                <w:rFonts w:ascii="Calibri" w:cs="Calibri" w:eastAsia="Calibri" w:hAnsi="Calibri"/>
                <w:color w:val="404040"/>
                <w:sz w:val="21"/>
                <w:szCs w:val="21"/>
              </w:rPr>
              <w:t xml:space="preserve">Use Shodan to fingerprint internet-facing devices and services.</w:t>
            </w:r>
          </w:p>
          <w:p>
            <w:pPr>
              <w:spacing w:after="40"/>
            </w:pPr>
            <w:r>
              <w:rPr>
                <w:rFonts w:ascii="Calibri" w:cs="Calibri" w:eastAsia="Calibri" w:hAnsi="Calibri"/>
                <w:color w:val="404040"/>
                <w:sz w:val="21"/>
                <w:szCs w:val="21"/>
              </w:rPr>
              <w:t xml:space="preserve">Use theHarvester to enumerate emails, subdomains, and hosts from public sources.</w:t>
            </w:r>
          </w:p>
          <w:p>
            <w:pPr>
              <w:spacing w:after="40"/>
            </w:pPr>
            <w:r>
              <w:rPr>
                <w:rFonts w:ascii="Calibri" w:cs="Calibri" w:eastAsia="Calibri" w:hAnsi="Calibri"/>
                <w:color w:val="404040"/>
                <w:sz w:val="21"/>
                <w:szCs w:val="21"/>
              </w:rPr>
              <w:t xml:space="preserve">Apply all of the above to solve the ThunderCipher OSINT Challenge.</w:t>
            </w:r>
          </w:p>
        </w:tc>
      </w:tr>
    </w:tbl>
    <w:p>
      <w:pPr>
        <w:spacing w:after="100"/>
      </w:pPr>
    </w:p>
    <w:p>
      <w:pPr>
        <w:pStyle w:val="Heading1"/>
        <w:pBdr>
          <w:bottom w:val="single" w:color="1F3864" w:sz="12" w:space="4"/>
        </w:pBdr>
        <w:spacing w:after="200" w:before="400"/>
      </w:pPr>
      <w:r>
        <w:rPr>
          <w:rFonts w:ascii="Calibri" w:cs="Calibri" w:eastAsia="Calibri" w:hAnsi="Calibri"/>
          <w:b/>
          <w:bCs/>
          <w:color w:val="1F3864"/>
          <w:sz w:val="32"/>
          <w:szCs w:val="32"/>
        </w:rPr>
        <w:t xml:space="preserve">Theory: Reconnaissance Methodology</w:t>
      </w:r>
    </w:p>
    <w:p>
      <w:pPr>
        <w:pStyle w:val="Heading2"/>
        <w:spacing w:after="150" w:before="300"/>
      </w:pPr>
      <w:r>
        <w:rPr>
          <w:rFonts w:ascii="Calibri" w:cs="Calibri" w:eastAsia="Calibri" w:hAnsi="Calibri"/>
          <w:b/>
          <w:bCs/>
          <w:color w:val="0F6E6E"/>
          <w:sz w:val="26"/>
          <w:szCs w:val="26"/>
        </w:rPr>
        <w:t xml:space="preserve">1. What Is Reconnaissance?</w:t>
      </w:r>
    </w:p>
    <w:p>
      <w:pPr>
        <w:spacing w:after="120"/>
      </w:pPr>
      <w:r>
        <w:rPr>
          <w:rFonts w:ascii="Calibri" w:cs="Calibri" w:eastAsia="Calibri" w:hAnsi="Calibri"/>
          <w:color w:val="404040"/>
          <w:sz w:val="22"/>
          <w:szCs w:val="22"/>
        </w:rPr>
        <w:t xml:space="preserve">Reconnaissance (recon) is the systematic gathering of information about a target — an organisation, network, domain, or individual — before any exploitation attempt. It maps to the first stage of nearly every attack framework:</w:t>
      </w:r>
    </w:p>
    <w:p>
      <w:pPr>
        <w:pStyle w:val="ListParagraph"/>
        <w:numPr>
          <w:ilvl w:val="0"/>
          <w:numId w:val="2"/>
        </w:numPr>
        <w:spacing w:after="80"/>
      </w:pPr>
      <w:r>
        <w:rPr>
          <w:rFonts w:ascii="Calibri" w:cs="Calibri" w:eastAsia="Calibri" w:hAnsi="Calibri"/>
          <w:color w:val="404040"/>
          <w:sz w:val="22"/>
          <w:szCs w:val="22"/>
        </w:rPr>
        <w:t xml:space="preserve">Cyber Kill Chain → Stage 1: Reconnaissance</w:t>
      </w:r>
    </w:p>
    <w:p>
      <w:pPr>
        <w:pStyle w:val="ListParagraph"/>
        <w:numPr>
          <w:ilvl w:val="0"/>
          <w:numId w:val="2"/>
        </w:numPr>
        <w:spacing w:after="80"/>
      </w:pPr>
      <w:r>
        <w:rPr>
          <w:rFonts w:ascii="Calibri" w:cs="Calibri" w:eastAsia="Calibri" w:hAnsi="Calibri"/>
          <w:color w:val="404040"/>
          <w:sz w:val="22"/>
          <w:szCs w:val="22"/>
        </w:rPr>
        <w:t xml:space="preserve">MITRE ATT&amp;CK → Tactic: Reconnaissance (TA0043)</w:t>
      </w:r>
    </w:p>
    <w:p>
      <w:pPr>
        <w:pStyle w:val="ListParagraph"/>
        <w:numPr>
          <w:ilvl w:val="0"/>
          <w:numId w:val="2"/>
        </w:numPr>
        <w:spacing w:after="80"/>
      </w:pPr>
      <w:r>
        <w:rPr>
          <w:rFonts w:ascii="Calibri" w:cs="Calibri" w:eastAsia="Calibri" w:hAnsi="Calibri"/>
          <w:color w:val="404040"/>
          <w:sz w:val="22"/>
          <w:szCs w:val="22"/>
        </w:rPr>
        <w:t xml:space="preserve">PTES (Penetration Testing Execution Standard) → Intelligence Gathering phase</w:t>
      </w:r>
    </w:p>
    <w:p>
      <w:pPr>
        <w:spacing w:after="80"/>
      </w:pPr>
    </w:p>
    <w:p>
      <w:pPr>
        <w:pStyle w:val="Heading2"/>
        <w:spacing w:after="150" w:before="300"/>
      </w:pPr>
      <w:r>
        <w:rPr>
          <w:rFonts w:ascii="Calibri" w:cs="Calibri" w:eastAsia="Calibri" w:hAnsi="Calibri"/>
          <w:b/>
          <w:bCs/>
          <w:color w:val="0F6E6E"/>
          <w:sz w:val="26"/>
          <w:szCs w:val="26"/>
        </w:rPr>
        <w:t xml:space="preserve">2. Passive Reconnaissance</w:t>
      </w:r>
    </w:p>
    <w:p>
      <w:pPr>
        <w:spacing w:after="120"/>
      </w:pPr>
      <w:r>
        <w:rPr>
          <w:rFonts w:ascii="Calibri" w:cs="Calibri" w:eastAsia="Calibri" w:hAnsi="Calibri"/>
          <w:color w:val="404040"/>
          <w:sz w:val="22"/>
          <w:szCs w:val="22"/>
        </w:rPr>
        <w:t xml:space="preserve">Passive recon collects information without directly interacting with the target's systems — no packets are sent to their infrastructure, so the target cannot detect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Attribute</w:t>
            </w:r>
          </w:p>
        </w:tc>
        <w:tc>
          <w:tcPr>
            <w:tcW w:type="dxa" w:w="6150"/>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Detail</w:t>
            </w:r>
          </w:p>
        </w:tc>
      </w:tr>
      <w:tr>
        <w:tc>
          <w:tcPr>
            <w:tcW w:type="dxa" w:w="3200"/>
            <w:shd w:fill="F2F2F2" w:val="clear"/>
            <w:tcMar>
              <w:top w:type="dxa" w:w="90"/>
              <w:left w:type="dxa" w:w="150"/>
              <w:bottom w:type="dxa" w:w="90"/>
              <w:right w:type="dxa" w:w="150"/>
            </w:tcMar>
          </w:tcPr>
          <w:p>
            <w:r>
              <w:rPr>
                <w:rFonts w:ascii="Consolas" w:cs="Consolas" w:eastAsia="Consolas" w:hAnsi="Consolas"/>
                <w:b/>
                <w:bCs/>
                <w:color w:val="0F6E6E"/>
                <w:sz w:val="20"/>
                <w:szCs w:val="20"/>
              </w:rPr>
              <w:t xml:space="preserve">Detectability</w:t>
            </w:r>
          </w:p>
        </w:tc>
        <w:tc>
          <w:tcPr>
            <w:tcW w:type="dxa" w:w="6150"/>
            <w:shd w:fill="F2F2F2" w:val="clear"/>
            <w:tcMar>
              <w:top w:type="dxa" w:w="90"/>
              <w:left w:type="dxa" w:w="150"/>
              <w:bottom w:type="dxa" w:w="90"/>
              <w:right w:type="dxa" w:w="150"/>
            </w:tcMar>
          </w:tcPr>
          <w:p>
            <w:r>
              <w:rPr>
                <w:rFonts w:ascii="Calibri" w:cs="Calibri" w:eastAsia="Calibri" w:hAnsi="Calibri"/>
                <w:color w:val="404040"/>
                <w:sz w:val="20"/>
                <w:szCs w:val="20"/>
              </w:rPr>
              <w:t xml:space="preserve">Invisible to the target — no logs generated on their side</w:t>
            </w:r>
          </w:p>
        </w:tc>
      </w:tr>
      <w:tr>
        <w:tc>
          <w:tcPr>
            <w:tcW w:type="dxa" w:w="3200"/>
            <w:shd w:fill="FFFFFF" w:val="clear"/>
            <w:tcMar>
              <w:top w:type="dxa" w:w="90"/>
              <w:left w:type="dxa" w:w="150"/>
              <w:bottom w:type="dxa" w:w="90"/>
              <w:right w:type="dxa" w:w="150"/>
            </w:tcMar>
          </w:tcPr>
          <w:p>
            <w:r>
              <w:rPr>
                <w:rFonts w:ascii="Consolas" w:cs="Consolas" w:eastAsia="Consolas" w:hAnsi="Consolas"/>
                <w:b/>
                <w:bCs/>
                <w:color w:val="0F6E6E"/>
                <w:sz w:val="20"/>
                <w:szCs w:val="20"/>
              </w:rPr>
              <w:t xml:space="preserve">Sources</w:t>
            </w:r>
          </w:p>
        </w:tc>
        <w:tc>
          <w:tcPr>
            <w:tcW w:type="dxa" w:w="6150"/>
            <w:shd w:fill="FFFFFF" w:val="clear"/>
            <w:tcMar>
              <w:top w:type="dxa" w:w="90"/>
              <w:left w:type="dxa" w:w="150"/>
              <w:bottom w:type="dxa" w:w="90"/>
              <w:right w:type="dxa" w:w="150"/>
            </w:tcMar>
          </w:tcPr>
          <w:p>
            <w:r>
              <w:rPr>
                <w:rFonts w:ascii="Calibri" w:cs="Calibri" w:eastAsia="Calibri" w:hAnsi="Calibri"/>
                <w:color w:val="404040"/>
                <w:sz w:val="20"/>
                <w:szCs w:val="20"/>
              </w:rPr>
              <w:t xml:space="preserve">WHOIS records, DNS history, search engines, social media, job postings, Shodan/Censys, code repositories, breach databases</w:t>
            </w:r>
          </w:p>
        </w:tc>
      </w:tr>
      <w:tr>
        <w:tc>
          <w:tcPr>
            <w:tcW w:type="dxa" w:w="3200"/>
            <w:shd w:fill="F2F2F2" w:val="clear"/>
            <w:tcMar>
              <w:top w:type="dxa" w:w="90"/>
              <w:left w:type="dxa" w:w="150"/>
              <w:bottom w:type="dxa" w:w="90"/>
              <w:right w:type="dxa" w:w="150"/>
            </w:tcMar>
          </w:tcPr>
          <w:p>
            <w:r>
              <w:rPr>
                <w:rFonts w:ascii="Consolas" w:cs="Consolas" w:eastAsia="Consolas" w:hAnsi="Consolas"/>
                <w:b/>
                <w:bCs/>
                <w:color w:val="0F6E6E"/>
                <w:sz w:val="20"/>
                <w:szCs w:val="20"/>
              </w:rPr>
              <w:t xml:space="preserve">Risk</w:t>
            </w:r>
          </w:p>
        </w:tc>
        <w:tc>
          <w:tcPr>
            <w:tcW w:type="dxa" w:w="6150"/>
            <w:shd w:fill="F2F2F2" w:val="clear"/>
            <w:tcMar>
              <w:top w:type="dxa" w:w="90"/>
              <w:left w:type="dxa" w:w="150"/>
              <w:bottom w:type="dxa" w:w="90"/>
              <w:right w:type="dxa" w:w="150"/>
            </w:tcMar>
          </w:tcPr>
          <w:p>
            <w:r>
              <w:rPr>
                <w:rFonts w:ascii="Calibri" w:cs="Calibri" w:eastAsia="Calibri" w:hAnsi="Calibri"/>
                <w:color w:val="404040"/>
                <w:sz w:val="20"/>
                <w:szCs w:val="20"/>
              </w:rPr>
              <w:t xml:space="preserve">Very low — legally and operationally safe in almost all contexts</w:t>
            </w:r>
          </w:p>
        </w:tc>
      </w:tr>
      <w:tr>
        <w:tc>
          <w:tcPr>
            <w:tcW w:type="dxa" w:w="3200"/>
            <w:shd w:fill="FFFFFF" w:val="clear"/>
            <w:tcMar>
              <w:top w:type="dxa" w:w="90"/>
              <w:left w:type="dxa" w:w="150"/>
              <w:bottom w:type="dxa" w:w="90"/>
              <w:right w:type="dxa" w:w="150"/>
            </w:tcMar>
          </w:tcPr>
          <w:p>
            <w:r>
              <w:rPr>
                <w:rFonts w:ascii="Consolas" w:cs="Consolas" w:eastAsia="Consolas" w:hAnsi="Consolas"/>
                <w:b/>
                <w:bCs/>
                <w:color w:val="0F6E6E"/>
                <w:sz w:val="20"/>
                <w:szCs w:val="20"/>
              </w:rPr>
              <w:t xml:space="preserve">Typical output</w:t>
            </w:r>
          </w:p>
        </w:tc>
        <w:tc>
          <w:tcPr>
            <w:tcW w:type="dxa" w:w="6150"/>
            <w:shd w:fill="FFFFFF" w:val="clear"/>
            <w:tcMar>
              <w:top w:type="dxa" w:w="90"/>
              <w:left w:type="dxa" w:w="150"/>
              <w:bottom w:type="dxa" w:w="90"/>
              <w:right w:type="dxa" w:w="150"/>
            </w:tcMar>
          </w:tcPr>
          <w:p>
            <w:r>
              <w:rPr>
                <w:rFonts w:ascii="Calibri" w:cs="Calibri" w:eastAsia="Calibri" w:hAnsi="Calibri"/>
                <w:color w:val="404040"/>
                <w:sz w:val="20"/>
                <w:szCs w:val="20"/>
              </w:rPr>
              <w:t xml:space="preserve">Domains, subdomains, emails, employee names, technology stack, leaked credentials</w:t>
            </w:r>
          </w:p>
        </w:tc>
      </w:tr>
    </w:tbl>
    <w:p>
      <w:pPr>
        <w:spacing w:after="80"/>
      </w:pPr>
    </w:p>
    <w:p>
      <w:pPr>
        <w:pStyle w:val="Heading2"/>
        <w:spacing w:after="150" w:before="300"/>
      </w:pPr>
      <w:r>
        <w:rPr>
          <w:rFonts w:ascii="Calibri" w:cs="Calibri" w:eastAsia="Calibri" w:hAnsi="Calibri"/>
          <w:b/>
          <w:bCs/>
          <w:color w:val="0F6E6E"/>
          <w:sz w:val="26"/>
          <w:szCs w:val="26"/>
        </w:rPr>
        <w:t xml:space="preserve">3. Active Reconnaissance</w:t>
      </w:r>
    </w:p>
    <w:p>
      <w:pPr>
        <w:spacing w:after="120"/>
      </w:pPr>
      <w:r>
        <w:rPr>
          <w:rFonts w:ascii="Calibri" w:cs="Calibri" w:eastAsia="Calibri" w:hAnsi="Calibri"/>
          <w:color w:val="404040"/>
          <w:sz w:val="22"/>
          <w:szCs w:val="22"/>
        </w:rPr>
        <w:t xml:space="preserve">Active recon involves direct interaction with the target's systems — sending packets, requests, or queries that the target's infrastructure will log.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Attribute</w:t>
            </w:r>
          </w:p>
        </w:tc>
        <w:tc>
          <w:tcPr>
            <w:tcW w:type="dxa" w:w="6150"/>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Detail</w:t>
            </w:r>
          </w:p>
        </w:tc>
      </w:tr>
      <w:tr>
        <w:tc>
          <w:tcPr>
            <w:tcW w:type="dxa" w:w="3200"/>
            <w:shd w:fill="F2F2F2" w:val="clear"/>
            <w:tcMar>
              <w:top w:type="dxa" w:w="90"/>
              <w:left w:type="dxa" w:w="150"/>
              <w:bottom w:type="dxa" w:w="90"/>
              <w:right w:type="dxa" w:w="150"/>
            </w:tcMar>
          </w:tcPr>
          <w:p>
            <w:r>
              <w:rPr>
                <w:rFonts w:ascii="Consolas" w:cs="Consolas" w:eastAsia="Consolas" w:hAnsi="Consolas"/>
                <w:b/>
                <w:bCs/>
                <w:color w:val="0F6E6E"/>
                <w:sz w:val="20"/>
                <w:szCs w:val="20"/>
              </w:rPr>
              <w:t xml:space="preserve">Detectability</w:t>
            </w:r>
          </w:p>
        </w:tc>
        <w:tc>
          <w:tcPr>
            <w:tcW w:type="dxa" w:w="6150"/>
            <w:shd w:fill="F2F2F2" w:val="clear"/>
            <w:tcMar>
              <w:top w:type="dxa" w:w="90"/>
              <w:left w:type="dxa" w:w="150"/>
              <w:bottom w:type="dxa" w:w="90"/>
              <w:right w:type="dxa" w:w="150"/>
            </w:tcMar>
          </w:tcPr>
          <w:p>
            <w:r>
              <w:rPr>
                <w:rFonts w:ascii="Calibri" w:cs="Calibri" w:eastAsia="Calibri" w:hAnsi="Calibri"/>
                <w:color w:val="404040"/>
                <w:sz w:val="20"/>
                <w:szCs w:val="20"/>
              </w:rPr>
              <w:t xml:space="preserve">Visible in firewall/IDS logs — can trigger alerts</w:t>
            </w:r>
          </w:p>
        </w:tc>
      </w:tr>
      <w:tr>
        <w:tc>
          <w:tcPr>
            <w:tcW w:type="dxa" w:w="3200"/>
            <w:shd w:fill="FFFFFF" w:val="clear"/>
            <w:tcMar>
              <w:top w:type="dxa" w:w="90"/>
              <w:left w:type="dxa" w:w="150"/>
              <w:bottom w:type="dxa" w:w="90"/>
              <w:right w:type="dxa" w:w="150"/>
            </w:tcMar>
          </w:tcPr>
          <w:p>
            <w:r>
              <w:rPr>
                <w:rFonts w:ascii="Consolas" w:cs="Consolas" w:eastAsia="Consolas" w:hAnsi="Consolas"/>
                <w:b/>
                <w:bCs/>
                <w:color w:val="0F6E6E"/>
                <w:sz w:val="20"/>
                <w:szCs w:val="20"/>
              </w:rPr>
              <w:t xml:space="preserve">Sources</w:t>
            </w:r>
          </w:p>
        </w:tc>
        <w:tc>
          <w:tcPr>
            <w:tcW w:type="dxa" w:w="6150"/>
            <w:shd w:fill="FFFFFF" w:val="clear"/>
            <w:tcMar>
              <w:top w:type="dxa" w:w="90"/>
              <w:left w:type="dxa" w:w="150"/>
              <w:bottom w:type="dxa" w:w="90"/>
              <w:right w:type="dxa" w:w="150"/>
            </w:tcMar>
          </w:tcPr>
          <w:p>
            <w:r>
              <w:rPr>
                <w:rFonts w:ascii="Calibri" w:cs="Calibri" w:eastAsia="Calibri" w:hAnsi="Calibri"/>
                <w:color w:val="404040"/>
                <w:sz w:val="20"/>
                <w:szCs w:val="20"/>
              </w:rPr>
              <w:t xml:space="preserve">Port scanning (Nmap), banner grabbing, DNS zone transfer attempts, live service probing</w:t>
            </w:r>
          </w:p>
        </w:tc>
      </w:tr>
      <w:tr>
        <w:tc>
          <w:tcPr>
            <w:tcW w:type="dxa" w:w="3200"/>
            <w:shd w:fill="F2F2F2" w:val="clear"/>
            <w:tcMar>
              <w:top w:type="dxa" w:w="90"/>
              <w:left w:type="dxa" w:w="150"/>
              <w:bottom w:type="dxa" w:w="90"/>
              <w:right w:type="dxa" w:w="150"/>
            </w:tcMar>
          </w:tcPr>
          <w:p>
            <w:r>
              <w:rPr>
                <w:rFonts w:ascii="Consolas" w:cs="Consolas" w:eastAsia="Consolas" w:hAnsi="Consolas"/>
                <w:b/>
                <w:bCs/>
                <w:color w:val="0F6E6E"/>
                <w:sz w:val="20"/>
                <w:szCs w:val="20"/>
              </w:rPr>
              <w:t xml:space="preserve">Risk</w:t>
            </w:r>
          </w:p>
        </w:tc>
        <w:tc>
          <w:tcPr>
            <w:tcW w:type="dxa" w:w="6150"/>
            <w:shd w:fill="F2F2F2" w:val="clear"/>
            <w:tcMar>
              <w:top w:type="dxa" w:w="90"/>
              <w:left w:type="dxa" w:w="150"/>
              <w:bottom w:type="dxa" w:w="90"/>
              <w:right w:type="dxa" w:w="150"/>
            </w:tcMar>
          </w:tcPr>
          <w:p>
            <w:r>
              <w:rPr>
                <w:rFonts w:ascii="Calibri" w:cs="Calibri" w:eastAsia="Calibri" w:hAnsi="Calibri"/>
                <w:color w:val="404040"/>
                <w:sz w:val="20"/>
                <w:szCs w:val="20"/>
              </w:rPr>
              <w:t xml:space="preserve">Higher — requires explicit written authorization (scope of engagement)</w:t>
            </w:r>
          </w:p>
        </w:tc>
      </w:tr>
      <w:tr>
        <w:tc>
          <w:tcPr>
            <w:tcW w:type="dxa" w:w="3200"/>
            <w:shd w:fill="FFFFFF" w:val="clear"/>
            <w:tcMar>
              <w:top w:type="dxa" w:w="90"/>
              <w:left w:type="dxa" w:w="150"/>
              <w:bottom w:type="dxa" w:w="90"/>
              <w:right w:type="dxa" w:w="150"/>
            </w:tcMar>
          </w:tcPr>
          <w:p>
            <w:r>
              <w:rPr>
                <w:rFonts w:ascii="Consolas" w:cs="Consolas" w:eastAsia="Consolas" w:hAnsi="Consolas"/>
                <w:b/>
                <w:bCs/>
                <w:color w:val="0F6E6E"/>
                <w:sz w:val="20"/>
                <w:szCs w:val="20"/>
              </w:rPr>
              <w:t xml:space="preserve">Typical output</w:t>
            </w:r>
          </w:p>
        </w:tc>
        <w:tc>
          <w:tcPr>
            <w:tcW w:type="dxa" w:w="6150"/>
            <w:shd w:fill="FFFFFF" w:val="clear"/>
            <w:tcMar>
              <w:top w:type="dxa" w:w="90"/>
              <w:left w:type="dxa" w:w="150"/>
              <w:bottom w:type="dxa" w:w="90"/>
              <w:right w:type="dxa" w:w="150"/>
            </w:tcMar>
          </w:tcPr>
          <w:p>
            <w:r>
              <w:rPr>
                <w:rFonts w:ascii="Calibri" w:cs="Calibri" w:eastAsia="Calibri" w:hAnsi="Calibri"/>
                <w:color w:val="404040"/>
                <w:sz w:val="20"/>
                <w:szCs w:val="20"/>
              </w:rPr>
              <w:t xml:space="preserve">Open ports, running services &amp; versions, live hosts, OS fingerprints</w:t>
            </w:r>
          </w:p>
        </w:tc>
      </w:tr>
    </w:tbl>
    <w:p>
      <w:pPr>
        <w:spacing w:after="80"/>
      </w:pPr>
    </w:p>
    <w:p>
      <w:pPr>
        <w:spacing w:after="100" w:before="200"/>
      </w:pPr>
      <w:r>
        <w:rPr>
          <w:rFonts w:ascii="Calibri" w:cs="Calibri" w:eastAsia="Calibri" w:hAnsi="Calibri"/>
          <w:b/>
          <w:bCs/>
          <w:color w:val="C55A11"/>
          <w:sz w:val="22"/>
          <w:szCs w:val="22"/>
        </w:rPr>
        <w:t xml:space="preserve">Passive vs. Active — Quick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Passive</w:t>
            </w:r>
          </w:p>
        </w:tc>
        <w:tc>
          <w:tcPr>
            <w:tcW w:type="dxa" w:w="6150"/>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Active</w:t>
            </w:r>
          </w:p>
        </w:tc>
      </w:tr>
      <w:tr>
        <w:tc>
          <w:tcPr>
            <w:tcW w:type="dxa" w:w="3200"/>
            <w:shd w:fill="F2F2F2" w:val="clear"/>
            <w:tcMar>
              <w:top w:type="dxa" w:w="90"/>
              <w:left w:type="dxa" w:w="150"/>
              <w:bottom w:type="dxa" w:w="90"/>
              <w:right w:type="dxa" w:w="150"/>
            </w:tcMar>
          </w:tcPr>
          <w:p>
            <w:r>
              <w:rPr>
                <w:rFonts w:ascii="Consolas" w:cs="Consolas" w:eastAsia="Consolas" w:hAnsi="Consolas"/>
                <w:b/>
                <w:bCs/>
                <w:color w:val="0F6E6E"/>
                <w:sz w:val="20"/>
                <w:szCs w:val="20"/>
              </w:rPr>
              <w:t xml:space="preserve">No direct contact with target</w:t>
            </w:r>
          </w:p>
        </w:tc>
        <w:tc>
          <w:tcPr>
            <w:tcW w:type="dxa" w:w="6150"/>
            <w:shd w:fill="F2F2F2" w:val="clear"/>
            <w:tcMar>
              <w:top w:type="dxa" w:w="90"/>
              <w:left w:type="dxa" w:w="150"/>
              <w:bottom w:type="dxa" w:w="90"/>
              <w:right w:type="dxa" w:w="150"/>
            </w:tcMar>
          </w:tcPr>
          <w:p>
            <w:r>
              <w:rPr>
                <w:rFonts w:ascii="Calibri" w:cs="Calibri" w:eastAsia="Calibri" w:hAnsi="Calibri"/>
                <w:color w:val="404040"/>
                <w:sz w:val="20"/>
                <w:szCs w:val="20"/>
              </w:rPr>
              <w:t xml:space="preserve">Direct contact with target systems</w:t>
            </w:r>
          </w:p>
        </w:tc>
      </w:tr>
      <w:tr>
        <w:tc>
          <w:tcPr>
            <w:tcW w:type="dxa" w:w="3200"/>
            <w:shd w:fill="FFFFFF" w:val="clear"/>
            <w:tcMar>
              <w:top w:type="dxa" w:w="90"/>
              <w:left w:type="dxa" w:w="150"/>
              <w:bottom w:type="dxa" w:w="90"/>
              <w:right w:type="dxa" w:w="150"/>
            </w:tcMar>
          </w:tcPr>
          <w:p>
            <w:r>
              <w:rPr>
                <w:rFonts w:ascii="Consolas" w:cs="Consolas" w:eastAsia="Consolas" w:hAnsi="Consolas"/>
                <w:b/>
                <w:bCs/>
                <w:color w:val="0F6E6E"/>
                <w:sz w:val="20"/>
                <w:szCs w:val="20"/>
              </w:rPr>
              <w:t xml:space="preserve">Undetectable</w:t>
            </w:r>
          </w:p>
        </w:tc>
        <w:tc>
          <w:tcPr>
            <w:tcW w:type="dxa" w:w="6150"/>
            <w:shd w:fill="FFFFFF" w:val="clear"/>
            <w:tcMar>
              <w:top w:type="dxa" w:w="90"/>
              <w:left w:type="dxa" w:w="150"/>
              <w:bottom w:type="dxa" w:w="90"/>
              <w:right w:type="dxa" w:w="150"/>
            </w:tcMar>
          </w:tcPr>
          <w:p>
            <w:r>
              <w:rPr>
                <w:rFonts w:ascii="Calibri" w:cs="Calibri" w:eastAsia="Calibri" w:hAnsi="Calibri"/>
                <w:color w:val="404040"/>
                <w:sz w:val="20"/>
                <w:szCs w:val="20"/>
              </w:rPr>
              <w:t xml:space="preserve">Detectable / logged</w:t>
            </w:r>
          </w:p>
        </w:tc>
      </w:tr>
      <w:tr>
        <w:tc>
          <w:tcPr>
            <w:tcW w:type="dxa" w:w="3200"/>
            <w:shd w:fill="F2F2F2" w:val="clear"/>
            <w:tcMar>
              <w:top w:type="dxa" w:w="90"/>
              <w:left w:type="dxa" w:w="150"/>
              <w:bottom w:type="dxa" w:w="90"/>
              <w:right w:type="dxa" w:w="150"/>
            </w:tcMar>
          </w:tcPr>
          <w:p>
            <w:r>
              <w:rPr>
                <w:rFonts w:ascii="Consolas" w:cs="Consolas" w:eastAsia="Consolas" w:hAnsi="Consolas"/>
                <w:b/>
                <w:bCs/>
                <w:color w:val="0F6E6E"/>
                <w:sz w:val="20"/>
                <w:szCs w:val="20"/>
              </w:rPr>
              <w:t xml:space="preserve">No authorization strictly required for public data</w:t>
            </w:r>
          </w:p>
        </w:tc>
        <w:tc>
          <w:tcPr>
            <w:tcW w:type="dxa" w:w="6150"/>
            <w:shd w:fill="F2F2F2" w:val="clear"/>
            <w:tcMar>
              <w:top w:type="dxa" w:w="90"/>
              <w:left w:type="dxa" w:w="150"/>
              <w:bottom w:type="dxa" w:w="90"/>
              <w:right w:type="dxa" w:w="150"/>
            </w:tcMar>
          </w:tcPr>
          <w:p>
            <w:r>
              <w:rPr>
                <w:rFonts w:ascii="Calibri" w:cs="Calibri" w:eastAsia="Calibri" w:hAnsi="Calibri"/>
                <w:color w:val="404040"/>
                <w:sz w:val="20"/>
                <w:szCs w:val="20"/>
              </w:rPr>
              <w:t xml:space="preserve">Requires signed authorization / scope</w:t>
            </w:r>
          </w:p>
        </w:tc>
      </w:tr>
      <w:tr>
        <w:tc>
          <w:tcPr>
            <w:tcW w:type="dxa" w:w="3200"/>
            <w:shd w:fill="FFFFFF" w:val="clear"/>
            <w:tcMar>
              <w:top w:type="dxa" w:w="90"/>
              <w:left w:type="dxa" w:w="150"/>
              <w:bottom w:type="dxa" w:w="90"/>
              <w:right w:type="dxa" w:w="150"/>
            </w:tcMar>
          </w:tcPr>
          <w:p>
            <w:r>
              <w:rPr>
                <w:rFonts w:ascii="Consolas" w:cs="Consolas" w:eastAsia="Consolas" w:hAnsi="Consolas"/>
                <w:b/>
                <w:bCs/>
                <w:color w:val="0F6E6E"/>
                <w:sz w:val="20"/>
                <w:szCs w:val="20"/>
              </w:rPr>
              <w:t xml:space="preserve">WHOIS, Shodan, theHarvester, Google dorking</w:t>
            </w:r>
          </w:p>
        </w:tc>
        <w:tc>
          <w:tcPr>
            <w:tcW w:type="dxa" w:w="6150"/>
            <w:shd w:fill="FFFFFF" w:val="clear"/>
            <w:tcMar>
              <w:top w:type="dxa" w:w="90"/>
              <w:left w:type="dxa" w:w="150"/>
              <w:bottom w:type="dxa" w:w="90"/>
              <w:right w:type="dxa" w:w="150"/>
            </w:tcMar>
          </w:tcPr>
          <w:p>
            <w:r>
              <w:rPr>
                <w:rFonts w:ascii="Calibri" w:cs="Calibri" w:eastAsia="Calibri" w:hAnsi="Calibri"/>
                <w:color w:val="404040"/>
                <w:sz w:val="20"/>
                <w:szCs w:val="20"/>
              </w:rPr>
              <w:t xml:space="preserve">Nmap scans, banner grabbing, service probing</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FDEBDC" w:sz="2"/>
              <w:left w:val="single" w:color="C55A11" w:sz="24"/>
              <w:bottom w:val="single" w:color="FDEBDC" w:sz="2"/>
              <w:right w:val="single" w:color="FDEBDC" w:sz="2"/>
            </w:tcBorders>
            <w:shd w:fill="FDEBDC" w:val="clear"/>
            <w:tcMar>
              <w:top w:type="dxa" w:w="120"/>
              <w:left w:type="dxa" w:w="200"/>
              <w:bottom w:type="dxa" w:w="120"/>
              <w:right w:type="dxa" w:w="200"/>
            </w:tcMar>
          </w:tcPr>
          <w:p>
            <w:pPr>
              <w:spacing w:after="60"/>
            </w:pPr>
            <w:r>
              <w:rPr>
                <w:rFonts w:ascii="Calibri" w:cs="Calibri" w:eastAsia="Calibri" w:hAnsi="Calibri"/>
                <w:b/>
                <w:bCs/>
                <w:color w:val="C55A11"/>
                <w:sz w:val="22"/>
                <w:szCs w:val="22"/>
              </w:rPr>
              <w:t xml:space="preserve">Legal &amp; Ethical Note</w:t>
            </w:r>
          </w:p>
          <w:p>
            <w:pPr>
              <w:spacing w:after="40"/>
            </w:pPr>
            <w:r>
              <w:rPr>
                <w:rFonts w:ascii="Calibri" w:cs="Calibri" w:eastAsia="Calibri" w:hAnsi="Calibri"/>
                <w:color w:val="404040"/>
                <w:sz w:val="21"/>
                <w:szCs w:val="21"/>
              </w:rPr>
              <w:t xml:space="preserve">Everything performed today — WHOIS, nslookup, Shodan searches, theHarvester on public sources — is passive and uses information the target has already made public. Active scanning of any system you do not own or have written authorization to test is illegal under laws such as India's IT Act, 2000 (Section 43/66) and equivalent statutes worldwide.</w:t>
            </w:r>
          </w:p>
          <w:p>
            <w:pPr>
              <w:spacing w:after="40"/>
            </w:pPr>
            <w:r>
              <w:rPr>
                <w:rFonts w:ascii="Calibri" w:cs="Calibri" w:eastAsia="Calibri" w:hAnsi="Calibri"/>
                <w:color w:val="404040"/>
                <w:sz w:val="21"/>
                <w:szCs w:val="21"/>
              </w:rPr>
              <w:t xml:space="preserve">The ThunderCipher OSINT Challenge and all lab targets below are designed/authorised practice environments — never point today's tools at production infrastructure you don't own.</w:t>
            </w:r>
          </w:p>
        </w:tc>
      </w:tr>
    </w:tbl>
    <w:p>
      <w:pPr>
        <w:spacing w:after="100"/>
      </w:pPr>
    </w:p>
    <w:p>
      <w:pPr>
        <w:pStyle w:val="Heading2"/>
        <w:spacing w:after="150" w:before="300"/>
      </w:pPr>
      <w:r>
        <w:rPr>
          <w:rFonts w:ascii="Calibri" w:cs="Calibri" w:eastAsia="Calibri" w:hAnsi="Calibri"/>
          <w:b/>
          <w:bCs/>
          <w:color w:val="0F6E6E"/>
          <w:sz w:val="26"/>
          <w:szCs w:val="26"/>
        </w:rPr>
        <w:t xml:space="preserve">4. The OSINT Recon Workflow</w:t>
      </w:r>
    </w:p>
    <w:p>
      <w:pPr>
        <w:pStyle w:val="ListParagraph"/>
        <w:numPr>
          <w:ilvl w:val="0"/>
          <w:numId w:val="3"/>
        </w:numPr>
        <w:spacing w:after="80"/>
      </w:pPr>
      <w:r>
        <w:rPr>
          <w:rFonts w:ascii="Calibri" w:cs="Calibri" w:eastAsia="Calibri" w:hAnsi="Calibri"/>
          <w:color w:val="404040"/>
          <w:sz w:val="22"/>
          <w:szCs w:val="22"/>
        </w:rPr>
        <w:t xml:space="preserve">Footprinting — identify the organisation's domains, subdomains, and IP ranges.</w:t>
      </w:r>
    </w:p>
    <w:p>
      <w:pPr>
        <w:pStyle w:val="ListParagraph"/>
        <w:numPr>
          <w:ilvl w:val="0"/>
          <w:numId w:val="3"/>
        </w:numPr>
        <w:spacing w:after="80"/>
      </w:pPr>
      <w:r>
        <w:rPr>
          <w:rFonts w:ascii="Calibri" w:cs="Calibri" w:eastAsia="Calibri" w:hAnsi="Calibri"/>
          <w:color w:val="404040"/>
          <w:sz w:val="22"/>
          <w:szCs w:val="22"/>
        </w:rPr>
        <w:t xml:space="preserve">Enumeration — pull emails, employee names, and technologies via WHOIS / theHarvester.</w:t>
      </w:r>
    </w:p>
    <w:p>
      <w:pPr>
        <w:pStyle w:val="ListParagraph"/>
        <w:numPr>
          <w:ilvl w:val="0"/>
          <w:numId w:val="3"/>
        </w:numPr>
        <w:spacing w:after="80"/>
      </w:pPr>
      <w:r>
        <w:rPr>
          <w:rFonts w:ascii="Calibri" w:cs="Calibri" w:eastAsia="Calibri" w:hAnsi="Calibri"/>
          <w:color w:val="404040"/>
          <w:sz w:val="22"/>
          <w:szCs w:val="22"/>
        </w:rPr>
        <w:t xml:space="preserve">Infrastructure mapping — identify exposed services and devices via Shodan.</w:t>
      </w:r>
    </w:p>
    <w:p>
      <w:pPr>
        <w:pStyle w:val="ListParagraph"/>
        <w:numPr>
          <w:ilvl w:val="0"/>
          <w:numId w:val="3"/>
        </w:numPr>
        <w:spacing w:after="80"/>
      </w:pPr>
      <w:r>
        <w:rPr>
          <w:rFonts w:ascii="Calibri" w:cs="Calibri" w:eastAsia="Calibri" w:hAnsi="Calibri"/>
          <w:color w:val="404040"/>
          <w:sz w:val="22"/>
          <w:szCs w:val="22"/>
        </w:rPr>
        <w:t xml:space="preserve">DNS analysis — resolve hostnames, mail servers, and name servers via nslookup / dig.</w:t>
      </w:r>
    </w:p>
    <w:p>
      <w:pPr>
        <w:pStyle w:val="ListParagraph"/>
        <w:numPr>
          <w:ilvl w:val="0"/>
          <w:numId w:val="3"/>
        </w:numPr>
        <w:spacing w:after="80"/>
      </w:pPr>
      <w:r>
        <w:rPr>
          <w:rFonts w:ascii="Calibri" w:cs="Calibri" w:eastAsia="Calibri" w:hAnsi="Calibri"/>
          <w:color w:val="404040"/>
          <w:sz w:val="22"/>
          <w:szCs w:val="22"/>
        </w:rPr>
        <w:t xml:space="preserve">Correlation — cross-reference findings to build a target profile (attack surface map).</w:t>
      </w:r>
    </w:p>
    <w:p>
      <w:pPr>
        <w:pStyle w:val="ListParagraph"/>
        <w:numPr>
          <w:ilvl w:val="0"/>
          <w:numId w:val="3"/>
        </w:numPr>
        <w:spacing w:after="80"/>
      </w:pPr>
      <w:r>
        <w:rPr>
          <w:rFonts w:ascii="Calibri" w:cs="Calibri" w:eastAsia="Calibri" w:hAnsi="Calibri"/>
          <w:color w:val="404040"/>
          <w:sz w:val="22"/>
          <w:szCs w:val="22"/>
        </w:rPr>
        <w:t xml:space="preserve">Reporting — document every finding with its source, ready for the next phase (scanning).</w:t>
      </w:r>
    </w:p>
    <w:p>
      <w:pPr>
        <w:spacing w:after="100"/>
      </w:pPr>
    </w:p>
    <w:p>
      <w:pPr>
        <w:pStyle w:val="Heading2"/>
        <w:spacing w:after="150" w:before="300"/>
      </w:pPr>
      <w:r>
        <w:rPr>
          <w:rFonts w:ascii="Calibri" w:cs="Calibri" w:eastAsia="Calibri" w:hAnsi="Calibri"/>
          <w:b/>
          <w:bCs/>
          <w:color w:val="0F6E6E"/>
          <w:sz w:val="26"/>
          <w:szCs w:val="26"/>
        </w:rPr>
        <w:t xml:space="preserve">5. Tool Landscape for Today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Tool</w:t>
            </w:r>
          </w:p>
        </w:tc>
        <w:tc>
          <w:tcPr>
            <w:tcW w:type="dxa" w:w="6150"/>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Purpose</w:t>
            </w:r>
          </w:p>
        </w:tc>
      </w:tr>
      <w:tr>
        <w:tc>
          <w:tcPr>
            <w:tcW w:type="dxa" w:w="3200"/>
            <w:shd w:fill="F2F2F2" w:val="clear"/>
            <w:tcMar>
              <w:top w:type="dxa" w:w="90"/>
              <w:left w:type="dxa" w:w="150"/>
              <w:bottom w:type="dxa" w:w="90"/>
              <w:right w:type="dxa" w:w="150"/>
            </w:tcMar>
          </w:tcPr>
          <w:p>
            <w:r>
              <w:rPr>
                <w:rFonts w:ascii="Consolas" w:cs="Consolas" w:eastAsia="Consolas" w:hAnsi="Consolas"/>
                <w:b/>
                <w:bCs/>
                <w:color w:val="0F6E6E"/>
                <w:sz w:val="20"/>
                <w:szCs w:val="20"/>
              </w:rPr>
              <w:t xml:space="preserve">whois</w:t>
            </w:r>
          </w:p>
        </w:tc>
        <w:tc>
          <w:tcPr>
            <w:tcW w:type="dxa" w:w="6150"/>
            <w:shd w:fill="F2F2F2" w:val="clear"/>
            <w:tcMar>
              <w:top w:type="dxa" w:w="90"/>
              <w:left w:type="dxa" w:w="150"/>
              <w:bottom w:type="dxa" w:w="90"/>
              <w:right w:type="dxa" w:w="150"/>
            </w:tcMar>
          </w:tcPr>
          <w:p>
            <w:r>
              <w:rPr>
                <w:rFonts w:ascii="Calibri" w:cs="Calibri" w:eastAsia="Calibri" w:hAnsi="Calibri"/>
                <w:color w:val="404040"/>
                <w:sz w:val="20"/>
                <w:szCs w:val="20"/>
              </w:rPr>
              <w:t xml:space="preserve">Domain registration data: registrar, owner, dates, name servers</w:t>
            </w:r>
          </w:p>
        </w:tc>
      </w:tr>
      <w:tr>
        <w:tc>
          <w:tcPr>
            <w:tcW w:type="dxa" w:w="3200"/>
            <w:shd w:fill="FFFFFF" w:val="clear"/>
            <w:tcMar>
              <w:top w:type="dxa" w:w="90"/>
              <w:left w:type="dxa" w:w="150"/>
              <w:bottom w:type="dxa" w:w="90"/>
              <w:right w:type="dxa" w:w="150"/>
            </w:tcMar>
          </w:tcPr>
          <w:p>
            <w:r>
              <w:rPr>
                <w:rFonts w:ascii="Consolas" w:cs="Consolas" w:eastAsia="Consolas" w:hAnsi="Consolas"/>
                <w:b/>
                <w:bCs/>
                <w:color w:val="0F6E6E"/>
                <w:sz w:val="20"/>
                <w:szCs w:val="20"/>
              </w:rPr>
              <w:t xml:space="preserve">nslookup</w:t>
            </w:r>
          </w:p>
        </w:tc>
        <w:tc>
          <w:tcPr>
            <w:tcW w:type="dxa" w:w="6150"/>
            <w:shd w:fill="FFFFFF" w:val="clear"/>
            <w:tcMar>
              <w:top w:type="dxa" w:w="90"/>
              <w:left w:type="dxa" w:w="150"/>
              <w:bottom w:type="dxa" w:w="90"/>
              <w:right w:type="dxa" w:w="150"/>
            </w:tcMar>
          </w:tcPr>
          <w:p>
            <w:r>
              <w:rPr>
                <w:rFonts w:ascii="Calibri" w:cs="Calibri" w:eastAsia="Calibri" w:hAnsi="Calibri"/>
                <w:color w:val="404040"/>
                <w:sz w:val="20"/>
                <w:szCs w:val="20"/>
              </w:rPr>
              <w:t xml:space="preserve">DNS resolution: A, MX, NS, TXT records for a domain</w:t>
            </w:r>
          </w:p>
        </w:tc>
      </w:tr>
      <w:tr>
        <w:tc>
          <w:tcPr>
            <w:tcW w:type="dxa" w:w="3200"/>
            <w:shd w:fill="F2F2F2" w:val="clear"/>
            <w:tcMar>
              <w:top w:type="dxa" w:w="90"/>
              <w:left w:type="dxa" w:w="150"/>
              <w:bottom w:type="dxa" w:w="90"/>
              <w:right w:type="dxa" w:w="150"/>
            </w:tcMar>
          </w:tcPr>
          <w:p>
            <w:r>
              <w:rPr>
                <w:rFonts w:ascii="Consolas" w:cs="Consolas" w:eastAsia="Consolas" w:hAnsi="Consolas"/>
                <w:b/>
                <w:bCs/>
                <w:color w:val="0F6E6E"/>
                <w:sz w:val="20"/>
                <w:szCs w:val="20"/>
              </w:rPr>
              <w:t xml:space="preserve">Shodan</w:t>
            </w:r>
          </w:p>
        </w:tc>
        <w:tc>
          <w:tcPr>
            <w:tcW w:type="dxa" w:w="6150"/>
            <w:shd w:fill="F2F2F2" w:val="clear"/>
            <w:tcMar>
              <w:top w:type="dxa" w:w="90"/>
              <w:left w:type="dxa" w:w="150"/>
              <w:bottom w:type="dxa" w:w="90"/>
              <w:right w:type="dxa" w:w="150"/>
            </w:tcMar>
          </w:tcPr>
          <w:p>
            <w:r>
              <w:rPr>
                <w:rFonts w:ascii="Calibri" w:cs="Calibri" w:eastAsia="Calibri" w:hAnsi="Calibri"/>
                <w:color w:val="404040"/>
                <w:sz w:val="20"/>
                <w:szCs w:val="20"/>
              </w:rPr>
              <w:t xml:space="preserve">Search engine for internet-connected devices/services (banners, ports, geo)</w:t>
            </w:r>
          </w:p>
        </w:tc>
      </w:tr>
      <w:tr>
        <w:tc>
          <w:tcPr>
            <w:tcW w:type="dxa" w:w="3200"/>
            <w:shd w:fill="FFFFFF" w:val="clear"/>
            <w:tcMar>
              <w:top w:type="dxa" w:w="90"/>
              <w:left w:type="dxa" w:w="150"/>
              <w:bottom w:type="dxa" w:w="90"/>
              <w:right w:type="dxa" w:w="150"/>
            </w:tcMar>
          </w:tcPr>
          <w:p>
            <w:r>
              <w:rPr>
                <w:rFonts w:ascii="Consolas" w:cs="Consolas" w:eastAsia="Consolas" w:hAnsi="Consolas"/>
                <w:b/>
                <w:bCs/>
                <w:color w:val="0F6E6E"/>
                <w:sz w:val="20"/>
                <w:szCs w:val="20"/>
              </w:rPr>
              <w:t xml:space="preserve">theHarvester</w:t>
            </w:r>
          </w:p>
        </w:tc>
        <w:tc>
          <w:tcPr>
            <w:tcW w:type="dxa" w:w="6150"/>
            <w:shd w:fill="FFFFFF" w:val="clear"/>
            <w:tcMar>
              <w:top w:type="dxa" w:w="90"/>
              <w:left w:type="dxa" w:w="150"/>
              <w:bottom w:type="dxa" w:w="90"/>
              <w:right w:type="dxa" w:w="150"/>
            </w:tcMar>
          </w:tcPr>
          <w:p>
            <w:r>
              <w:rPr>
                <w:rFonts w:ascii="Calibri" w:cs="Calibri" w:eastAsia="Calibri" w:hAnsi="Calibri"/>
                <w:color w:val="404040"/>
                <w:sz w:val="20"/>
                <w:szCs w:val="20"/>
              </w:rPr>
              <w:t xml:space="preserve">Aggregates emails, subdomains, hosts, employee names from public sources</w:t>
            </w:r>
          </w:p>
        </w:tc>
      </w:tr>
    </w:tbl>
    <w:p>
      <w:r>
        <w:br w:type="page"/>
      </w:r>
    </w:p>
    <w:p>
      <w:pPr>
        <w:pStyle w:val="Heading1"/>
        <w:pBdr>
          <w:bottom w:val="single" w:color="1F3864" w:sz="12" w:space="4"/>
        </w:pBdr>
        <w:spacing w:after="200" w:before="400"/>
      </w:pPr>
      <w:r>
        <w:rPr>
          <w:rFonts w:ascii="Calibri" w:cs="Calibri" w:eastAsia="Calibri" w:hAnsi="Calibri"/>
          <w:b/>
          <w:bCs/>
          <w:color w:val="1F3864"/>
          <w:sz w:val="32"/>
          <w:szCs w:val="32"/>
        </w:rPr>
        <w:t xml:space="preserve">Hands-On Lab: Kali Linux</w:t>
      </w:r>
    </w:p>
    <w:p>
      <w:pPr>
        <w:spacing w:after="120"/>
      </w:pPr>
      <w:r>
        <w:rPr>
          <w:rFonts w:ascii="Calibri" w:cs="Calibri" w:eastAsia="Calibri" w:hAnsi="Calibri"/>
          <w:color w:val="404040"/>
          <w:sz w:val="22"/>
          <w:szCs w:val="22"/>
        </w:rPr>
        <w:t xml:space="preserve">Open a terminal in Kali Linux. All commands below are passive/OSINT and safe to run against any public domain. Replace example.com with an authorised target where instructed (or use it as-is — it is a domain reserved by IANA for documentation/testing).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F2F2F2" w:sz="2"/>
              <w:left w:val="single" w:color="1F3864" w:sz="24"/>
              <w:bottom w:val="single" w:color="F2F2F2" w:sz="2"/>
              <w:right w:val="single" w:color="F2F2F2" w:sz="2"/>
            </w:tcBorders>
            <w:shd w:fill="F2F2F2" w:val="clear"/>
            <w:tcMar>
              <w:top w:type="dxa" w:w="120"/>
              <w:left w:type="dxa" w:w="200"/>
              <w:bottom w:type="dxa" w:w="120"/>
              <w:right w:type="dxa" w:w="200"/>
            </w:tcMar>
          </w:tcPr>
          <w:p>
            <w:pPr>
              <w:spacing w:after="60"/>
            </w:pPr>
            <w:r>
              <w:rPr>
                <w:rFonts w:ascii="Calibri" w:cs="Calibri" w:eastAsia="Calibri" w:hAnsi="Calibri"/>
                <w:b/>
                <w:bCs/>
                <w:color w:val="1F3864"/>
                <w:sz w:val="22"/>
                <w:szCs w:val="22"/>
              </w:rPr>
              <w:t xml:space="preserve">Before You Start</w:t>
            </w:r>
          </w:p>
          <w:p>
            <w:pPr>
              <w:spacing w:after="40"/>
            </w:pPr>
            <w:r>
              <w:rPr>
                <w:rFonts w:ascii="Calibri" w:cs="Calibri" w:eastAsia="Calibri" w:hAnsi="Calibri"/>
                <w:color w:val="404040"/>
                <w:sz w:val="21"/>
                <w:szCs w:val="21"/>
              </w:rPr>
              <w:t xml:space="preserve">Update tool databases: sudo apt update &amp;&amp; sudo apt install whois dnsutils theharvester -y</w:t>
            </w:r>
          </w:p>
          <w:p>
            <w:pPr>
              <w:spacing w:after="40"/>
            </w:pPr>
            <w:r>
              <w:rPr>
                <w:rFonts w:ascii="Calibri" w:cs="Calibri" w:eastAsia="Calibri" w:hAnsi="Calibri"/>
                <w:color w:val="404040"/>
                <w:sz w:val="21"/>
                <w:szCs w:val="21"/>
              </w:rPr>
              <w:t xml:space="preserve">theHarvester needs API keys for some sources (Shodan, Hunter.io) — free tier keys are enough. Add them under ~/.theHarvester/api-keys.yaml</w:t>
            </w:r>
          </w:p>
          <w:p>
            <w:pPr>
              <w:spacing w:after="40"/>
            </w:pPr>
            <w:r>
              <w:rPr>
                <w:rFonts w:ascii="Calibri" w:cs="Calibri" w:eastAsia="Calibri" w:hAnsi="Calibri"/>
                <w:color w:val="404040"/>
                <w:sz w:val="21"/>
                <w:szCs w:val="21"/>
              </w:rPr>
              <w:t xml:space="preserve">Create a working folder to store your evidence: mkdir ~/day6-osint &amp;&amp; cd ~/day6-osint</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50"/>
              <w:left w:type="dxa" w:w="250"/>
              <w:bottom w:type="dxa" w:w="150"/>
              <w:right w:type="dxa" w:w="250"/>
            </w:tcMar>
          </w:tcPr>
          <w:p>
            <w:r>
              <w:rPr>
                <w:rFonts w:ascii="Calibri" w:cs="Calibri" w:eastAsia="Calibri" w:hAnsi="Calibri"/>
                <w:b/>
                <w:bCs/>
                <w:color w:val="9DC3E6"/>
                <w:sz w:val="24"/>
                <w:szCs w:val="24"/>
              </w:rPr>
              <w:t xml:space="preserve">LAB 1  |  </w:t>
            </w:r>
            <w:r>
              <w:rPr>
                <w:rFonts w:ascii="Calibri" w:cs="Calibri" w:eastAsia="Calibri" w:hAnsi="Calibri"/>
                <w:b/>
                <w:bCs/>
                <w:color w:val="FFFFFF"/>
                <w:sz w:val="24"/>
                <w:szCs w:val="24"/>
              </w:rPr>
              <w:t xml:space="preserve">WHOIS — Domain Intelligence</w:t>
            </w:r>
          </w:p>
        </w:tc>
      </w:tr>
    </w:tbl>
    <w:p>
      <w:pPr>
        <w:spacing w:after="80"/>
      </w:pPr>
    </w:p>
    <w:p>
      <w:pPr>
        <w:spacing w:after="120"/>
      </w:pPr>
      <w:r>
        <w:rPr>
          <w:rFonts w:ascii="Calibri" w:cs="Calibri" w:eastAsia="Calibri" w:hAnsi="Calibri"/>
          <w:color w:val="404040"/>
          <w:sz w:val="22"/>
          <w:szCs w:val="22"/>
        </w:rPr>
        <w:t xml:space="preserve">WHOIS queries the domain registrar's database to reveal ownership, registration dates, and name server records.</w:t>
      </w:r>
    </w:p>
    <w:p>
      <w:pPr>
        <w:spacing w:after="100" w:before="200"/>
      </w:pPr>
      <w:r>
        <w:rPr>
          <w:rFonts w:ascii="Calibri" w:cs="Calibri" w:eastAsia="Calibri" w:hAnsi="Calibri"/>
          <w:b/>
          <w:bCs/>
          <w:color w:val="C55A11"/>
          <w:sz w:val="22"/>
          <w:szCs w:val="22"/>
        </w:rPr>
        <w:t xml:space="preserve">Step 1 — Basic lookup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60"/>
              <w:left w:type="dxa" w:w="150"/>
              <w:bottom w:type="dxa" w:w="60"/>
              <w:right w:type="dxa" w:w="150"/>
            </w:tcMar>
          </w:tcPr>
          <w:p>
            <w:r>
              <w:rPr>
                <w:rFonts w:ascii="Consolas" w:cs="Consolas" w:eastAsia="Consolas" w:hAnsi="Consolas"/>
                <w:color w:val="D4D4D4"/>
                <w:sz w:val="20"/>
                <w:szCs w:val="20"/>
              </w:rPr>
              <w:t xml:space="preserve">whois example.com</w:t>
            </w:r>
          </w:p>
        </w:tc>
      </w:tr>
    </w:tbl>
    <w:p>
      <w:pPr>
        <w:spacing w:after="100" w:before="200"/>
      </w:pPr>
      <w:r>
        <w:rPr>
          <w:rFonts w:ascii="Calibri" w:cs="Calibri" w:eastAsia="Calibri" w:hAnsi="Calibri"/>
          <w:b/>
          <w:bCs/>
          <w:color w:val="C55A11"/>
          <w:sz w:val="22"/>
          <w:szCs w:val="22"/>
        </w:rPr>
        <w:t xml:space="preserve">Step 2 — Extract only the fields you need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60"/>
              <w:left w:type="dxa" w:w="150"/>
              <w:bottom w:type="dxa" w:w="60"/>
              <w:right w:type="dxa" w:w="150"/>
            </w:tcMar>
          </w:tcPr>
          <w:p>
            <w:r>
              <w:rPr>
                <w:rFonts w:ascii="Consolas" w:cs="Consolas" w:eastAsia="Consolas" w:hAnsi="Consolas"/>
                <w:color w:val="D4D4D4"/>
                <w:sz w:val="20"/>
                <w:szCs w:val="20"/>
              </w:rPr>
              <w:t xml:space="preserve">whois example.com | grep -iE "registrar|creation|expiry|name server|updated"</w:t>
            </w:r>
          </w:p>
        </w:tc>
      </w:tr>
    </w:tbl>
    <w:p>
      <w:pPr>
        <w:spacing w:after="100" w:before="200"/>
      </w:pPr>
      <w:r>
        <w:rPr>
          <w:rFonts w:ascii="Calibri" w:cs="Calibri" w:eastAsia="Calibri" w:hAnsi="Calibri"/>
          <w:b/>
          <w:bCs/>
          <w:color w:val="C55A11"/>
          <w:sz w:val="22"/>
          <w:szCs w:val="22"/>
        </w:rPr>
        <w:t xml:space="preserve">Step 3 — Save evidence to file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60"/>
              <w:left w:type="dxa" w:w="150"/>
              <w:bottom w:type="dxa" w:w="60"/>
              <w:right w:type="dxa" w:w="150"/>
            </w:tcMar>
          </w:tcPr>
          <w:p>
            <w:r>
              <w:rPr>
                <w:rFonts w:ascii="Consolas" w:cs="Consolas" w:eastAsia="Consolas" w:hAnsi="Consolas"/>
                <w:color w:val="D4D4D4"/>
                <w:sz w:val="20"/>
                <w:szCs w:val="20"/>
              </w:rPr>
              <w:t xml:space="preserve">whois example.com &gt; ~/day6-osint/whois_example.txt</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4F2F1" w:sz="2"/>
              <w:left w:val="single" w:color="0F6E6E" w:sz="24"/>
              <w:bottom w:val="single" w:color="E4F2F1" w:sz="2"/>
              <w:right w:val="single" w:color="E4F2F1" w:sz="2"/>
            </w:tcBorders>
            <w:shd w:fill="E4F2F1" w:val="clear"/>
            <w:tcMar>
              <w:top w:type="dxa" w:w="120"/>
              <w:left w:type="dxa" w:w="200"/>
              <w:bottom w:type="dxa" w:w="120"/>
              <w:right w:type="dxa" w:w="200"/>
            </w:tcMar>
          </w:tcPr>
          <w:p>
            <w:pPr>
              <w:spacing w:after="60"/>
            </w:pPr>
            <w:r>
              <w:rPr>
                <w:rFonts w:ascii="Calibri" w:cs="Calibri" w:eastAsia="Calibri" w:hAnsi="Calibri"/>
                <w:b/>
                <w:bCs/>
                <w:color w:val="0F6E6E"/>
                <w:sz w:val="22"/>
                <w:szCs w:val="22"/>
              </w:rPr>
              <w:t xml:space="preserve">What to Record</w:t>
            </w:r>
          </w:p>
          <w:p>
            <w:pPr>
              <w:spacing w:after="40"/>
            </w:pPr>
            <w:r>
              <w:rPr>
                <w:rFonts w:ascii="Calibri" w:cs="Calibri" w:eastAsia="Calibri" w:hAnsi="Calibri"/>
                <w:color w:val="404040"/>
                <w:sz w:val="21"/>
                <w:szCs w:val="21"/>
              </w:rPr>
              <w:t xml:space="preserve">Registrar name, registration &amp; expiry dates, registrant organisation (if not privacy-protected), and the authoritative name servers — these feed directly into your DNS analysis in Lab 2.</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50"/>
              <w:left w:type="dxa" w:w="250"/>
              <w:bottom w:type="dxa" w:w="150"/>
              <w:right w:type="dxa" w:w="250"/>
            </w:tcMar>
          </w:tcPr>
          <w:p>
            <w:r>
              <w:rPr>
                <w:rFonts w:ascii="Calibri" w:cs="Calibri" w:eastAsia="Calibri" w:hAnsi="Calibri"/>
                <w:b/>
                <w:bCs/>
                <w:color w:val="9DC3E6"/>
                <w:sz w:val="24"/>
                <w:szCs w:val="24"/>
              </w:rPr>
              <w:t xml:space="preserve">LAB 2  |  </w:t>
            </w:r>
            <w:r>
              <w:rPr>
                <w:rFonts w:ascii="Calibri" w:cs="Calibri" w:eastAsia="Calibri" w:hAnsi="Calibri"/>
                <w:b/>
                <w:bCs/>
                <w:color w:val="FFFFFF"/>
                <w:sz w:val="24"/>
                <w:szCs w:val="24"/>
              </w:rPr>
              <w:t xml:space="preserve">nslookup — DNS Reconnaissance</w:t>
            </w:r>
          </w:p>
        </w:tc>
      </w:tr>
    </w:tbl>
    <w:p>
      <w:pPr>
        <w:spacing w:after="80"/>
      </w:pPr>
    </w:p>
    <w:p>
      <w:pPr>
        <w:spacing w:after="120"/>
      </w:pPr>
      <w:r>
        <w:rPr>
          <w:rFonts w:ascii="Calibri" w:cs="Calibri" w:eastAsia="Calibri" w:hAnsi="Calibri"/>
          <w:color w:val="404040"/>
          <w:sz w:val="22"/>
          <w:szCs w:val="22"/>
        </w:rPr>
        <w:t xml:space="preserve">nslookup queries DNS servers directly to resolve various record types. This maps the target's mail servers, name servers, and hosting IPs.</w:t>
      </w:r>
    </w:p>
    <w:p>
      <w:pPr>
        <w:spacing w:after="100" w:before="200"/>
      </w:pPr>
      <w:r>
        <w:rPr>
          <w:rFonts w:ascii="Calibri" w:cs="Calibri" w:eastAsia="Calibri" w:hAnsi="Calibri"/>
          <w:b/>
          <w:bCs/>
          <w:color w:val="C55A11"/>
          <w:sz w:val="22"/>
          <w:szCs w:val="22"/>
        </w:rPr>
        <w:t xml:space="preserve">Step 1 — Default A record lookup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60"/>
              <w:left w:type="dxa" w:w="150"/>
              <w:bottom w:type="dxa" w:w="60"/>
              <w:right w:type="dxa" w:w="150"/>
            </w:tcMar>
          </w:tcPr>
          <w:p>
            <w:r>
              <w:rPr>
                <w:rFonts w:ascii="Consolas" w:cs="Consolas" w:eastAsia="Consolas" w:hAnsi="Consolas"/>
                <w:color w:val="D4D4D4"/>
                <w:sz w:val="20"/>
                <w:szCs w:val="20"/>
              </w:rPr>
              <w:t xml:space="preserve">nslookup example.com</w:t>
            </w:r>
          </w:p>
        </w:tc>
      </w:tr>
    </w:tbl>
    <w:p>
      <w:pPr>
        <w:spacing w:after="100" w:before="200"/>
      </w:pPr>
      <w:r>
        <w:rPr>
          <w:rFonts w:ascii="Calibri" w:cs="Calibri" w:eastAsia="Calibri" w:hAnsi="Calibri"/>
          <w:b/>
          <w:bCs/>
          <w:color w:val="C55A11"/>
          <w:sz w:val="22"/>
          <w:szCs w:val="22"/>
        </w:rPr>
        <w:t xml:space="preserve">Step 2 — Query specific record types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60"/>
              <w:left w:type="dxa" w:w="150"/>
              <w:bottom w:type="dxa" w:w="60"/>
              <w:right w:type="dxa" w:w="150"/>
            </w:tcMar>
          </w:tcPr>
          <w:p>
            <w:r>
              <w:rPr>
                <w:rFonts w:ascii="Consolas" w:cs="Consolas" w:eastAsia="Consolas" w:hAnsi="Consolas"/>
                <w:color w:val="D4D4D4"/>
                <w:sz w:val="20"/>
                <w:szCs w:val="20"/>
              </w:rPr>
              <w:t xml:space="preserve">nslookup -type=MX example.com     # mail servers</w:t>
            </w:r>
          </w:p>
        </w:tc>
      </w:tr>
      <w:tr>
        <w:tc>
          <w:tcPr>
            <w:tcW w:type="dxa" w:w="9350"/>
            <w:shd w:fill="1E1E1E" w:val="clear"/>
            <w:tcMar>
              <w:top w:type="dxa" w:w="60"/>
              <w:left w:type="dxa" w:w="150"/>
              <w:bottom w:type="dxa" w:w="60"/>
              <w:right w:type="dxa" w:w="150"/>
            </w:tcMar>
          </w:tcPr>
          <w:p>
            <w:r>
              <w:rPr>
                <w:rFonts w:ascii="Consolas" w:cs="Consolas" w:eastAsia="Consolas" w:hAnsi="Consolas"/>
                <w:color w:val="D4D4D4"/>
                <w:sz w:val="20"/>
                <w:szCs w:val="20"/>
              </w:rPr>
              <w:t xml:space="preserve">nslookup -type=NS example.com     # name servers</w:t>
            </w:r>
          </w:p>
        </w:tc>
      </w:tr>
      <w:tr>
        <w:tc>
          <w:tcPr>
            <w:tcW w:type="dxa" w:w="9350"/>
            <w:shd w:fill="1E1E1E" w:val="clear"/>
            <w:tcMar>
              <w:top w:type="dxa" w:w="60"/>
              <w:left w:type="dxa" w:w="150"/>
              <w:bottom w:type="dxa" w:w="60"/>
              <w:right w:type="dxa" w:w="150"/>
            </w:tcMar>
          </w:tcPr>
          <w:p>
            <w:r>
              <w:rPr>
                <w:rFonts w:ascii="Consolas" w:cs="Consolas" w:eastAsia="Consolas" w:hAnsi="Consolas"/>
                <w:color w:val="D4D4D4"/>
                <w:sz w:val="20"/>
                <w:szCs w:val="20"/>
              </w:rPr>
              <w:t xml:space="preserve">nslookup -type=TXT example.com    # SPF/DKIM/verification records</w:t>
            </w:r>
          </w:p>
        </w:tc>
      </w:tr>
      <w:tr>
        <w:tc>
          <w:tcPr>
            <w:tcW w:type="dxa" w:w="9350"/>
            <w:shd w:fill="1E1E1E" w:val="clear"/>
            <w:tcMar>
              <w:top w:type="dxa" w:w="60"/>
              <w:left w:type="dxa" w:w="150"/>
              <w:bottom w:type="dxa" w:w="60"/>
              <w:right w:type="dxa" w:w="150"/>
            </w:tcMar>
          </w:tcPr>
          <w:p>
            <w:r>
              <w:rPr>
                <w:rFonts w:ascii="Consolas" w:cs="Consolas" w:eastAsia="Consolas" w:hAnsi="Consolas"/>
                <w:color w:val="D4D4D4"/>
                <w:sz w:val="20"/>
                <w:szCs w:val="20"/>
              </w:rPr>
              <w:t xml:space="preserve">nslookup -type=A example.com      # IPv4 address</w:t>
            </w:r>
          </w:p>
        </w:tc>
      </w:tr>
    </w:tbl>
    <w:p>
      <w:pPr>
        <w:spacing w:after="100" w:before="200"/>
      </w:pPr>
      <w:r>
        <w:rPr>
          <w:rFonts w:ascii="Calibri" w:cs="Calibri" w:eastAsia="Calibri" w:hAnsi="Calibri"/>
          <w:b/>
          <w:bCs/>
          <w:color w:val="C55A11"/>
          <w:sz w:val="22"/>
          <w:szCs w:val="22"/>
        </w:rPr>
        <w:t xml:space="preserve">Step 3 — Query against a specific DNS server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60"/>
              <w:left w:type="dxa" w:w="150"/>
              <w:bottom w:type="dxa" w:w="60"/>
              <w:right w:type="dxa" w:w="150"/>
            </w:tcMar>
          </w:tcPr>
          <w:p>
            <w:r>
              <w:rPr>
                <w:rFonts w:ascii="Consolas" w:cs="Consolas" w:eastAsia="Consolas" w:hAnsi="Consolas"/>
                <w:color w:val="D4D4D4"/>
                <w:sz w:val="20"/>
                <w:szCs w:val="20"/>
              </w:rPr>
              <w:t xml:space="preserve">nslookup example.com 8.8.8.8</w:t>
            </w:r>
          </w:p>
        </w:tc>
      </w:tr>
    </w:tbl>
    <w:p>
      <w:pPr>
        <w:spacing w:after="100" w:before="200"/>
      </w:pPr>
      <w:r>
        <w:rPr>
          <w:rFonts w:ascii="Calibri" w:cs="Calibri" w:eastAsia="Calibri" w:hAnsi="Calibri"/>
          <w:b/>
          <w:bCs/>
          <w:color w:val="C55A11"/>
          <w:sz w:val="22"/>
          <w:szCs w:val="22"/>
        </w:rPr>
        <w:t xml:space="preserve">Step 4 (bonus) — dig for deeper detail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60"/>
              <w:left w:type="dxa" w:w="150"/>
              <w:bottom w:type="dxa" w:w="60"/>
              <w:right w:type="dxa" w:w="150"/>
            </w:tcMar>
          </w:tcPr>
          <w:p>
            <w:r>
              <w:rPr>
                <w:rFonts w:ascii="Consolas" w:cs="Consolas" w:eastAsia="Consolas" w:hAnsi="Consolas"/>
                <w:color w:val="D4D4D4"/>
                <w:sz w:val="20"/>
                <w:szCs w:val="20"/>
              </w:rPr>
              <w:t xml:space="preserve">dig example.com ANY +noall +answer</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4F2F1" w:sz="2"/>
              <w:left w:val="single" w:color="0F6E6E" w:sz="24"/>
              <w:bottom w:val="single" w:color="E4F2F1" w:sz="2"/>
              <w:right w:val="single" w:color="E4F2F1" w:sz="2"/>
            </w:tcBorders>
            <w:shd w:fill="E4F2F1" w:val="clear"/>
            <w:tcMar>
              <w:top w:type="dxa" w:w="120"/>
              <w:left w:type="dxa" w:w="200"/>
              <w:bottom w:type="dxa" w:w="120"/>
              <w:right w:type="dxa" w:w="200"/>
            </w:tcMar>
          </w:tcPr>
          <w:p>
            <w:pPr>
              <w:spacing w:after="60"/>
            </w:pPr>
            <w:r>
              <w:rPr>
                <w:rFonts w:ascii="Calibri" w:cs="Calibri" w:eastAsia="Calibri" w:hAnsi="Calibri"/>
                <w:b/>
                <w:bCs/>
                <w:color w:val="0F6E6E"/>
                <w:sz w:val="22"/>
                <w:szCs w:val="22"/>
              </w:rPr>
              <w:t xml:space="preserve">Tip</w:t>
            </w:r>
          </w:p>
          <w:p>
            <w:pPr>
              <w:spacing w:after="40"/>
            </w:pPr>
            <w:r>
              <w:rPr>
                <w:rFonts w:ascii="Calibri" w:cs="Calibri" w:eastAsia="Calibri" w:hAnsi="Calibri"/>
                <w:color w:val="404040"/>
                <w:sz w:val="21"/>
                <w:szCs w:val="21"/>
              </w:rPr>
              <w:t xml:space="preserve">MX records reveal the mail provider (e.g. Google Workspace, Microsoft 365) — useful for later phishing-simulation modules. TXT records often leak SPF includes that hint at third-party services in use.</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50"/>
              <w:left w:type="dxa" w:w="250"/>
              <w:bottom w:type="dxa" w:w="150"/>
              <w:right w:type="dxa" w:w="250"/>
            </w:tcMar>
          </w:tcPr>
          <w:p>
            <w:r>
              <w:rPr>
                <w:rFonts w:ascii="Calibri" w:cs="Calibri" w:eastAsia="Calibri" w:hAnsi="Calibri"/>
                <w:b/>
                <w:bCs/>
                <w:color w:val="9DC3E6"/>
                <w:sz w:val="24"/>
                <w:szCs w:val="24"/>
              </w:rPr>
              <w:t xml:space="preserve">LAB 3  |  </w:t>
            </w:r>
            <w:r>
              <w:rPr>
                <w:rFonts w:ascii="Calibri" w:cs="Calibri" w:eastAsia="Calibri" w:hAnsi="Calibri"/>
                <w:b/>
                <w:bCs/>
                <w:color w:val="FFFFFF"/>
                <w:sz w:val="24"/>
                <w:szCs w:val="24"/>
              </w:rPr>
              <w:t xml:space="preserve">Shodan — Internet-Wide Device Search</w:t>
            </w:r>
          </w:p>
        </w:tc>
      </w:tr>
    </w:tbl>
    <w:p>
      <w:pPr>
        <w:spacing w:after="80"/>
      </w:pPr>
    </w:p>
    <w:p>
      <w:pPr>
        <w:spacing w:after="120"/>
      </w:pPr>
      <w:r>
        <w:rPr>
          <w:rFonts w:ascii="Calibri" w:cs="Calibri" w:eastAsia="Calibri" w:hAnsi="Calibri"/>
          <w:color w:val="404040"/>
          <w:sz w:val="22"/>
          <w:szCs w:val="22"/>
        </w:rPr>
        <w:t xml:space="preserve">Shodan indexes banners from internet-facing devices and services — think of it as a search engine for open ports rather than web pages.</w:t>
      </w:r>
    </w:p>
    <w:p>
      <w:pPr>
        <w:spacing w:after="100" w:before="200"/>
      </w:pPr>
      <w:r>
        <w:rPr>
          <w:rFonts w:ascii="Calibri" w:cs="Calibri" w:eastAsia="Calibri" w:hAnsi="Calibri"/>
          <w:b/>
          <w:bCs/>
          <w:color w:val="C55A11"/>
          <w:sz w:val="22"/>
          <w:szCs w:val="22"/>
        </w:rPr>
        <w:t xml:space="preserve">Step 1 — Web interface</w:t>
      </w:r>
    </w:p>
    <w:p>
      <w:pPr>
        <w:pStyle w:val="ListParagraph"/>
        <w:numPr>
          <w:ilvl w:val="0"/>
          <w:numId w:val="2"/>
        </w:numPr>
        <w:spacing w:after="80"/>
      </w:pPr>
      <w:r>
        <w:rPr>
          <w:rFonts w:ascii="Calibri" w:cs="Calibri" w:eastAsia="Calibri" w:hAnsi="Calibri"/>
          <w:color w:val="404040"/>
          <w:sz w:val="22"/>
          <w:szCs w:val="22"/>
        </w:rPr>
        <w:t xml:space="preserve">Go to https://www.shodan.io and create a free account (grants limited API credits).</w:t>
      </w:r>
    </w:p>
    <w:p>
      <w:pPr>
        <w:pStyle w:val="ListParagraph"/>
        <w:numPr>
          <w:ilvl w:val="0"/>
          <w:numId w:val="2"/>
        </w:numPr>
        <w:spacing w:after="80"/>
      </w:pPr>
      <w:r>
        <w:rPr>
          <w:rFonts w:ascii="Calibri" w:cs="Calibri" w:eastAsia="Calibri" w:hAnsi="Calibri"/>
          <w:color w:val="404040"/>
          <w:sz w:val="22"/>
          <w:szCs w:val="22"/>
        </w:rPr>
        <w:t xml:space="preserve">Search a domain: hostname:example.com</w:t>
      </w:r>
    </w:p>
    <w:p>
      <w:pPr>
        <w:pStyle w:val="ListParagraph"/>
        <w:numPr>
          <w:ilvl w:val="0"/>
          <w:numId w:val="2"/>
        </w:numPr>
        <w:spacing w:after="80"/>
      </w:pPr>
      <w:r>
        <w:rPr>
          <w:rFonts w:ascii="Calibri" w:cs="Calibri" w:eastAsia="Calibri" w:hAnsi="Calibri"/>
          <w:color w:val="404040"/>
          <w:sz w:val="22"/>
          <w:szCs w:val="22"/>
        </w:rPr>
        <w:t xml:space="preserve">Search by organisation: org:"Organisation Name"</w:t>
      </w:r>
    </w:p>
    <w:p>
      <w:pPr>
        <w:pStyle w:val="ListParagraph"/>
        <w:numPr>
          <w:ilvl w:val="0"/>
          <w:numId w:val="2"/>
        </w:numPr>
        <w:spacing w:after="80"/>
      </w:pPr>
      <w:r>
        <w:rPr>
          <w:rFonts w:ascii="Calibri" w:cs="Calibri" w:eastAsia="Calibri" w:hAnsi="Calibri"/>
          <w:color w:val="404040"/>
          <w:sz w:val="22"/>
          <w:szCs w:val="22"/>
        </w:rPr>
        <w:t xml:space="preserve">Search by product/service: product:"Apache httpd" country:"IN"</w:t>
      </w:r>
    </w:p>
    <w:p>
      <w:pPr>
        <w:spacing w:after="100" w:before="200"/>
      </w:pPr>
      <w:r>
        <w:rPr>
          <w:rFonts w:ascii="Calibri" w:cs="Calibri" w:eastAsia="Calibri" w:hAnsi="Calibri"/>
          <w:b/>
          <w:bCs/>
          <w:color w:val="C55A11"/>
          <w:sz w:val="22"/>
          <w:szCs w:val="22"/>
        </w:rPr>
        <w:t xml:space="preserve">Step 2 — CLI (Kali)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60"/>
              <w:left w:type="dxa" w:w="150"/>
              <w:bottom w:type="dxa" w:w="60"/>
              <w:right w:type="dxa" w:w="150"/>
            </w:tcMar>
          </w:tcPr>
          <w:p>
            <w:r>
              <w:rPr>
                <w:rFonts w:ascii="Consolas" w:cs="Consolas" w:eastAsia="Consolas" w:hAnsi="Consolas"/>
                <w:color w:val="D4D4D4"/>
                <w:sz w:val="20"/>
                <w:szCs w:val="20"/>
              </w:rPr>
              <w:t xml:space="preserve">pip install shodan</w:t>
            </w:r>
          </w:p>
        </w:tc>
      </w:tr>
      <w:tr>
        <w:tc>
          <w:tcPr>
            <w:tcW w:type="dxa" w:w="9350"/>
            <w:shd w:fill="1E1E1E" w:val="clear"/>
            <w:tcMar>
              <w:top w:type="dxa" w:w="60"/>
              <w:left w:type="dxa" w:w="150"/>
              <w:bottom w:type="dxa" w:w="60"/>
              <w:right w:type="dxa" w:w="150"/>
            </w:tcMar>
          </w:tcPr>
          <w:p>
            <w:r>
              <w:rPr>
                <w:rFonts w:ascii="Consolas" w:cs="Consolas" w:eastAsia="Consolas" w:hAnsi="Consolas"/>
                <w:color w:val="D4D4D4"/>
                <w:sz w:val="20"/>
                <w:szCs w:val="20"/>
              </w:rPr>
              <w:t xml:space="preserve">shodan init &lt;YOUR_API_KEY&gt;</w:t>
            </w:r>
          </w:p>
        </w:tc>
      </w:tr>
      <w:tr>
        <w:tc>
          <w:tcPr>
            <w:tcW w:type="dxa" w:w="9350"/>
            <w:shd w:fill="1E1E1E" w:val="clear"/>
            <w:tcMar>
              <w:top w:type="dxa" w:w="60"/>
              <w:left w:type="dxa" w:w="150"/>
              <w:bottom w:type="dxa" w:w="60"/>
              <w:right w:type="dxa" w:w="150"/>
            </w:tcMar>
          </w:tcPr>
          <w:p>
            <w:r>
              <w:rPr>
                <w:rFonts w:ascii="Consolas" w:cs="Consolas" w:eastAsia="Consolas" w:hAnsi="Consolas"/>
                <w:color w:val="D4D4D4"/>
                <w:sz w:val="20"/>
                <w:szCs w:val="20"/>
              </w:rPr>
              <w:t xml:space="preserve">shodan search hostname:example.com</w:t>
            </w:r>
          </w:p>
        </w:tc>
      </w:tr>
      <w:tr>
        <w:tc>
          <w:tcPr>
            <w:tcW w:type="dxa" w:w="9350"/>
            <w:shd w:fill="1E1E1E" w:val="clear"/>
            <w:tcMar>
              <w:top w:type="dxa" w:w="60"/>
              <w:left w:type="dxa" w:w="150"/>
              <w:bottom w:type="dxa" w:w="60"/>
              <w:right w:type="dxa" w:w="150"/>
            </w:tcMar>
          </w:tcPr>
          <w:p>
            <w:r>
              <w:rPr>
                <w:rFonts w:ascii="Consolas" w:cs="Consolas" w:eastAsia="Consolas" w:hAnsi="Consolas"/>
                <w:color w:val="D4D4D4"/>
                <w:sz w:val="20"/>
                <w:szCs w:val="20"/>
              </w:rPr>
              <w:t xml:space="preserve">shodan host &lt;IP_ADDRESS&gt;          # detailed banner info for one host</w:t>
            </w:r>
          </w:p>
        </w:tc>
      </w:tr>
    </w:tbl>
    <w:p>
      <w:pPr>
        <w:spacing w:after="100" w:before="200"/>
      </w:pPr>
      <w:r>
        <w:rPr>
          <w:rFonts w:ascii="Calibri" w:cs="Calibri" w:eastAsia="Calibri" w:hAnsi="Calibri"/>
          <w:b/>
          <w:bCs/>
          <w:color w:val="C55A11"/>
          <w:sz w:val="22"/>
          <w:szCs w:val="22"/>
        </w:rPr>
        <w:t xml:space="preserve">Step 3 — Useful search filters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Filter</w:t>
            </w:r>
          </w:p>
        </w:tc>
        <w:tc>
          <w:tcPr>
            <w:tcW w:type="dxa" w:w="6150"/>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Example</w:t>
            </w:r>
          </w:p>
        </w:tc>
      </w:tr>
      <w:tr>
        <w:tc>
          <w:tcPr>
            <w:tcW w:type="dxa" w:w="3200"/>
            <w:shd w:fill="F2F2F2" w:val="clear"/>
            <w:tcMar>
              <w:top w:type="dxa" w:w="90"/>
              <w:left w:type="dxa" w:w="150"/>
              <w:bottom w:type="dxa" w:w="90"/>
              <w:right w:type="dxa" w:w="150"/>
            </w:tcMar>
          </w:tcPr>
          <w:p>
            <w:r>
              <w:rPr>
                <w:rFonts w:ascii="Consolas" w:cs="Consolas" w:eastAsia="Consolas" w:hAnsi="Consolas"/>
                <w:b/>
                <w:bCs/>
                <w:color w:val="0F6E6E"/>
                <w:sz w:val="20"/>
                <w:szCs w:val="20"/>
              </w:rPr>
              <w:t xml:space="preserve">hostname:</w:t>
            </w:r>
          </w:p>
        </w:tc>
        <w:tc>
          <w:tcPr>
            <w:tcW w:type="dxa" w:w="6150"/>
            <w:shd w:fill="F2F2F2" w:val="clear"/>
            <w:tcMar>
              <w:top w:type="dxa" w:w="90"/>
              <w:left w:type="dxa" w:w="150"/>
              <w:bottom w:type="dxa" w:w="90"/>
              <w:right w:type="dxa" w:w="150"/>
            </w:tcMar>
          </w:tcPr>
          <w:p>
            <w:r>
              <w:rPr>
                <w:rFonts w:ascii="Calibri" w:cs="Calibri" w:eastAsia="Calibri" w:hAnsi="Calibri"/>
                <w:color w:val="404040"/>
                <w:sz w:val="20"/>
                <w:szCs w:val="20"/>
              </w:rPr>
              <w:t xml:space="preserve">hostname:example.com</w:t>
            </w:r>
          </w:p>
        </w:tc>
      </w:tr>
      <w:tr>
        <w:tc>
          <w:tcPr>
            <w:tcW w:type="dxa" w:w="3200"/>
            <w:shd w:fill="FFFFFF" w:val="clear"/>
            <w:tcMar>
              <w:top w:type="dxa" w:w="90"/>
              <w:left w:type="dxa" w:w="150"/>
              <w:bottom w:type="dxa" w:w="90"/>
              <w:right w:type="dxa" w:w="150"/>
            </w:tcMar>
          </w:tcPr>
          <w:p>
            <w:r>
              <w:rPr>
                <w:rFonts w:ascii="Consolas" w:cs="Consolas" w:eastAsia="Consolas" w:hAnsi="Consolas"/>
                <w:b/>
                <w:bCs/>
                <w:color w:val="0F6E6E"/>
                <w:sz w:val="20"/>
                <w:szCs w:val="20"/>
              </w:rPr>
              <w:t xml:space="preserve">org:</w:t>
            </w:r>
          </w:p>
        </w:tc>
        <w:tc>
          <w:tcPr>
            <w:tcW w:type="dxa" w:w="6150"/>
            <w:shd w:fill="FFFFFF" w:val="clear"/>
            <w:tcMar>
              <w:top w:type="dxa" w:w="90"/>
              <w:left w:type="dxa" w:w="150"/>
              <w:bottom w:type="dxa" w:w="90"/>
              <w:right w:type="dxa" w:w="150"/>
            </w:tcMar>
          </w:tcPr>
          <w:p>
            <w:r>
              <w:rPr>
                <w:rFonts w:ascii="Calibri" w:cs="Calibri" w:eastAsia="Calibri" w:hAnsi="Calibri"/>
                <w:color w:val="404040"/>
                <w:sz w:val="20"/>
                <w:szCs w:val="20"/>
              </w:rPr>
              <w:t xml:space="preserve">org:"Acme Corp"</w:t>
            </w:r>
          </w:p>
        </w:tc>
      </w:tr>
      <w:tr>
        <w:tc>
          <w:tcPr>
            <w:tcW w:type="dxa" w:w="3200"/>
            <w:shd w:fill="F2F2F2" w:val="clear"/>
            <w:tcMar>
              <w:top w:type="dxa" w:w="90"/>
              <w:left w:type="dxa" w:w="150"/>
              <w:bottom w:type="dxa" w:w="90"/>
              <w:right w:type="dxa" w:w="150"/>
            </w:tcMar>
          </w:tcPr>
          <w:p>
            <w:r>
              <w:rPr>
                <w:rFonts w:ascii="Consolas" w:cs="Consolas" w:eastAsia="Consolas" w:hAnsi="Consolas"/>
                <w:b/>
                <w:bCs/>
                <w:color w:val="0F6E6E"/>
                <w:sz w:val="20"/>
                <w:szCs w:val="20"/>
              </w:rPr>
              <w:t xml:space="preserve">port:</w:t>
            </w:r>
          </w:p>
        </w:tc>
        <w:tc>
          <w:tcPr>
            <w:tcW w:type="dxa" w:w="6150"/>
            <w:shd w:fill="F2F2F2" w:val="clear"/>
            <w:tcMar>
              <w:top w:type="dxa" w:w="90"/>
              <w:left w:type="dxa" w:w="150"/>
              <w:bottom w:type="dxa" w:w="90"/>
              <w:right w:type="dxa" w:w="150"/>
            </w:tcMar>
          </w:tcPr>
          <w:p>
            <w:r>
              <w:rPr>
                <w:rFonts w:ascii="Calibri" w:cs="Calibri" w:eastAsia="Calibri" w:hAnsi="Calibri"/>
                <w:color w:val="404040"/>
                <w:sz w:val="20"/>
                <w:szCs w:val="20"/>
              </w:rPr>
              <w:t xml:space="preserve">port:22</w:t>
            </w:r>
          </w:p>
        </w:tc>
      </w:tr>
      <w:tr>
        <w:tc>
          <w:tcPr>
            <w:tcW w:type="dxa" w:w="3200"/>
            <w:shd w:fill="FFFFFF" w:val="clear"/>
            <w:tcMar>
              <w:top w:type="dxa" w:w="90"/>
              <w:left w:type="dxa" w:w="150"/>
              <w:bottom w:type="dxa" w:w="90"/>
              <w:right w:type="dxa" w:w="150"/>
            </w:tcMar>
          </w:tcPr>
          <w:p>
            <w:r>
              <w:rPr>
                <w:rFonts w:ascii="Consolas" w:cs="Consolas" w:eastAsia="Consolas" w:hAnsi="Consolas"/>
                <w:b/>
                <w:bCs/>
                <w:color w:val="0F6E6E"/>
                <w:sz w:val="20"/>
                <w:szCs w:val="20"/>
              </w:rPr>
              <w:t xml:space="preserve">country:</w:t>
            </w:r>
          </w:p>
        </w:tc>
        <w:tc>
          <w:tcPr>
            <w:tcW w:type="dxa" w:w="6150"/>
            <w:shd w:fill="FFFFFF" w:val="clear"/>
            <w:tcMar>
              <w:top w:type="dxa" w:w="90"/>
              <w:left w:type="dxa" w:w="150"/>
              <w:bottom w:type="dxa" w:w="90"/>
              <w:right w:type="dxa" w:w="150"/>
            </w:tcMar>
          </w:tcPr>
          <w:p>
            <w:r>
              <w:rPr>
                <w:rFonts w:ascii="Calibri" w:cs="Calibri" w:eastAsia="Calibri" w:hAnsi="Calibri"/>
                <w:color w:val="404040"/>
                <w:sz w:val="20"/>
                <w:szCs w:val="20"/>
              </w:rPr>
              <w:t xml:space="preserve">country:"IN"</w:t>
            </w:r>
          </w:p>
        </w:tc>
      </w:tr>
      <w:tr>
        <w:tc>
          <w:tcPr>
            <w:tcW w:type="dxa" w:w="3200"/>
            <w:shd w:fill="F2F2F2" w:val="clear"/>
            <w:tcMar>
              <w:top w:type="dxa" w:w="90"/>
              <w:left w:type="dxa" w:w="150"/>
              <w:bottom w:type="dxa" w:w="90"/>
              <w:right w:type="dxa" w:w="150"/>
            </w:tcMar>
          </w:tcPr>
          <w:p>
            <w:r>
              <w:rPr>
                <w:rFonts w:ascii="Consolas" w:cs="Consolas" w:eastAsia="Consolas" w:hAnsi="Consolas"/>
                <w:b/>
                <w:bCs/>
                <w:color w:val="0F6E6E"/>
                <w:sz w:val="20"/>
                <w:szCs w:val="20"/>
              </w:rPr>
              <w:t xml:space="preserve">product:</w:t>
            </w:r>
          </w:p>
        </w:tc>
        <w:tc>
          <w:tcPr>
            <w:tcW w:type="dxa" w:w="6150"/>
            <w:shd w:fill="F2F2F2" w:val="clear"/>
            <w:tcMar>
              <w:top w:type="dxa" w:w="90"/>
              <w:left w:type="dxa" w:w="150"/>
              <w:bottom w:type="dxa" w:w="90"/>
              <w:right w:type="dxa" w:w="150"/>
            </w:tcMar>
          </w:tcPr>
          <w:p>
            <w:r>
              <w:rPr>
                <w:rFonts w:ascii="Calibri" w:cs="Calibri" w:eastAsia="Calibri" w:hAnsi="Calibri"/>
                <w:color w:val="404040"/>
                <w:sz w:val="20"/>
                <w:szCs w:val="20"/>
              </w:rPr>
              <w:t xml:space="preserve">product:nginx</w:t>
            </w:r>
          </w:p>
        </w:tc>
      </w:tr>
      <w:tr>
        <w:tc>
          <w:tcPr>
            <w:tcW w:type="dxa" w:w="3200"/>
            <w:shd w:fill="FFFFFF" w:val="clear"/>
            <w:tcMar>
              <w:top w:type="dxa" w:w="90"/>
              <w:left w:type="dxa" w:w="150"/>
              <w:bottom w:type="dxa" w:w="90"/>
              <w:right w:type="dxa" w:w="150"/>
            </w:tcMar>
          </w:tcPr>
          <w:p>
            <w:r>
              <w:rPr>
                <w:rFonts w:ascii="Consolas" w:cs="Consolas" w:eastAsia="Consolas" w:hAnsi="Consolas"/>
                <w:b/>
                <w:bCs/>
                <w:color w:val="0F6E6E"/>
                <w:sz w:val="20"/>
                <w:szCs w:val="20"/>
              </w:rPr>
              <w:t xml:space="preserve">vuln: (paid)</w:t>
            </w:r>
          </w:p>
        </w:tc>
        <w:tc>
          <w:tcPr>
            <w:tcW w:type="dxa" w:w="6150"/>
            <w:shd w:fill="FFFFFF" w:val="clear"/>
            <w:tcMar>
              <w:top w:type="dxa" w:w="90"/>
              <w:left w:type="dxa" w:w="150"/>
              <w:bottom w:type="dxa" w:w="90"/>
              <w:right w:type="dxa" w:w="150"/>
            </w:tcMar>
          </w:tcPr>
          <w:p>
            <w:r>
              <w:rPr>
                <w:rFonts w:ascii="Calibri" w:cs="Calibri" w:eastAsia="Calibri" w:hAnsi="Calibri"/>
                <w:color w:val="404040"/>
                <w:sz w:val="20"/>
                <w:szCs w:val="20"/>
              </w:rPr>
              <w:t xml:space="preserve">vuln:CVE-2021-44228</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4F2F1" w:sz="2"/>
              <w:left w:val="single" w:color="0F6E6E" w:sz="24"/>
              <w:bottom w:val="single" w:color="E4F2F1" w:sz="2"/>
              <w:right w:val="single" w:color="E4F2F1" w:sz="2"/>
            </w:tcBorders>
            <w:shd w:fill="E4F2F1" w:val="clear"/>
            <w:tcMar>
              <w:top w:type="dxa" w:w="120"/>
              <w:left w:type="dxa" w:w="200"/>
              <w:bottom w:type="dxa" w:w="120"/>
              <w:right w:type="dxa" w:w="200"/>
            </w:tcMar>
          </w:tcPr>
          <w:p>
            <w:pPr>
              <w:spacing w:after="60"/>
            </w:pPr>
            <w:r>
              <w:rPr>
                <w:rFonts w:ascii="Calibri" w:cs="Calibri" w:eastAsia="Calibri" w:hAnsi="Calibri"/>
                <w:b/>
                <w:bCs/>
                <w:color w:val="0F6E6E"/>
                <w:sz w:val="22"/>
                <w:szCs w:val="22"/>
              </w:rPr>
              <w:t xml:space="preserve">What to Record</w:t>
            </w:r>
          </w:p>
          <w:p>
            <w:pPr>
              <w:spacing w:after="40"/>
            </w:pPr>
            <w:r>
              <w:rPr>
                <w:rFonts w:ascii="Calibri" w:cs="Calibri" w:eastAsia="Calibri" w:hAnsi="Calibri"/>
                <w:color w:val="404040"/>
                <w:sz w:val="21"/>
                <w:szCs w:val="21"/>
              </w:rPr>
              <w:t xml:space="preserve">Open ports, banner/service versions, geolocation of infrastructure, and any obviously outdated software versions — these become candidate findings for a vulnerability assessment later in the internship.</w:t>
            </w:r>
          </w:p>
        </w:tc>
      </w:tr>
    </w:tbl>
    <w:p>
      <w:pPr>
        <w:spacing w:after="1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F3864" w:val="clear"/>
            <w:tcMar>
              <w:top w:type="dxa" w:w="150"/>
              <w:left w:type="dxa" w:w="250"/>
              <w:bottom w:type="dxa" w:w="150"/>
              <w:right w:type="dxa" w:w="250"/>
            </w:tcMar>
          </w:tcPr>
          <w:p>
            <w:r>
              <w:rPr>
                <w:rFonts w:ascii="Calibri" w:cs="Calibri" w:eastAsia="Calibri" w:hAnsi="Calibri"/>
                <w:b/>
                <w:bCs/>
                <w:color w:val="9DC3E6"/>
                <w:sz w:val="24"/>
                <w:szCs w:val="24"/>
              </w:rPr>
              <w:t xml:space="preserve">LAB 4  |  </w:t>
            </w:r>
            <w:r>
              <w:rPr>
                <w:rFonts w:ascii="Calibri" w:cs="Calibri" w:eastAsia="Calibri" w:hAnsi="Calibri"/>
                <w:b/>
                <w:bCs/>
                <w:color w:val="FFFFFF"/>
                <w:sz w:val="24"/>
                <w:szCs w:val="24"/>
              </w:rPr>
              <w:t xml:space="preserve">theHarvester — Email, Subdomain &amp; Host Enumeration</w:t>
            </w:r>
          </w:p>
        </w:tc>
      </w:tr>
    </w:tbl>
    <w:p>
      <w:pPr>
        <w:spacing w:after="80"/>
      </w:pPr>
    </w:p>
    <w:p>
      <w:pPr>
        <w:spacing w:after="120"/>
      </w:pPr>
      <w:r>
        <w:rPr>
          <w:rFonts w:ascii="Calibri" w:cs="Calibri" w:eastAsia="Calibri" w:hAnsi="Calibri"/>
          <w:color w:val="404040"/>
          <w:sz w:val="22"/>
          <w:szCs w:val="22"/>
        </w:rPr>
        <w:t xml:space="preserve">theHarvester aggregates data from search engines, certificate transparency logs, and other public sources to build a list of emails, subdomains, and hosts tied to a domain.</w:t>
      </w:r>
    </w:p>
    <w:p>
      <w:pPr>
        <w:spacing w:after="100" w:before="200"/>
      </w:pPr>
      <w:r>
        <w:rPr>
          <w:rFonts w:ascii="Calibri" w:cs="Calibri" w:eastAsia="Calibri" w:hAnsi="Calibri"/>
          <w:b/>
          <w:bCs/>
          <w:color w:val="C55A11"/>
          <w:sz w:val="22"/>
          <w:szCs w:val="22"/>
        </w:rPr>
        <w:t xml:space="preserve">Step 1 — Check installation &amp; sources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60"/>
              <w:left w:type="dxa" w:w="150"/>
              <w:bottom w:type="dxa" w:w="60"/>
              <w:right w:type="dxa" w:w="150"/>
            </w:tcMar>
          </w:tcPr>
          <w:p>
            <w:r>
              <w:rPr>
                <w:rFonts w:ascii="Consolas" w:cs="Consolas" w:eastAsia="Consolas" w:hAnsi="Consolas"/>
                <w:color w:val="D4D4D4"/>
                <w:sz w:val="20"/>
                <w:szCs w:val="20"/>
              </w:rPr>
              <w:t xml:space="preserve">theHarvester -h</w:t>
            </w:r>
          </w:p>
        </w:tc>
      </w:tr>
    </w:tbl>
    <w:p>
      <w:pPr>
        <w:spacing w:after="100" w:before="200"/>
      </w:pPr>
      <w:r>
        <w:rPr>
          <w:rFonts w:ascii="Calibri" w:cs="Calibri" w:eastAsia="Calibri" w:hAnsi="Calibri"/>
          <w:b/>
          <w:bCs/>
          <w:color w:val="C55A11"/>
          <w:sz w:val="22"/>
          <w:szCs w:val="22"/>
        </w:rPr>
        <w:t xml:space="preserve">Step 2 — Basic scan against a domain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60"/>
              <w:left w:type="dxa" w:w="150"/>
              <w:bottom w:type="dxa" w:w="60"/>
              <w:right w:type="dxa" w:w="150"/>
            </w:tcMar>
          </w:tcPr>
          <w:p>
            <w:r>
              <w:rPr>
                <w:rFonts w:ascii="Consolas" w:cs="Consolas" w:eastAsia="Consolas" w:hAnsi="Consolas"/>
                <w:color w:val="D4D4D4"/>
                <w:sz w:val="20"/>
                <w:szCs w:val="20"/>
              </w:rPr>
              <w:t xml:space="preserve">theHarvester -d example.com -b google,bing,crtsh</w:t>
            </w:r>
          </w:p>
        </w:tc>
      </w:tr>
    </w:tbl>
    <w:p>
      <w:pPr>
        <w:spacing w:after="100" w:before="200"/>
      </w:pPr>
      <w:r>
        <w:rPr>
          <w:rFonts w:ascii="Calibri" w:cs="Calibri" w:eastAsia="Calibri" w:hAnsi="Calibri"/>
          <w:b/>
          <w:bCs/>
          <w:color w:val="C55A11"/>
          <w:sz w:val="22"/>
          <w:szCs w:val="22"/>
        </w:rPr>
        <w:t xml:space="preserve">Step 3 — Broaden across multiple sources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60"/>
              <w:left w:type="dxa" w:w="150"/>
              <w:bottom w:type="dxa" w:w="60"/>
              <w:right w:type="dxa" w:w="150"/>
            </w:tcMar>
          </w:tcPr>
          <w:p>
            <w:r>
              <w:rPr>
                <w:rFonts w:ascii="Consolas" w:cs="Consolas" w:eastAsia="Consolas" w:hAnsi="Consolas"/>
                <w:color w:val="D4D4D4"/>
                <w:sz w:val="20"/>
                <w:szCs w:val="20"/>
              </w:rPr>
              <w:t xml:space="preserve">theHarvester -d example.com -b all -l 200</w:t>
            </w:r>
          </w:p>
        </w:tc>
      </w:tr>
    </w:tbl>
    <w:p>
      <w:pPr>
        <w:spacing w:after="100" w:before="200"/>
      </w:pPr>
      <w:r>
        <w:rPr>
          <w:rFonts w:ascii="Calibri" w:cs="Calibri" w:eastAsia="Calibri" w:hAnsi="Calibri"/>
          <w:b/>
          <w:bCs/>
          <w:color w:val="C55A11"/>
          <w:sz w:val="22"/>
          <w:szCs w:val="22"/>
        </w:rPr>
        <w:t xml:space="preserve">Step 4 — Save results as HTML/XML report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1E1E1E" w:val="clear"/>
            <w:tcMar>
              <w:top w:type="dxa" w:w="60"/>
              <w:left w:type="dxa" w:w="150"/>
              <w:bottom w:type="dxa" w:w="60"/>
              <w:right w:type="dxa" w:w="150"/>
            </w:tcMar>
          </w:tcPr>
          <w:p>
            <w:r>
              <w:rPr>
                <w:rFonts w:ascii="Consolas" w:cs="Consolas" w:eastAsia="Consolas" w:hAnsi="Consolas"/>
                <w:color w:val="D4D4D4"/>
                <w:sz w:val="20"/>
                <w:szCs w:val="20"/>
              </w:rPr>
              <w:t xml:space="preserve">theHarvester -d example.com -b crtsh,google -f ~/day6-osint/example_report</w:t>
            </w:r>
          </w:p>
        </w:tc>
      </w:tr>
    </w:tbl>
    <w:p>
      <w:pPr>
        <w:spacing w:after="100" w:before="200"/>
      </w:pPr>
      <w:r>
        <w:rPr>
          <w:rFonts w:ascii="Calibri" w:cs="Calibri" w:eastAsia="Calibri" w:hAnsi="Calibri"/>
          <w:b/>
          <w:bCs/>
          <w:color w:val="C55A11"/>
          <w:sz w:val="22"/>
          <w:szCs w:val="22"/>
        </w:rPr>
        <w:t xml:space="preserve">Common -b source values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Source</w:t>
            </w:r>
          </w:p>
        </w:tc>
        <w:tc>
          <w:tcPr>
            <w:tcW w:type="dxa" w:w="6150"/>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What it Finds</w:t>
            </w:r>
          </w:p>
        </w:tc>
      </w:tr>
      <w:tr>
        <w:tc>
          <w:tcPr>
            <w:tcW w:type="dxa" w:w="3200"/>
            <w:shd w:fill="F2F2F2" w:val="clear"/>
            <w:tcMar>
              <w:top w:type="dxa" w:w="90"/>
              <w:left w:type="dxa" w:w="150"/>
              <w:bottom w:type="dxa" w:w="90"/>
              <w:right w:type="dxa" w:w="150"/>
            </w:tcMar>
          </w:tcPr>
          <w:p>
            <w:r>
              <w:rPr>
                <w:rFonts w:ascii="Consolas" w:cs="Consolas" w:eastAsia="Consolas" w:hAnsi="Consolas"/>
                <w:b/>
                <w:bCs/>
                <w:color w:val="0F6E6E"/>
                <w:sz w:val="20"/>
                <w:szCs w:val="20"/>
              </w:rPr>
              <w:t xml:space="preserve">crtsh</w:t>
            </w:r>
          </w:p>
        </w:tc>
        <w:tc>
          <w:tcPr>
            <w:tcW w:type="dxa" w:w="6150"/>
            <w:shd w:fill="F2F2F2" w:val="clear"/>
            <w:tcMar>
              <w:top w:type="dxa" w:w="90"/>
              <w:left w:type="dxa" w:w="150"/>
              <w:bottom w:type="dxa" w:w="90"/>
              <w:right w:type="dxa" w:w="150"/>
            </w:tcMar>
          </w:tcPr>
          <w:p>
            <w:r>
              <w:rPr>
                <w:rFonts w:ascii="Calibri" w:cs="Calibri" w:eastAsia="Calibri" w:hAnsi="Calibri"/>
                <w:color w:val="404040"/>
                <w:sz w:val="20"/>
                <w:szCs w:val="20"/>
              </w:rPr>
              <w:t xml:space="preserve">Subdomains via SSL certificate transparency logs</w:t>
            </w:r>
          </w:p>
        </w:tc>
      </w:tr>
      <w:tr>
        <w:tc>
          <w:tcPr>
            <w:tcW w:type="dxa" w:w="3200"/>
            <w:shd w:fill="FFFFFF" w:val="clear"/>
            <w:tcMar>
              <w:top w:type="dxa" w:w="90"/>
              <w:left w:type="dxa" w:w="150"/>
              <w:bottom w:type="dxa" w:w="90"/>
              <w:right w:type="dxa" w:w="150"/>
            </w:tcMar>
          </w:tcPr>
          <w:p>
            <w:r>
              <w:rPr>
                <w:rFonts w:ascii="Consolas" w:cs="Consolas" w:eastAsia="Consolas" w:hAnsi="Consolas"/>
                <w:b/>
                <w:bCs/>
                <w:color w:val="0F6E6E"/>
                <w:sz w:val="20"/>
                <w:szCs w:val="20"/>
              </w:rPr>
              <w:t xml:space="preserve">google / bing</w:t>
            </w:r>
          </w:p>
        </w:tc>
        <w:tc>
          <w:tcPr>
            <w:tcW w:type="dxa" w:w="6150"/>
            <w:shd w:fill="FFFFFF" w:val="clear"/>
            <w:tcMar>
              <w:top w:type="dxa" w:w="90"/>
              <w:left w:type="dxa" w:w="150"/>
              <w:bottom w:type="dxa" w:w="90"/>
              <w:right w:type="dxa" w:w="150"/>
            </w:tcMar>
          </w:tcPr>
          <w:p>
            <w:r>
              <w:rPr>
                <w:rFonts w:ascii="Calibri" w:cs="Calibri" w:eastAsia="Calibri" w:hAnsi="Calibri"/>
                <w:color w:val="404040"/>
                <w:sz w:val="20"/>
                <w:szCs w:val="20"/>
              </w:rPr>
              <w:t xml:space="preserve">Emails and hosts indexed by search engines</w:t>
            </w:r>
          </w:p>
        </w:tc>
      </w:tr>
      <w:tr>
        <w:tc>
          <w:tcPr>
            <w:tcW w:type="dxa" w:w="3200"/>
            <w:shd w:fill="F2F2F2" w:val="clear"/>
            <w:tcMar>
              <w:top w:type="dxa" w:w="90"/>
              <w:left w:type="dxa" w:w="150"/>
              <w:bottom w:type="dxa" w:w="90"/>
              <w:right w:type="dxa" w:w="150"/>
            </w:tcMar>
          </w:tcPr>
          <w:p>
            <w:r>
              <w:rPr>
                <w:rFonts w:ascii="Consolas" w:cs="Consolas" w:eastAsia="Consolas" w:hAnsi="Consolas"/>
                <w:b/>
                <w:bCs/>
                <w:color w:val="0F6E6E"/>
                <w:sz w:val="20"/>
                <w:szCs w:val="20"/>
              </w:rPr>
              <w:t xml:space="preserve">shodan</w:t>
            </w:r>
          </w:p>
        </w:tc>
        <w:tc>
          <w:tcPr>
            <w:tcW w:type="dxa" w:w="6150"/>
            <w:shd w:fill="F2F2F2" w:val="clear"/>
            <w:tcMar>
              <w:top w:type="dxa" w:w="90"/>
              <w:left w:type="dxa" w:w="150"/>
              <w:bottom w:type="dxa" w:w="90"/>
              <w:right w:type="dxa" w:w="150"/>
            </w:tcMar>
          </w:tcPr>
          <w:p>
            <w:r>
              <w:rPr>
                <w:rFonts w:ascii="Calibri" w:cs="Calibri" w:eastAsia="Calibri" w:hAnsi="Calibri"/>
                <w:color w:val="404040"/>
                <w:sz w:val="20"/>
                <w:szCs w:val="20"/>
              </w:rPr>
              <w:t xml:space="preserve">Cross-reference with Shodan hosts (needs API key)</w:t>
            </w:r>
          </w:p>
        </w:tc>
      </w:tr>
      <w:tr>
        <w:tc>
          <w:tcPr>
            <w:tcW w:type="dxa" w:w="3200"/>
            <w:shd w:fill="FFFFFF" w:val="clear"/>
            <w:tcMar>
              <w:top w:type="dxa" w:w="90"/>
              <w:left w:type="dxa" w:w="150"/>
              <w:bottom w:type="dxa" w:w="90"/>
              <w:right w:type="dxa" w:w="150"/>
            </w:tcMar>
          </w:tcPr>
          <w:p>
            <w:r>
              <w:rPr>
                <w:rFonts w:ascii="Consolas" w:cs="Consolas" w:eastAsia="Consolas" w:hAnsi="Consolas"/>
                <w:b/>
                <w:bCs/>
                <w:color w:val="0F6E6E"/>
                <w:sz w:val="20"/>
                <w:szCs w:val="20"/>
              </w:rPr>
              <w:t xml:space="preserve">hunter</w:t>
            </w:r>
          </w:p>
        </w:tc>
        <w:tc>
          <w:tcPr>
            <w:tcW w:type="dxa" w:w="6150"/>
            <w:shd w:fill="FFFFFF" w:val="clear"/>
            <w:tcMar>
              <w:top w:type="dxa" w:w="90"/>
              <w:left w:type="dxa" w:w="150"/>
              <w:bottom w:type="dxa" w:w="90"/>
              <w:right w:type="dxa" w:w="150"/>
            </w:tcMar>
          </w:tcPr>
          <w:p>
            <w:r>
              <w:rPr>
                <w:rFonts w:ascii="Calibri" w:cs="Calibri" w:eastAsia="Calibri" w:hAnsi="Calibri"/>
                <w:color w:val="404040"/>
                <w:sz w:val="20"/>
                <w:szCs w:val="20"/>
              </w:rPr>
              <w:t xml:space="preserve">Verified corporate email addresses (needs API key)</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E4F2F1" w:sz="2"/>
              <w:left w:val="single" w:color="0F6E6E" w:sz="24"/>
              <w:bottom w:val="single" w:color="E4F2F1" w:sz="2"/>
              <w:right w:val="single" w:color="E4F2F1" w:sz="2"/>
            </w:tcBorders>
            <w:shd w:fill="E4F2F1" w:val="clear"/>
            <w:tcMar>
              <w:top w:type="dxa" w:w="120"/>
              <w:left w:type="dxa" w:w="200"/>
              <w:bottom w:type="dxa" w:w="120"/>
              <w:right w:type="dxa" w:w="200"/>
            </w:tcMar>
          </w:tcPr>
          <w:p>
            <w:pPr>
              <w:spacing w:after="60"/>
            </w:pPr>
            <w:r>
              <w:rPr>
                <w:rFonts w:ascii="Calibri" w:cs="Calibri" w:eastAsia="Calibri" w:hAnsi="Calibri"/>
                <w:b/>
                <w:bCs/>
                <w:color w:val="0F6E6E"/>
                <w:sz w:val="22"/>
                <w:szCs w:val="22"/>
              </w:rPr>
              <w:t xml:space="preserve">What to Record</w:t>
            </w:r>
          </w:p>
          <w:p>
            <w:pPr>
              <w:spacing w:after="40"/>
            </w:pPr>
            <w:r>
              <w:rPr>
                <w:rFonts w:ascii="Calibri" w:cs="Calibri" w:eastAsia="Calibri" w:hAnsi="Calibri"/>
                <w:color w:val="404040"/>
                <w:sz w:val="21"/>
                <w:szCs w:val="21"/>
              </w:rPr>
              <w:t xml:space="preserve">Every discovered subdomain (candidate future scan targets), every email address (naming convention reveals employee-ID format), and any hosts resolved — consolidate into one target profile document.</w:t>
            </w:r>
          </w:p>
        </w:tc>
      </w:tr>
    </w:tbl>
    <w:p>
      <w:r>
        <w:br w:type="page"/>
      </w:r>
    </w:p>
    <w:p>
      <w:pPr>
        <w:pStyle w:val="Heading1"/>
        <w:pBdr>
          <w:bottom w:val="single" w:color="1F3864" w:sz="12" w:space="4"/>
        </w:pBdr>
        <w:spacing w:after="200" w:before="400"/>
      </w:pPr>
      <w:r>
        <w:rPr>
          <w:rFonts w:ascii="Calibri" w:cs="Calibri" w:eastAsia="Calibri" w:hAnsi="Calibri"/>
          <w:b/>
          <w:bCs/>
          <w:color w:val="1F3864"/>
          <w:sz w:val="32"/>
          <w:szCs w:val="32"/>
        </w:rPr>
        <w:t xml:space="preserve">ThunderCipher OSINT Challenge</w:t>
      </w:r>
    </w:p>
    <w:p>
      <w:pPr>
        <w:spacing w:after="120"/>
      </w:pPr>
      <w:r>
        <w:rPr>
          <w:rFonts w:ascii="Calibri" w:cs="Calibri" w:eastAsia="Calibri" w:hAnsi="Calibri"/>
          <w:color w:val="404040"/>
          <w:sz w:val="22"/>
          <w:szCs w:val="22"/>
        </w:rPr>
        <w:t xml:space="preserve">Apply everything from Labs 1–4 to build a complete reconnaissance profile of the assigned target domain (provided separately by the instructor for the exercise). Work in pairs. Passive techniques only.</w:t>
      </w:r>
    </w:p>
    <w:p>
      <w:pPr>
        <w:pStyle w:val="Heading2"/>
        <w:spacing w:after="150" w:before="300"/>
      </w:pPr>
      <w:r>
        <w:rPr>
          <w:rFonts w:ascii="Calibri" w:cs="Calibri" w:eastAsia="Calibri" w:hAnsi="Calibri"/>
          <w:b/>
          <w:bCs/>
          <w:color w:val="0F6E6E"/>
          <w:sz w:val="26"/>
          <w:szCs w:val="26"/>
        </w:rPr>
        <w:t xml:space="preserve">Challenge Tasks</w:t>
      </w:r>
    </w:p>
    <w:p>
      <w:pPr>
        <w:pStyle w:val="ListParagraph"/>
        <w:numPr>
          <w:ilvl w:val="0"/>
          <w:numId w:val="3"/>
        </w:numPr>
        <w:spacing w:after="80"/>
      </w:pPr>
      <w:r>
        <w:rPr>
          <w:rFonts w:ascii="Calibri" w:cs="Calibri" w:eastAsia="Calibri" w:hAnsi="Calibri"/>
          <w:color w:val="404040"/>
          <w:sz w:val="22"/>
          <w:szCs w:val="22"/>
        </w:rPr>
        <w:t xml:space="preserve">Run a WHOIS lookup — identify registrar, creation date, and name servers.</w:t>
      </w:r>
    </w:p>
    <w:p>
      <w:pPr>
        <w:pStyle w:val="ListParagraph"/>
        <w:numPr>
          <w:ilvl w:val="0"/>
          <w:numId w:val="3"/>
        </w:numPr>
        <w:spacing w:after="80"/>
      </w:pPr>
      <w:r>
        <w:rPr>
          <w:rFonts w:ascii="Calibri" w:cs="Calibri" w:eastAsia="Calibri" w:hAnsi="Calibri"/>
          <w:color w:val="404040"/>
          <w:sz w:val="22"/>
          <w:szCs w:val="22"/>
        </w:rPr>
        <w:t xml:space="preserve">Run nslookup for A, MX, NS, and TXT records — list the resolved IPs and mail provider.</w:t>
      </w:r>
    </w:p>
    <w:p>
      <w:pPr>
        <w:pStyle w:val="ListParagraph"/>
        <w:numPr>
          <w:ilvl w:val="0"/>
          <w:numId w:val="3"/>
        </w:numPr>
        <w:spacing w:after="80"/>
      </w:pPr>
      <w:r>
        <w:rPr>
          <w:rFonts w:ascii="Calibri" w:cs="Calibri" w:eastAsia="Calibri" w:hAnsi="Calibri"/>
          <w:color w:val="404040"/>
          <w:sz w:val="22"/>
          <w:szCs w:val="22"/>
        </w:rPr>
        <w:t xml:space="preserve">Run a Shodan search on the resolved IP(s) — list open ports and identified services.</w:t>
      </w:r>
    </w:p>
    <w:p>
      <w:pPr>
        <w:pStyle w:val="ListParagraph"/>
        <w:numPr>
          <w:ilvl w:val="0"/>
          <w:numId w:val="3"/>
        </w:numPr>
        <w:spacing w:after="80"/>
      </w:pPr>
      <w:r>
        <w:rPr>
          <w:rFonts w:ascii="Calibri" w:cs="Calibri" w:eastAsia="Calibri" w:hAnsi="Calibri"/>
          <w:color w:val="404040"/>
          <w:sz w:val="22"/>
          <w:szCs w:val="22"/>
        </w:rPr>
        <w:t xml:space="preserve">Run theHarvester with at least three sources — list all discovered subdomains and emails.</w:t>
      </w:r>
    </w:p>
    <w:p>
      <w:pPr>
        <w:pStyle w:val="ListParagraph"/>
        <w:numPr>
          <w:ilvl w:val="0"/>
          <w:numId w:val="3"/>
        </w:numPr>
        <w:spacing w:after="80"/>
      </w:pPr>
      <w:r>
        <w:rPr>
          <w:rFonts w:ascii="Calibri" w:cs="Calibri" w:eastAsia="Calibri" w:hAnsi="Calibri"/>
          <w:color w:val="404040"/>
          <w:sz w:val="22"/>
          <w:szCs w:val="22"/>
        </w:rPr>
        <w:t xml:space="preserve">Correlate all findings into a single target profile: domain, IPs, name servers, mail provider, subdomains, emails, exposed services.</w:t>
      </w:r>
    </w:p>
    <w:p>
      <w:pPr>
        <w:pStyle w:val="ListParagraph"/>
        <w:numPr>
          <w:ilvl w:val="0"/>
          <w:numId w:val="3"/>
        </w:numPr>
        <w:spacing w:after="80"/>
      </w:pPr>
      <w:r>
        <w:rPr>
          <w:rFonts w:ascii="Calibri" w:cs="Calibri" w:eastAsia="Calibri" w:hAnsi="Calibri"/>
          <w:color w:val="404040"/>
          <w:sz w:val="22"/>
          <w:szCs w:val="22"/>
        </w:rPr>
        <w:t xml:space="preserve">Flag anything that looks like a security weakness (e.g. an outdated service banner, a subdomain that looks like a forgotten staging server).</w:t>
      </w:r>
    </w:p>
    <w:p>
      <w:pPr>
        <w:spacing w:after="80"/>
      </w:pPr>
    </w:p>
    <w:p>
      <w:pPr>
        <w:pStyle w:val="Heading2"/>
        <w:spacing w:after="150" w:before="300"/>
      </w:pPr>
      <w:r>
        <w:rPr>
          <w:rFonts w:ascii="Calibri" w:cs="Calibri" w:eastAsia="Calibri" w:hAnsi="Calibri"/>
          <w:b/>
          <w:bCs/>
          <w:color w:val="0F6E6E"/>
          <w:sz w:val="26"/>
          <w:szCs w:val="26"/>
        </w:rPr>
        <w:t xml:space="preserve">Deliverable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FDEBDC" w:sz="2"/>
              <w:left w:val="single" w:color="C55A11" w:sz="24"/>
              <w:bottom w:val="single" w:color="FDEBDC" w:sz="2"/>
              <w:right w:val="single" w:color="FDEBDC" w:sz="2"/>
            </w:tcBorders>
            <w:shd w:fill="FDEBDC" w:val="clear"/>
            <w:tcMar>
              <w:top w:type="dxa" w:w="120"/>
              <w:left w:type="dxa" w:w="200"/>
              <w:bottom w:type="dxa" w:w="120"/>
              <w:right w:type="dxa" w:w="200"/>
            </w:tcMar>
          </w:tcPr>
          <w:p>
            <w:pPr>
              <w:spacing w:after="60"/>
            </w:pPr>
            <w:r>
              <w:rPr>
                <w:rFonts w:ascii="Calibri" w:cs="Calibri" w:eastAsia="Calibri" w:hAnsi="Calibri"/>
                <w:b/>
                <w:bCs/>
                <w:color w:val="C55A11"/>
                <w:sz w:val="22"/>
                <w:szCs w:val="22"/>
              </w:rPr>
              <w:t xml:space="preserve">Submit</w:t>
            </w:r>
          </w:p>
          <w:p>
            <w:pPr>
              <w:spacing w:after="40"/>
            </w:pPr>
            <w:r>
              <w:rPr>
                <w:rFonts w:ascii="Calibri" w:cs="Calibri" w:eastAsia="Calibri" w:hAnsi="Calibri"/>
                <w:color w:val="404040"/>
                <w:sz w:val="21"/>
                <w:szCs w:val="21"/>
              </w:rPr>
              <w:t xml:space="preserve">One consolidated target-profile write-up (any format) containing: tool used → command run → finding, for every task above, plus your top 3 observations on the target's attack surface.</w:t>
            </w:r>
          </w:p>
          <w:p>
            <w:pPr>
              <w:spacing w:after="40"/>
            </w:pPr>
            <w:r>
              <w:rPr>
                <w:rFonts w:ascii="Calibri" w:cs="Calibri" w:eastAsia="Calibri" w:hAnsi="Calibri"/>
                <w:color w:val="404040"/>
                <w:sz w:val="21"/>
                <w:szCs w:val="21"/>
              </w:rPr>
              <w:t xml:space="preserve">Time limit: 45 minutes. Fastest complete &amp; accurate profile wins.</w:t>
            </w:r>
          </w:p>
        </w:tc>
      </w:tr>
    </w:tbl>
    <w:p>
      <w:pPr>
        <w:spacing w:after="100"/>
      </w:pPr>
    </w:p>
    <w:p>
      <w:pPr>
        <w:pStyle w:val="Heading2"/>
        <w:spacing w:after="150" w:before="300"/>
      </w:pPr>
      <w:r>
        <w:rPr>
          <w:rFonts w:ascii="Calibri" w:cs="Calibri" w:eastAsia="Calibri" w:hAnsi="Calibri"/>
          <w:b/>
          <w:bCs/>
          <w:color w:val="0F6E6E"/>
          <w:sz w:val="26"/>
          <w:szCs w:val="26"/>
        </w:rPr>
        <w:t xml:space="preserve">Recon Profile 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tcW w:type="dxa" w:w="3200"/>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Field</w:t>
            </w:r>
          </w:p>
        </w:tc>
        <w:tc>
          <w:tcPr>
            <w:tcW w:type="dxa" w:w="6150"/>
            <w:shd w:fill="1F3864" w:val="clear"/>
            <w:tcMar>
              <w:top w:type="dxa" w:w="100"/>
              <w:left w:type="dxa" w:w="150"/>
              <w:bottom w:type="dxa" w:w="100"/>
              <w:right w:type="dxa" w:w="150"/>
            </w:tcMar>
          </w:tcPr>
          <w:p>
            <w:r>
              <w:rPr>
                <w:rFonts w:ascii="Calibri" w:cs="Calibri" w:eastAsia="Calibri" w:hAnsi="Calibri"/>
                <w:b/>
                <w:bCs/>
                <w:color w:val="FFFFFF"/>
                <w:sz w:val="21"/>
                <w:szCs w:val="21"/>
              </w:rPr>
              <w:t xml:space="preserve">Your Finding</w:t>
            </w:r>
          </w:p>
        </w:tc>
      </w:tr>
      <w:tr>
        <w:tc>
          <w:tcPr>
            <w:tcW w:type="dxa" w:w="3200"/>
            <w:shd w:fill="F2F2F2" w:val="clear"/>
            <w:tcMar>
              <w:top w:type="dxa" w:w="90"/>
              <w:left w:type="dxa" w:w="150"/>
              <w:bottom w:type="dxa" w:w="90"/>
              <w:right w:type="dxa" w:w="150"/>
            </w:tcMar>
          </w:tcPr>
          <w:p>
            <w:r>
              <w:rPr>
                <w:rFonts w:ascii="Consolas" w:cs="Consolas" w:eastAsia="Consolas" w:hAnsi="Consolas"/>
                <w:b/>
                <w:bCs/>
                <w:color w:val="0F6E6E"/>
                <w:sz w:val="20"/>
                <w:szCs w:val="20"/>
              </w:rPr>
              <w:t xml:space="preserve">Domain</w:t>
            </w:r>
          </w:p>
        </w:tc>
        <w:tc>
          <w:tcPr>
            <w:tcW w:type="dxa" w:w="6150"/>
            <w:shd w:fill="F2F2F2" w:val="clear"/>
            <w:tcMar>
              <w:top w:type="dxa" w:w="90"/>
              <w:left w:type="dxa" w:w="150"/>
              <w:bottom w:type="dxa" w:w="90"/>
              <w:right w:type="dxa" w:w="150"/>
            </w:tcMar>
          </w:tcPr>
          <w:p>
            <w:r>
              <w:rPr>
                <w:rFonts w:ascii="Calibri" w:cs="Calibri" w:eastAsia="Calibri" w:hAnsi="Calibri"/>
                <w:color w:val="404040"/>
                <w:sz w:val="20"/>
                <w:szCs w:val="20"/>
              </w:rPr>
              <w:t xml:space="preserve"/>
            </w:r>
          </w:p>
        </w:tc>
      </w:tr>
      <w:tr>
        <w:tc>
          <w:tcPr>
            <w:tcW w:type="dxa" w:w="3200"/>
            <w:shd w:fill="FFFFFF" w:val="clear"/>
            <w:tcMar>
              <w:top w:type="dxa" w:w="90"/>
              <w:left w:type="dxa" w:w="150"/>
              <w:bottom w:type="dxa" w:w="90"/>
              <w:right w:type="dxa" w:w="150"/>
            </w:tcMar>
          </w:tcPr>
          <w:p>
            <w:r>
              <w:rPr>
                <w:rFonts w:ascii="Consolas" w:cs="Consolas" w:eastAsia="Consolas" w:hAnsi="Consolas"/>
                <w:b/>
                <w:bCs/>
                <w:color w:val="0F6E6E"/>
                <w:sz w:val="20"/>
                <w:szCs w:val="20"/>
              </w:rPr>
              <w:t xml:space="preserve">Registrar / Creation Date</w:t>
            </w:r>
          </w:p>
        </w:tc>
        <w:tc>
          <w:tcPr>
            <w:tcW w:type="dxa" w:w="6150"/>
            <w:shd w:fill="FFFFFF" w:val="clear"/>
            <w:tcMar>
              <w:top w:type="dxa" w:w="90"/>
              <w:left w:type="dxa" w:w="150"/>
              <w:bottom w:type="dxa" w:w="90"/>
              <w:right w:type="dxa" w:w="150"/>
            </w:tcMar>
          </w:tcPr>
          <w:p>
            <w:r>
              <w:rPr>
                <w:rFonts w:ascii="Calibri" w:cs="Calibri" w:eastAsia="Calibri" w:hAnsi="Calibri"/>
                <w:color w:val="404040"/>
                <w:sz w:val="20"/>
                <w:szCs w:val="20"/>
              </w:rPr>
              <w:t xml:space="preserve"/>
            </w:r>
          </w:p>
        </w:tc>
      </w:tr>
      <w:tr>
        <w:tc>
          <w:tcPr>
            <w:tcW w:type="dxa" w:w="3200"/>
            <w:shd w:fill="F2F2F2" w:val="clear"/>
            <w:tcMar>
              <w:top w:type="dxa" w:w="90"/>
              <w:left w:type="dxa" w:w="150"/>
              <w:bottom w:type="dxa" w:w="90"/>
              <w:right w:type="dxa" w:w="150"/>
            </w:tcMar>
          </w:tcPr>
          <w:p>
            <w:r>
              <w:rPr>
                <w:rFonts w:ascii="Consolas" w:cs="Consolas" w:eastAsia="Consolas" w:hAnsi="Consolas"/>
                <w:b/>
                <w:bCs/>
                <w:color w:val="0F6E6E"/>
                <w:sz w:val="20"/>
                <w:szCs w:val="20"/>
              </w:rPr>
              <w:t xml:space="preserve">Name Servers</w:t>
            </w:r>
          </w:p>
        </w:tc>
        <w:tc>
          <w:tcPr>
            <w:tcW w:type="dxa" w:w="6150"/>
            <w:shd w:fill="F2F2F2" w:val="clear"/>
            <w:tcMar>
              <w:top w:type="dxa" w:w="90"/>
              <w:left w:type="dxa" w:w="150"/>
              <w:bottom w:type="dxa" w:w="90"/>
              <w:right w:type="dxa" w:w="150"/>
            </w:tcMar>
          </w:tcPr>
          <w:p>
            <w:r>
              <w:rPr>
                <w:rFonts w:ascii="Calibri" w:cs="Calibri" w:eastAsia="Calibri" w:hAnsi="Calibri"/>
                <w:color w:val="404040"/>
                <w:sz w:val="20"/>
                <w:szCs w:val="20"/>
              </w:rPr>
              <w:t xml:space="preserve"/>
            </w:r>
          </w:p>
        </w:tc>
      </w:tr>
      <w:tr>
        <w:tc>
          <w:tcPr>
            <w:tcW w:type="dxa" w:w="3200"/>
            <w:shd w:fill="FFFFFF" w:val="clear"/>
            <w:tcMar>
              <w:top w:type="dxa" w:w="90"/>
              <w:left w:type="dxa" w:w="150"/>
              <w:bottom w:type="dxa" w:w="90"/>
              <w:right w:type="dxa" w:w="150"/>
            </w:tcMar>
          </w:tcPr>
          <w:p>
            <w:r>
              <w:rPr>
                <w:rFonts w:ascii="Consolas" w:cs="Consolas" w:eastAsia="Consolas" w:hAnsi="Consolas"/>
                <w:b/>
                <w:bCs/>
                <w:color w:val="0F6E6E"/>
                <w:sz w:val="20"/>
                <w:szCs w:val="20"/>
              </w:rPr>
              <w:t xml:space="preserve">A Record (IP)</w:t>
            </w:r>
          </w:p>
        </w:tc>
        <w:tc>
          <w:tcPr>
            <w:tcW w:type="dxa" w:w="6150"/>
            <w:shd w:fill="FFFFFF" w:val="clear"/>
            <w:tcMar>
              <w:top w:type="dxa" w:w="90"/>
              <w:left w:type="dxa" w:w="150"/>
              <w:bottom w:type="dxa" w:w="90"/>
              <w:right w:type="dxa" w:w="150"/>
            </w:tcMar>
          </w:tcPr>
          <w:p>
            <w:r>
              <w:rPr>
                <w:rFonts w:ascii="Calibri" w:cs="Calibri" w:eastAsia="Calibri" w:hAnsi="Calibri"/>
                <w:color w:val="404040"/>
                <w:sz w:val="20"/>
                <w:szCs w:val="20"/>
              </w:rPr>
              <w:t xml:space="preserve"/>
            </w:r>
          </w:p>
        </w:tc>
      </w:tr>
      <w:tr>
        <w:tc>
          <w:tcPr>
            <w:tcW w:type="dxa" w:w="3200"/>
            <w:shd w:fill="F2F2F2" w:val="clear"/>
            <w:tcMar>
              <w:top w:type="dxa" w:w="90"/>
              <w:left w:type="dxa" w:w="150"/>
              <w:bottom w:type="dxa" w:w="90"/>
              <w:right w:type="dxa" w:w="150"/>
            </w:tcMar>
          </w:tcPr>
          <w:p>
            <w:r>
              <w:rPr>
                <w:rFonts w:ascii="Consolas" w:cs="Consolas" w:eastAsia="Consolas" w:hAnsi="Consolas"/>
                <w:b/>
                <w:bCs/>
                <w:color w:val="0F6E6E"/>
                <w:sz w:val="20"/>
                <w:szCs w:val="20"/>
              </w:rPr>
              <w:t xml:space="preserve">MX Record</w:t>
            </w:r>
          </w:p>
        </w:tc>
        <w:tc>
          <w:tcPr>
            <w:tcW w:type="dxa" w:w="6150"/>
            <w:shd w:fill="F2F2F2" w:val="clear"/>
            <w:tcMar>
              <w:top w:type="dxa" w:w="90"/>
              <w:left w:type="dxa" w:w="150"/>
              <w:bottom w:type="dxa" w:w="90"/>
              <w:right w:type="dxa" w:w="150"/>
            </w:tcMar>
          </w:tcPr>
          <w:p>
            <w:r>
              <w:rPr>
                <w:rFonts w:ascii="Calibri" w:cs="Calibri" w:eastAsia="Calibri" w:hAnsi="Calibri"/>
                <w:color w:val="404040"/>
                <w:sz w:val="20"/>
                <w:szCs w:val="20"/>
              </w:rPr>
              <w:t xml:space="preserve"/>
            </w:r>
          </w:p>
        </w:tc>
      </w:tr>
      <w:tr>
        <w:tc>
          <w:tcPr>
            <w:tcW w:type="dxa" w:w="3200"/>
            <w:shd w:fill="FFFFFF" w:val="clear"/>
            <w:tcMar>
              <w:top w:type="dxa" w:w="90"/>
              <w:left w:type="dxa" w:w="150"/>
              <w:bottom w:type="dxa" w:w="90"/>
              <w:right w:type="dxa" w:w="150"/>
            </w:tcMar>
          </w:tcPr>
          <w:p>
            <w:r>
              <w:rPr>
                <w:rFonts w:ascii="Consolas" w:cs="Consolas" w:eastAsia="Consolas" w:hAnsi="Consolas"/>
                <w:b/>
                <w:bCs/>
                <w:color w:val="0F6E6E"/>
                <w:sz w:val="20"/>
                <w:szCs w:val="20"/>
              </w:rPr>
              <w:t xml:space="preserve">TXT Record Highlights</w:t>
            </w:r>
          </w:p>
        </w:tc>
        <w:tc>
          <w:tcPr>
            <w:tcW w:type="dxa" w:w="6150"/>
            <w:shd w:fill="FFFFFF" w:val="clear"/>
            <w:tcMar>
              <w:top w:type="dxa" w:w="90"/>
              <w:left w:type="dxa" w:w="150"/>
              <w:bottom w:type="dxa" w:w="90"/>
              <w:right w:type="dxa" w:w="150"/>
            </w:tcMar>
          </w:tcPr>
          <w:p>
            <w:r>
              <w:rPr>
                <w:rFonts w:ascii="Calibri" w:cs="Calibri" w:eastAsia="Calibri" w:hAnsi="Calibri"/>
                <w:color w:val="404040"/>
                <w:sz w:val="20"/>
                <w:szCs w:val="20"/>
              </w:rPr>
              <w:t xml:space="preserve"/>
            </w:r>
          </w:p>
        </w:tc>
      </w:tr>
      <w:tr>
        <w:tc>
          <w:tcPr>
            <w:tcW w:type="dxa" w:w="3200"/>
            <w:shd w:fill="F2F2F2" w:val="clear"/>
            <w:tcMar>
              <w:top w:type="dxa" w:w="90"/>
              <w:left w:type="dxa" w:w="150"/>
              <w:bottom w:type="dxa" w:w="90"/>
              <w:right w:type="dxa" w:w="150"/>
            </w:tcMar>
          </w:tcPr>
          <w:p>
            <w:r>
              <w:rPr>
                <w:rFonts w:ascii="Consolas" w:cs="Consolas" w:eastAsia="Consolas" w:hAnsi="Consolas"/>
                <w:b/>
                <w:bCs/>
                <w:color w:val="0F6E6E"/>
                <w:sz w:val="20"/>
                <w:szCs w:val="20"/>
              </w:rPr>
              <w:t xml:space="preserve">Shodan — Open Ports</w:t>
            </w:r>
          </w:p>
        </w:tc>
        <w:tc>
          <w:tcPr>
            <w:tcW w:type="dxa" w:w="6150"/>
            <w:shd w:fill="F2F2F2" w:val="clear"/>
            <w:tcMar>
              <w:top w:type="dxa" w:w="90"/>
              <w:left w:type="dxa" w:w="150"/>
              <w:bottom w:type="dxa" w:w="90"/>
              <w:right w:type="dxa" w:w="150"/>
            </w:tcMar>
          </w:tcPr>
          <w:p>
            <w:r>
              <w:rPr>
                <w:rFonts w:ascii="Calibri" w:cs="Calibri" w:eastAsia="Calibri" w:hAnsi="Calibri"/>
                <w:color w:val="404040"/>
                <w:sz w:val="20"/>
                <w:szCs w:val="20"/>
              </w:rPr>
              <w:t xml:space="preserve"/>
            </w:r>
          </w:p>
        </w:tc>
      </w:tr>
      <w:tr>
        <w:tc>
          <w:tcPr>
            <w:tcW w:type="dxa" w:w="3200"/>
            <w:shd w:fill="FFFFFF" w:val="clear"/>
            <w:tcMar>
              <w:top w:type="dxa" w:w="90"/>
              <w:left w:type="dxa" w:w="150"/>
              <w:bottom w:type="dxa" w:w="90"/>
              <w:right w:type="dxa" w:w="150"/>
            </w:tcMar>
          </w:tcPr>
          <w:p>
            <w:r>
              <w:rPr>
                <w:rFonts w:ascii="Consolas" w:cs="Consolas" w:eastAsia="Consolas" w:hAnsi="Consolas"/>
                <w:b/>
                <w:bCs/>
                <w:color w:val="0F6E6E"/>
                <w:sz w:val="20"/>
                <w:szCs w:val="20"/>
              </w:rPr>
              <w:t xml:space="preserve">Shodan — Services/Versions</w:t>
            </w:r>
          </w:p>
        </w:tc>
        <w:tc>
          <w:tcPr>
            <w:tcW w:type="dxa" w:w="6150"/>
            <w:shd w:fill="FFFFFF" w:val="clear"/>
            <w:tcMar>
              <w:top w:type="dxa" w:w="90"/>
              <w:left w:type="dxa" w:w="150"/>
              <w:bottom w:type="dxa" w:w="90"/>
              <w:right w:type="dxa" w:w="150"/>
            </w:tcMar>
          </w:tcPr>
          <w:p>
            <w:r>
              <w:rPr>
                <w:rFonts w:ascii="Calibri" w:cs="Calibri" w:eastAsia="Calibri" w:hAnsi="Calibri"/>
                <w:color w:val="404040"/>
                <w:sz w:val="20"/>
                <w:szCs w:val="20"/>
              </w:rPr>
              <w:t xml:space="preserve"/>
            </w:r>
          </w:p>
        </w:tc>
      </w:tr>
      <w:tr>
        <w:tc>
          <w:tcPr>
            <w:tcW w:type="dxa" w:w="3200"/>
            <w:shd w:fill="F2F2F2" w:val="clear"/>
            <w:tcMar>
              <w:top w:type="dxa" w:w="90"/>
              <w:left w:type="dxa" w:w="150"/>
              <w:bottom w:type="dxa" w:w="90"/>
              <w:right w:type="dxa" w:w="150"/>
            </w:tcMar>
          </w:tcPr>
          <w:p>
            <w:r>
              <w:rPr>
                <w:rFonts w:ascii="Consolas" w:cs="Consolas" w:eastAsia="Consolas" w:hAnsi="Consolas"/>
                <w:b/>
                <w:bCs/>
                <w:color w:val="0F6E6E"/>
                <w:sz w:val="20"/>
                <w:szCs w:val="20"/>
              </w:rPr>
              <w:t xml:space="preserve">Subdomains Found</w:t>
            </w:r>
          </w:p>
        </w:tc>
        <w:tc>
          <w:tcPr>
            <w:tcW w:type="dxa" w:w="6150"/>
            <w:shd w:fill="F2F2F2" w:val="clear"/>
            <w:tcMar>
              <w:top w:type="dxa" w:w="90"/>
              <w:left w:type="dxa" w:w="150"/>
              <w:bottom w:type="dxa" w:w="90"/>
              <w:right w:type="dxa" w:w="150"/>
            </w:tcMar>
          </w:tcPr>
          <w:p>
            <w:r>
              <w:rPr>
                <w:rFonts w:ascii="Calibri" w:cs="Calibri" w:eastAsia="Calibri" w:hAnsi="Calibri"/>
                <w:color w:val="404040"/>
                <w:sz w:val="20"/>
                <w:szCs w:val="20"/>
              </w:rPr>
              <w:t xml:space="preserve"/>
            </w:r>
          </w:p>
        </w:tc>
      </w:tr>
      <w:tr>
        <w:tc>
          <w:tcPr>
            <w:tcW w:type="dxa" w:w="3200"/>
            <w:shd w:fill="FFFFFF" w:val="clear"/>
            <w:tcMar>
              <w:top w:type="dxa" w:w="90"/>
              <w:left w:type="dxa" w:w="150"/>
              <w:bottom w:type="dxa" w:w="90"/>
              <w:right w:type="dxa" w:w="150"/>
            </w:tcMar>
          </w:tcPr>
          <w:p>
            <w:r>
              <w:rPr>
                <w:rFonts w:ascii="Consolas" w:cs="Consolas" w:eastAsia="Consolas" w:hAnsi="Consolas"/>
                <w:b/>
                <w:bCs/>
                <w:color w:val="0F6E6E"/>
                <w:sz w:val="20"/>
                <w:szCs w:val="20"/>
              </w:rPr>
              <w:t xml:space="preserve">Emails Found</w:t>
            </w:r>
          </w:p>
        </w:tc>
        <w:tc>
          <w:tcPr>
            <w:tcW w:type="dxa" w:w="6150"/>
            <w:shd w:fill="FFFFFF" w:val="clear"/>
            <w:tcMar>
              <w:top w:type="dxa" w:w="90"/>
              <w:left w:type="dxa" w:w="150"/>
              <w:bottom w:type="dxa" w:w="90"/>
              <w:right w:type="dxa" w:w="150"/>
            </w:tcMar>
          </w:tcPr>
          <w:p>
            <w:r>
              <w:rPr>
                <w:rFonts w:ascii="Calibri" w:cs="Calibri" w:eastAsia="Calibri" w:hAnsi="Calibri"/>
                <w:color w:val="404040"/>
                <w:sz w:val="20"/>
                <w:szCs w:val="20"/>
              </w:rPr>
              <w:t xml:space="preserve"/>
            </w:r>
          </w:p>
        </w:tc>
      </w:tr>
      <w:tr>
        <w:tc>
          <w:tcPr>
            <w:tcW w:type="dxa" w:w="3200"/>
            <w:shd w:fill="F2F2F2" w:val="clear"/>
            <w:tcMar>
              <w:top w:type="dxa" w:w="90"/>
              <w:left w:type="dxa" w:w="150"/>
              <w:bottom w:type="dxa" w:w="90"/>
              <w:right w:type="dxa" w:w="150"/>
            </w:tcMar>
          </w:tcPr>
          <w:p>
            <w:r>
              <w:rPr>
                <w:rFonts w:ascii="Consolas" w:cs="Consolas" w:eastAsia="Consolas" w:hAnsi="Consolas"/>
                <w:b/>
                <w:bCs/>
                <w:color w:val="0F6E6E"/>
                <w:sz w:val="20"/>
                <w:szCs w:val="20"/>
              </w:rPr>
              <w:t xml:space="preserve">Notable Weaknesses</w:t>
            </w:r>
          </w:p>
        </w:tc>
        <w:tc>
          <w:tcPr>
            <w:tcW w:type="dxa" w:w="6150"/>
            <w:shd w:fill="F2F2F2" w:val="clear"/>
            <w:tcMar>
              <w:top w:type="dxa" w:w="90"/>
              <w:left w:type="dxa" w:w="150"/>
              <w:bottom w:type="dxa" w:w="90"/>
              <w:right w:type="dxa" w:w="150"/>
            </w:tcMar>
          </w:tcPr>
          <w:p>
            <w:r>
              <w:rPr>
                <w:rFonts w:ascii="Calibri" w:cs="Calibri" w:eastAsia="Calibri" w:hAnsi="Calibri"/>
                <w:color w:val="404040"/>
                <w:sz w:val="20"/>
                <w:szCs w:val="20"/>
              </w:rPr>
              <w:t xml:space="preserve"/>
            </w:r>
          </w:p>
        </w:tc>
      </w:tr>
    </w:tbl>
    <w:p>
      <w:r>
        <w:br w:type="page"/>
      </w:r>
    </w:p>
    <w:p>
      <w:pPr>
        <w:pStyle w:val="Heading1"/>
        <w:pBdr>
          <w:bottom w:val="single" w:color="1F3864" w:sz="12" w:space="4"/>
        </w:pBdr>
        <w:spacing w:after="200" w:before="400"/>
      </w:pPr>
      <w:r>
        <w:rPr>
          <w:rFonts w:ascii="Calibri" w:cs="Calibri" w:eastAsia="Calibri" w:hAnsi="Calibri"/>
          <w:b/>
          <w:bCs/>
          <w:color w:val="1F3864"/>
          <w:sz w:val="32"/>
          <w:szCs w:val="32"/>
        </w:rPr>
        <w:t xml:space="preserve">Wrap-Up &amp; Next Steps</w:t>
      </w:r>
    </w:p>
    <w:p>
      <w:pPr>
        <w:pStyle w:val="Heading2"/>
        <w:spacing w:after="150" w:before="300"/>
      </w:pPr>
      <w:r>
        <w:rPr>
          <w:rFonts w:ascii="Calibri" w:cs="Calibri" w:eastAsia="Calibri" w:hAnsi="Calibri"/>
          <w:b/>
          <w:bCs/>
          <w:color w:val="0F6E6E"/>
          <w:sz w:val="26"/>
          <w:szCs w:val="26"/>
        </w:rPr>
        <w:t xml:space="preserve">Key Takeaways</w:t>
      </w:r>
    </w:p>
    <w:p>
      <w:pPr>
        <w:pStyle w:val="ListParagraph"/>
        <w:numPr>
          <w:ilvl w:val="0"/>
          <w:numId w:val="2"/>
        </w:numPr>
        <w:spacing w:after="80"/>
      </w:pPr>
      <w:r>
        <w:rPr>
          <w:rFonts w:ascii="Calibri" w:cs="Calibri" w:eastAsia="Calibri" w:hAnsi="Calibri"/>
          <w:color w:val="404040"/>
          <w:sz w:val="22"/>
          <w:szCs w:val="22"/>
        </w:rPr>
        <w:t xml:space="preserve">Recon is intelligence-gathering, not exploitation — passive methods carry near-zero risk and should always come first.</w:t>
      </w:r>
    </w:p>
    <w:p>
      <w:pPr>
        <w:pStyle w:val="ListParagraph"/>
        <w:numPr>
          <w:ilvl w:val="0"/>
          <w:numId w:val="2"/>
        </w:numPr>
        <w:spacing w:after="80"/>
      </w:pPr>
      <w:r>
        <w:rPr>
          <w:rFonts w:ascii="Calibri" w:cs="Calibri" w:eastAsia="Calibri" w:hAnsi="Calibri"/>
          <w:color w:val="404040"/>
          <w:sz w:val="22"/>
          <w:szCs w:val="22"/>
        </w:rPr>
        <w:t xml:space="preserve">WHOIS + nslookup map the domain's administrative and DNS footprint.</w:t>
      </w:r>
    </w:p>
    <w:p>
      <w:pPr>
        <w:pStyle w:val="ListParagraph"/>
        <w:numPr>
          <w:ilvl w:val="0"/>
          <w:numId w:val="2"/>
        </w:numPr>
        <w:spacing w:after="80"/>
      </w:pPr>
      <w:r>
        <w:rPr>
          <w:rFonts w:ascii="Calibri" w:cs="Calibri" w:eastAsia="Calibri" w:hAnsi="Calibri"/>
          <w:color w:val="404040"/>
          <w:sz w:val="22"/>
          <w:szCs w:val="22"/>
        </w:rPr>
        <w:t xml:space="preserve">Shodan reveals what's actually exposed to the internet, independent of what the organisation intends to expose.</w:t>
      </w:r>
    </w:p>
    <w:p>
      <w:pPr>
        <w:pStyle w:val="ListParagraph"/>
        <w:numPr>
          <w:ilvl w:val="0"/>
          <w:numId w:val="2"/>
        </w:numPr>
        <w:spacing w:after="80"/>
      </w:pPr>
      <w:r>
        <w:rPr>
          <w:rFonts w:ascii="Calibri" w:cs="Calibri" w:eastAsia="Calibri" w:hAnsi="Calibri"/>
          <w:color w:val="404040"/>
          <w:sz w:val="22"/>
          <w:szCs w:val="22"/>
        </w:rPr>
        <w:t xml:space="preserve">theHarvester turns scattered public mentions into a structured list of emails, hosts, and subdomains.</w:t>
      </w:r>
    </w:p>
    <w:p>
      <w:pPr>
        <w:pStyle w:val="ListParagraph"/>
        <w:numPr>
          <w:ilvl w:val="0"/>
          <w:numId w:val="2"/>
        </w:numPr>
        <w:spacing w:after="80"/>
      </w:pPr>
      <w:r>
        <w:rPr>
          <w:rFonts w:ascii="Calibri" w:cs="Calibri" w:eastAsia="Calibri" w:hAnsi="Calibri"/>
          <w:color w:val="404040"/>
          <w:sz w:val="22"/>
          <w:szCs w:val="22"/>
        </w:rPr>
        <w:t xml:space="preserve">Every finding should be documented with its source — recon output is the input to every later phase (scanning, vulnerability assessment, exploitation).</w:t>
      </w:r>
    </w:p>
    <w:p>
      <w:pPr>
        <w:spacing w:after="80"/>
      </w:pPr>
    </w:p>
    <w:p>
      <w:pPr>
        <w:pStyle w:val="Heading2"/>
        <w:spacing w:after="150" w:before="300"/>
      </w:pPr>
      <w:r>
        <w:rPr>
          <w:rFonts w:ascii="Calibri" w:cs="Calibri" w:eastAsia="Calibri" w:hAnsi="Calibri"/>
          <w:b/>
          <w:bCs/>
          <w:color w:val="0F6E6E"/>
          <w:sz w:val="26"/>
          <w:szCs w:val="26"/>
        </w:rPr>
        <w:t xml:space="preserve">Looking Ahead — Day 7</w:t>
      </w:r>
    </w:p>
    <w:p>
      <w:pPr>
        <w:spacing w:after="120"/>
      </w:pPr>
      <w:r>
        <w:rPr>
          <w:rFonts w:ascii="Calibri" w:cs="Calibri" w:eastAsia="Calibri" w:hAnsi="Calibri"/>
          <w:color w:val="404040"/>
          <w:sz w:val="22"/>
          <w:szCs w:val="22"/>
        </w:rPr>
        <w:t xml:space="preserve">Day 7 moves from passive footprinting into active scanning: Nmap scan types, service/version detection, and safe scanning practice within an authorised lab range.</w:t>
      </w:r>
    </w:p>
    <w:p>
      <w:pPr>
        <w:spacing w:after="12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F2F2F2" w:sz="2"/>
              <w:left w:val="single" w:color="1F3864" w:sz="24"/>
              <w:bottom w:val="single" w:color="F2F2F2" w:sz="2"/>
              <w:right w:val="single" w:color="F2F2F2" w:sz="2"/>
            </w:tcBorders>
            <w:shd w:fill="F2F2F2" w:val="clear"/>
            <w:tcMar>
              <w:top w:type="dxa" w:w="120"/>
              <w:left w:type="dxa" w:w="200"/>
              <w:bottom w:type="dxa" w:w="120"/>
              <w:right w:type="dxa" w:w="200"/>
            </w:tcMar>
          </w:tcPr>
          <w:p>
            <w:pPr>
              <w:spacing w:after="60"/>
            </w:pPr>
            <w:r>
              <w:rPr>
                <w:rFonts w:ascii="Calibri" w:cs="Calibri" w:eastAsia="Calibri" w:hAnsi="Calibri"/>
                <w:b/>
                <w:bCs/>
                <w:color w:val="1F3864"/>
                <w:sz w:val="22"/>
                <w:szCs w:val="22"/>
              </w:rPr>
              <w:t xml:space="preserve">Instructor Note</w:t>
            </w:r>
          </w:p>
          <w:p>
            <w:pPr>
              <w:spacing w:after="40"/>
            </w:pPr>
            <w:r>
              <w:rPr>
                <w:rFonts w:ascii="Calibri" w:cs="Calibri" w:eastAsia="Calibri" w:hAnsi="Calibri"/>
                <w:color w:val="404040"/>
                <w:sz w:val="21"/>
                <w:szCs w:val="21"/>
              </w:rPr>
              <w:t xml:space="preserve">Keep all lab work inside the provided/authorised scope. Screenshots of terminal output (WHOIS, nslookup, Shodan, theHarvester) should be saved by each participant for their internship portfolio.</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850" w:hanging="260"/>
      </w:pPr>
    </w:lvl>
  </w:abstractNum>
  <w:abstractNum w:abstractNumId="3"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2026-07-10T10:35:08.067Z</dcterms:created>
  <dcterms:modified xsi:type="dcterms:W3CDTF">2026-07-10T10:35:08.079Z</dcterms:modified>
</cp:coreProperties>
</file>

<file path=docProps/custom.xml><?xml version="1.0" encoding="utf-8"?>
<Properties xmlns="http://schemas.openxmlformats.org/officeDocument/2006/custom-properties" xmlns:vt="http://schemas.openxmlformats.org/officeDocument/2006/docPropsVTypes"/>
</file>