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2880"/>
        <w:jc w:val="center"/>
      </w:pPr>
      <w:r>
        <w:rPr>
          <w:rFonts w:ascii="Arial" w:cs="Arial" w:eastAsia="Arial" w:hAnsi="Arial"/>
          <w:b/>
          <w:bCs/>
          <w:color w:val="1F4E79"/>
          <w:sz w:val="52"/>
          <w:szCs w:val="52"/>
        </w:rPr>
        <w:t xml:space="preserve">CAC / PIV IDENTITY MANAGEMENT PROGRAM</w:t>
      </w:r>
    </w:p>
    <w:p>
      <w:pPr>
        <w:spacing w:after="240" w:before="0"/>
        <w:jc w:val="center"/>
      </w:pPr>
      <w:r>
        <w:rPr>
          <w:rFonts w:ascii="Arial" w:cs="Arial" w:eastAsia="Arial" w:hAnsi="Arial"/>
          <w:color w:val="2E75B6"/>
          <w:sz w:val="40"/>
          <w:szCs w:val="40"/>
        </w:rPr>
        <w:t xml:space="preserve">Infrastructure Scaling Guide</w:t>
      </w:r>
    </w:p>
    <w:p>
      <w:pPr>
        <w:pBdr>
          <w:bottom w:val="single" w:color="2E75B6" w:sz="8" w:space="2"/>
        </w:pBdr>
        <w:spacing w:after="120" w:before="0"/>
        <w:jc w:val="center"/>
      </w:pPr>
      <w:r>
        <w:rPr>
          <w:rFonts w:ascii="Arial" w:cs="Arial" w:eastAsia="Arial" w:hAnsi="Arial"/>
          <w:b/>
          <w:bCs/>
          <w:color w:val="1F4E79"/>
          <w:sz w:val="36"/>
          <w:szCs w:val="36"/>
        </w:rPr>
        <w:t xml:space="preserve">50 to 500 Users</w:t>
      </w:r>
    </w:p>
    <w:p>
      <w:pPr>
        <w:spacing w:after="120" w:before="1440"/>
        <w:jc w:val="center"/>
      </w:pPr>
      <w:r>
        <w:rPr>
          <w:rFonts w:ascii="Arial" w:cs="Arial" w:eastAsia="Arial" w:hAnsi="Arial"/>
          <w:color w:val="595959"/>
          <w:sz w:val="24"/>
          <w:szCs w:val="24"/>
        </w:rPr>
        <w:t xml:space="preserve">Version 1.0  |  May 2026</w:t>
      </w:r>
    </w:p>
    <w:p>
      <w:pPr>
        <w:spacing w:after="120" w:before="0"/>
        <w:jc w:val="center"/>
      </w:pPr>
      <w:r>
        <w:rPr>
          <w:rFonts w:ascii="Arial" w:cs="Arial" w:eastAsia="Arial" w:hAnsi="Arial"/>
          <w:i/>
          <w:iCs/>
          <w:color w:val="595959"/>
          <w:sz w:val="22"/>
          <w:szCs w:val="22"/>
        </w:rPr>
      </w:r>
    </w:p>
    <w:p>
      <w:pPr>
        <w:spacing w:after="120" w:before="1440"/>
        <w:jc w:val="center"/>
      </w:pPr>
      <w:r>
        <w:rPr>
          <w:rFonts w:ascii="Arial" w:cs="Arial" w:eastAsia="Arial" w:hAnsi="Arial"/>
          <w:b/>
          <w:bCs/>
          <w:color w:val="1F4E79"/>
          <w:sz w:val="22"/>
          <w:szCs w:val="22"/>
        </w:rPr>
        <w:t xml:space="preserve">Prepared for:</w:t>
      </w:r>
    </w:p>
    <w:p>
      <w:pPr>
        <w:spacing w:after="120" w:before="0"/>
        <w:jc w:val="center"/>
      </w:pPr>
      <w:r>
        <w:rPr>
          <w:rFonts w:ascii="Arial" w:cs="Arial" w:eastAsia="Arial" w:hAnsi="Arial"/>
          <w:color w:val="000000"/>
          <w:sz w:val="22"/>
          <w:szCs w:val="22"/>
        </w:rPr>
        <w:t xml:space="preserve">IT Management / Security Engineering Team</w:t>
      </w:r>
    </w:p>
    <w:p>
      <w:pPr>
        <w:spacing w:after="0" w:before="2160"/>
        <w:jc w:val="center"/>
      </w:pPr>
      <w:r>
        <w:rPr>
          <w:rFonts w:ascii="Arial" w:cs="Arial" w:eastAsia="Arial" w:hAnsi="Arial"/>
          <w:i/>
          <w:iCs/>
          <w:color w:val="7F7F7F"/>
          <w:sz w:val="18"/>
          <w:szCs w:val="18"/>
        </w:rPr>
        <w:t xml:space="preserve">Pricing reflects 2025-2026 commercial market rates. DoD CAC cards are government-furnished.</w:t>
      </w:r>
    </w:p>
    <w:p>
      <w:r>
        <w:br w:type="page"/>
      </w:r>
    </w:p>
    <w:p>
      <w:pPr>
        <w:sectPr>
          <w:headerReference w:type="default" r:id="rId10"/>
          <w:footerReference w:type="default" r:id="rId11"/>
          <w:headerReference w:type="first" r:id="rId12"/>
          <w:footerReference w:type="first" r:id="rId13"/>
          <w:headerReference w:type="even" r:id="rId14"/>
          <w:footerReference w:type="even" r:id="rId15"/>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rPr>
        <w:t xml:space="preserve">1. Executive Summary</w:t>
      </w:r>
    </w:p>
    <w:p>
      <w:pPr>
        <w:spacing w:after="120" w:before="60"/>
        <w:jc w:val="both"/>
      </w:pPr>
      <w:r>
        <w:rPr>
          <w:rFonts w:ascii="Arial" w:cs="Arial" w:eastAsia="Arial" w:hAnsi="Arial"/>
          <w:b w:val="false"/>
          <w:bCs w:val="false"/>
          <w:i w:val="false"/>
          <w:iCs w:val="false"/>
          <w:color w:val="000000"/>
          <w:sz w:val="22"/>
          <w:szCs w:val="22"/>
        </w:rPr>
        <w:t xml:space="preserve">This document provides a comprehensive infrastructure planning and cost estimation guide for scaling a CAC (Common Access Card) and PIV (Personal Identity Verification) smart card identity management program from an initial deployment of 50 users to an enterprise scale of 500 users.</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CAC/PIV programs deliver two-factor authentication (2FA) combining physical card possession with a PIN, enabling compliance with HSPD-12, FIPS 201-3, and federal identity assurance frameworks. Scaling such a program requires parallel planning across five domains: physical card inventory, workstation hardware (readers), server infrastructure (PKI/CA hierarchy), software licensing, and operational staffing.</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This guide breaks growth into four logical tiers and provides itemized cost breakdowns, server specifications, and scaling recommendations for each. All pricing reflects 2025-2026 commercial market rates. DoD organizations should note that CAC cards are government-furnished equipment (GFE) issued through RAPIDS; card cost lines apply primarily to civilian agencies or contractors procuring commercial PIV-equivalent cards.</w:t>
      </w:r>
    </w:p>
    <w:p>
      <w:pPr>
        <w:spacing w:after="60" w:before="60"/>
      </w:pPr>
      <w:r>
        <w:rPr>
          <w:sz w:val="22"/>
          <w:szCs w:val="22"/>
        </w:rPr>
        <w:t xml:space="preserve"/>
      </w:r>
    </w:p>
    <w:p>
      <w:pPr>
        <w:pStyle w:val="Heading2"/>
      </w:pPr>
      <w:r>
        <w:rPr>
          <w:rFonts w:ascii="Arial" w:cs="Arial" w:eastAsia="Arial" w:hAnsi="Arial"/>
        </w:rPr>
        <w:t xml:space="preserve">Key Cost Summary</w:t>
      </w:r>
    </w:p>
    <w:p>
      <w:pPr>
        <w:spacing w:after="120" w:before="60"/>
        <w:jc w:val="both"/>
      </w:pPr>
      <w:r>
        <w:rPr>
          <w:rFonts w:ascii="Arial" w:cs="Arial" w:eastAsia="Arial" w:hAnsi="Arial"/>
          <w:b w:val="false"/>
          <w:bCs w:val="false"/>
          <w:i w:val="false"/>
          <w:iCs w:val="false"/>
          <w:color w:val="000000"/>
          <w:sz w:val="22"/>
          <w:szCs w:val="22"/>
        </w:rPr>
        <w:t xml:space="preserve">The table below summarizes total estimated one-time and annual recurring costs at each deployment tier. One-time costs are shown incrementally (the additional investment to move from the prior tier); the 3-year cumulative TCO reflects the total program investment through three years of full-scale operation.</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W w:type="dxa" w:w="2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165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Users</w:t>
            </w:r>
          </w:p>
        </w:tc>
        <w:tc>
          <w:tcPr>
            <w:tcW w:type="dxa" w:w="165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One-Time Cost
(Incremental)</w:t>
            </w:r>
          </w:p>
        </w:tc>
        <w:tc>
          <w:tcPr>
            <w:tcW w:type="dxa" w:w="165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Annual Recurring</w:t>
            </w:r>
          </w:p>
        </w:tc>
        <w:tc>
          <w:tcPr>
            <w:tcW w:type="dxa" w:w="165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3-Year Cumulative TCO</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Tier 1 — Baseline</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$25,318</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~$3,500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~$35,800</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Tier 2 — Redundancy</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$15,949</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~$6,500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~$60,800</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Tier 3 — Mid-Scale</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$49,674</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~$13,000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~$129,900</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Tier 4 — Enterprise</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$102,985</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~$26,000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~$271,900</w:t>
            </w:r>
          </w:p>
        </w:tc>
      </w:tr>
    </w:tbl>
    <w:p>
      <w:pPr>
        <w:spacing w:after="60" w:before="60"/>
      </w:pPr>
      <w:r>
        <w:rPr>
          <w:sz w:val="22"/>
          <w:szCs w:val="22"/>
        </w:rPr>
        <w:t xml:space="preserve"/>
      </w:r>
    </w:p>
    <w:p>
      <w:pPr>
        <w:spacing w:after="120" w:before="60"/>
        <w:jc w:val="both"/>
      </w:pPr>
      <w:r>
        <w:rPr>
          <w:rFonts w:ascii="Arial" w:cs="Arial" w:eastAsia="Arial" w:hAnsi="Arial"/>
          <w:b w:val="false"/>
          <w:bCs w:val="false"/>
          <w:i/>
          <w:iCs/>
          <w:color w:val="000000"/>
          <w:sz w:val="22"/>
          <w:szCs w:val="22"/>
        </w:rPr>
        <w:t xml:space="preserve">Note: The 3-year TCO is cumulative across all tiers reached, not per-tier in isolation. For example, the Tier 4 value of ~$271,900 represents the total investment to deploy and operate a 500-user program for three years, beginning from scratch.</w:t>
      </w:r>
    </w:p>
    <w:p>
      <w:pPr>
        <w:spacing w:after="60" w:before="60"/>
      </w:pPr>
      <w:r>
        <w:rPr>
          <w:sz w:val="22"/>
          <w:szCs w:val="22"/>
        </w:rPr>
        <w:t xml:space="preserve"/>
      </w:r>
    </w:p>
    <w:p>
      <w:pPr>
        <w:pStyle w:val="Heading2"/>
      </w:pPr>
      <w:r>
        <w:rPr>
          <w:rFonts w:ascii="Arial" w:cs="Arial" w:eastAsia="Arial" w:hAnsi="Arial"/>
        </w:rPr>
        <w:t xml:space="preserve">Scope and Assumptions</w:t>
      </w:r>
    </w:p>
    <w:p>
      <w:pPr>
        <w:pStyle w:val="ListParagraph"/>
        <w:numPr>
          <w:ilvl w:val="0"/>
          <w:numId w:val="2"/>
        </w:numPr>
        <w:spacing w:after="40" w:before="40"/>
      </w:pPr>
      <w:r>
        <w:rPr>
          <w:rFonts w:ascii="Arial" w:cs="Arial" w:eastAsia="Arial" w:hAnsi="Arial"/>
          <w:sz w:val="22"/>
          <w:szCs w:val="22"/>
        </w:rPr>
        <w:t xml:space="preserve">Card type: Commercial PIV-equivalent cards (e.g., HID Crescendo C2300, Entrust IdentityGuard) at ~$15-25/card. DoD organizations substitute GFE CAC cards; adjust card line items to $0.</w:t>
      </w:r>
    </w:p>
    <w:p>
      <w:pPr>
        <w:pStyle w:val="ListParagraph"/>
        <w:numPr>
          <w:ilvl w:val="0"/>
          <w:numId w:val="2"/>
        </w:numPr>
        <w:spacing w:after="40" w:before="40"/>
      </w:pPr>
      <w:r>
        <w:rPr>
          <w:rFonts w:ascii="Arial" w:cs="Arial" w:eastAsia="Arial" w:hAnsi="Arial"/>
          <w:sz w:val="22"/>
          <w:szCs w:val="22"/>
        </w:rPr>
        <w:t xml:space="preserve">Card readers: USB contact/contactless smart card readers at workstations only. Physical access control (door readers, turnstiles) is out of scope.</w:t>
      </w:r>
    </w:p>
    <w:p>
      <w:pPr>
        <w:pStyle w:val="ListParagraph"/>
        <w:numPr>
          <w:ilvl w:val="0"/>
          <w:numId w:val="2"/>
        </w:numPr>
        <w:spacing w:after="40" w:before="40"/>
      </w:pPr>
      <w:r>
        <w:rPr>
          <w:rFonts w:ascii="Arial" w:cs="Arial" w:eastAsia="Arial" w:hAnsi="Arial"/>
          <w:sz w:val="22"/>
          <w:szCs w:val="22"/>
        </w:rPr>
        <w:t xml:space="preserve">PKI infrastructure: Microsoft Active Directory Certificate Services (AD CS) two-tier hierarchy. Third-party PKI software evaluated at Tier 3+.</w:t>
      </w:r>
    </w:p>
    <w:p>
      <w:pPr>
        <w:pStyle w:val="ListParagraph"/>
        <w:numPr>
          <w:ilvl w:val="0"/>
          <w:numId w:val="2"/>
        </w:numPr>
        <w:spacing w:after="40" w:before="40"/>
      </w:pPr>
      <w:r>
        <w:rPr>
          <w:rFonts w:ascii="Arial" w:cs="Arial" w:eastAsia="Arial" w:hAnsi="Arial"/>
          <w:sz w:val="22"/>
          <w:szCs w:val="22"/>
        </w:rPr>
        <w:t xml:space="preserve">Labor rate: $150/hour blended rate (in-house senior engineer or contractor).</w:t>
      </w:r>
    </w:p>
    <w:p>
      <w:pPr>
        <w:pStyle w:val="ListParagraph"/>
        <w:numPr>
          <w:ilvl w:val="0"/>
          <w:numId w:val="2"/>
        </w:numPr>
        <w:spacing w:after="40" w:before="40"/>
      </w:pPr>
      <w:r>
        <w:rPr>
          <w:rFonts w:ascii="Arial" w:cs="Arial" w:eastAsia="Arial" w:hAnsi="Arial"/>
          <w:sz w:val="22"/>
          <w:szCs w:val="22"/>
        </w:rPr>
        <w:t xml:space="preserve">Existing domain: An Active Directory domain is assumed to exist. One DC is not re-costed unless additional DCs are required for the scaling tier.</w:t>
      </w:r>
    </w:p>
    <w:p>
      <w:pPr>
        <w:pStyle w:val="ListParagraph"/>
        <w:numPr>
          <w:ilvl w:val="0"/>
          <w:numId w:val="2"/>
        </w:numPr>
        <w:spacing w:after="40" w:before="40"/>
      </w:pPr>
      <w:r>
        <w:rPr>
          <w:rFonts w:ascii="Arial" w:cs="Arial" w:eastAsia="Arial" w:hAnsi="Arial"/>
          <w:sz w:val="22"/>
          <w:szCs w:val="22"/>
        </w:rPr>
        <w:t xml:space="preserve">VM host capacity: Existing hypervisor capacity is assumed at Tiers 1 and 2 (no new physical servers required unless noted).</w:t>
      </w:r>
    </w:p>
    <w:p>
      <w:r>
        <w:br w:type="page"/>
      </w:r>
    </w:p>
    <w:p>
      <w:pPr>
        <w:pStyle w:val="Heading1"/>
      </w:pPr>
      <w:r>
        <w:rPr>
          <w:rFonts w:ascii="Arial" w:cs="Arial" w:eastAsia="Arial" w:hAnsi="Arial"/>
        </w:rPr>
        <w:t xml:space="preserve">2. Scaling Tiers</w:t>
      </w:r>
    </w:p>
    <w:p>
      <w:pPr>
        <w:spacing w:after="120" w:before="60"/>
        <w:jc w:val="both"/>
      </w:pPr>
      <w:r>
        <w:rPr>
          <w:rFonts w:ascii="Arial" w:cs="Arial" w:eastAsia="Arial" w:hAnsi="Arial"/>
          <w:b w:val="false"/>
          <w:bCs w:val="false"/>
          <w:i w:val="false"/>
          <w:iCs w:val="false"/>
          <w:color w:val="000000"/>
          <w:sz w:val="22"/>
          <w:szCs w:val="22"/>
        </w:rPr>
        <w:t xml:space="preserve">This section describes the infrastructure required at each user tier, what changes from the previous tier, and the key operational decision points.</w:t>
      </w:r>
    </w:p>
    <w:p>
      <w:pPr>
        <w:spacing w:after="60" w:before="60"/>
      </w:pPr>
      <w:r>
        <w:rPr>
          <w:sz w:val="22"/>
          <w:szCs w:val="22"/>
        </w:rPr>
        <w:t xml:space="preserve"/>
      </w:r>
    </w:p>
    <w:p>
      <w:pPr>
        <w:pStyle w:val="Heading2"/>
      </w:pPr>
      <w:r>
        <w:rPr>
          <w:rFonts w:ascii="Arial" w:cs="Arial" w:eastAsia="Arial" w:hAnsi="Arial"/>
        </w:rPr>
        <w:t xml:space="preserve">2.1  Tier 1: 50 Users — Baseline Deployment</w:t>
      </w:r>
    </w:p>
    <w:p>
      <w:pPr>
        <w:spacing w:after="120" w:before="60"/>
        <w:jc w:val="both"/>
      </w:pPr>
      <w:r>
        <w:rPr>
          <w:rFonts w:ascii="Arial" w:cs="Arial" w:eastAsia="Arial" w:hAnsi="Arial"/>
          <w:b w:val="false"/>
          <w:bCs w:val="false"/>
          <w:i w:val="false"/>
          <w:iCs w:val="false"/>
          <w:color w:val="000000"/>
          <w:sz w:val="22"/>
          <w:szCs w:val="22"/>
        </w:rPr>
        <w:t xml:space="preserve">At 50 users the program is in its initial deployment phase. All infrastructure can be hosted on virtual machines within existing hypervisor capacity (VMware vSphere, Microsoft Hyper-V, or Proxmox). No additional physical server hardware is required if VM headroom exists.</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Infrastructure at this tier:</w:t>
      </w:r>
    </w:p>
    <w:p>
      <w:pPr>
        <w:pStyle w:val="ListParagraph"/>
        <w:numPr>
          <w:ilvl w:val="0"/>
          <w:numId w:val="2"/>
        </w:numPr>
        <w:spacing w:after="40" w:before="40"/>
      </w:pPr>
      <w:r>
        <w:rPr>
          <w:rFonts w:ascii="Arial" w:cs="Arial" w:eastAsia="Arial" w:hAnsi="Arial"/>
          <w:sz w:val="22"/>
          <w:szCs w:val="22"/>
        </w:rPr>
        <w:t xml:space="preserve">Offline Root CA — An air-gapped VM that is the trust anchor of the PKI hierarchy. Powered on only to sign the Issuing CA certificate and publish infrequent Root CRL updates (typically every 6-12 months). Store the Root CA VMDK/VHDX on encrypted removable media when not in use. No persistent network interface.</w:t>
      </w:r>
    </w:p>
    <w:p>
      <w:pPr>
        <w:pStyle w:val="ListParagraph"/>
        <w:numPr>
          <w:ilvl w:val="0"/>
          <w:numId w:val="2"/>
        </w:numPr>
        <w:spacing w:after="40" w:before="40"/>
      </w:pPr>
      <w:r>
        <w:rPr>
          <w:rFonts w:ascii="Arial" w:cs="Arial" w:eastAsia="Arial" w:hAnsi="Arial"/>
          <w:sz w:val="22"/>
          <w:szCs w:val="22"/>
        </w:rPr>
        <w:t xml:space="preserve">Online Issuing CA + OCSP Responder (co-located) — A single VM running AD CS Issuing CA and the Online Responder (OCSP) role. Handles all smart card certificate issuance and real-time revocation status responses.</w:t>
      </w:r>
    </w:p>
    <w:p>
      <w:pPr>
        <w:pStyle w:val="ListParagraph"/>
        <w:numPr>
          <w:ilvl w:val="0"/>
          <w:numId w:val="2"/>
        </w:numPr>
        <w:spacing w:after="40" w:before="40"/>
      </w:pPr>
      <w:r>
        <w:rPr>
          <w:rFonts w:ascii="Arial" w:cs="Arial" w:eastAsia="Arial" w:hAnsi="Arial"/>
          <w:sz w:val="22"/>
          <w:szCs w:val="22"/>
        </w:rPr>
        <w:t xml:space="preserve">Domain Controller — Existing AD DS domain controller. Smart card logon (Kerberos PKINIT) requires an AD DC. No new DC is required at this tier.</w:t>
      </w:r>
    </w:p>
    <w:p>
      <w:pPr>
        <w:pStyle w:val="ListParagraph"/>
        <w:numPr>
          <w:ilvl w:val="0"/>
          <w:numId w:val="2"/>
        </w:numPr>
        <w:spacing w:after="40" w:before="40"/>
      </w:pPr>
      <w:r>
        <w:rPr>
          <w:rFonts w:ascii="Arial" w:cs="Arial" w:eastAsia="Arial" w:hAnsi="Arial"/>
          <w:sz w:val="22"/>
          <w:szCs w:val="22"/>
        </w:rPr>
        <w:t xml:space="preserve">Card Readers — One USB smart card reader per workstation plus a 15% spare pool.</w:t>
      </w:r>
    </w:p>
    <w:p>
      <w:pPr>
        <w:pStyle w:val="ListParagraph"/>
        <w:numPr>
          <w:ilvl w:val="0"/>
          <w:numId w:val="2"/>
        </w:numPr>
        <w:spacing w:after="40" w:before="40"/>
      </w:pPr>
      <w:r>
        <w:rPr>
          <w:rFonts w:ascii="Arial" w:cs="Arial" w:eastAsia="Arial" w:hAnsi="Arial"/>
          <w:sz w:val="22"/>
          <w:szCs w:val="22"/>
        </w:rPr>
        <w:t xml:space="preserve">PIV Cards — 50 cards plus a 10% spare pool (5 cards) for initial issuance and immediate same-day replacements.</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Key characteristics of this tier:</w:t>
      </w:r>
    </w:p>
    <w:p>
      <w:pPr>
        <w:pStyle w:val="ListParagraph"/>
        <w:numPr>
          <w:ilvl w:val="0"/>
          <w:numId w:val="2"/>
        </w:numPr>
        <w:spacing w:after="40" w:before="40"/>
      </w:pPr>
      <w:r>
        <w:rPr>
          <w:rFonts w:ascii="Arial" w:cs="Arial" w:eastAsia="Arial" w:hAnsi="Arial"/>
          <w:sz w:val="22"/>
          <w:szCs w:val="22"/>
        </w:rPr>
        <w:t xml:space="preserve">All server roles are virtualized on shared infrastructure — lowest capital cost.</w:t>
      </w:r>
    </w:p>
    <w:p>
      <w:pPr>
        <w:pStyle w:val="ListParagraph"/>
        <w:numPr>
          <w:ilvl w:val="0"/>
          <w:numId w:val="2"/>
        </w:numPr>
        <w:spacing w:after="40" w:before="40"/>
      </w:pPr>
      <w:r>
        <w:rPr>
          <w:rFonts w:ascii="Arial" w:cs="Arial" w:eastAsia="Arial" w:hAnsi="Arial"/>
          <w:sz w:val="22"/>
          <w:szCs w:val="22"/>
        </w:rPr>
        <w:t xml:space="preserve">Microsoft AD CS provides PKI at no incremental software cost beyond Windows Server.</w:t>
      </w:r>
    </w:p>
    <w:p>
      <w:pPr>
        <w:pStyle w:val="ListParagraph"/>
        <w:numPr>
          <w:ilvl w:val="0"/>
          <w:numId w:val="2"/>
        </w:numPr>
        <w:spacing w:after="40" w:before="40"/>
      </w:pPr>
      <w:r>
        <w:rPr>
          <w:rFonts w:ascii="Arial" w:cs="Arial" w:eastAsia="Arial" w:hAnsi="Arial"/>
          <w:sz w:val="22"/>
          <w:szCs w:val="22"/>
        </w:rPr>
        <w:t xml:space="preserve">Certificate lifecycle managed via built-in Certification Authority MMC snap-in.</w:t>
      </w:r>
    </w:p>
    <w:p>
      <w:pPr>
        <w:pStyle w:val="ListParagraph"/>
        <w:numPr>
          <w:ilvl w:val="0"/>
          <w:numId w:val="2"/>
        </w:numPr>
        <w:spacing w:after="40" w:before="40"/>
      </w:pPr>
      <w:r>
        <w:rPr>
          <w:rFonts w:ascii="Arial" w:cs="Arial" w:eastAsia="Arial" w:hAnsi="Arial"/>
          <w:sz w:val="22"/>
          <w:szCs w:val="22"/>
        </w:rPr>
        <w:t xml:space="preserve">One administrator can manage the full infrastructure on a part-time basis (~2 hrs/month).</w:t>
      </w:r>
    </w:p>
    <w:p>
      <w:pPr>
        <w:pStyle w:val="ListParagraph"/>
        <w:numPr>
          <w:ilvl w:val="0"/>
          <w:numId w:val="2"/>
        </w:numPr>
        <w:spacing w:after="40" w:before="40"/>
      </w:pPr>
      <w:r>
        <w:rPr>
          <w:rFonts w:ascii="Arial" w:cs="Arial" w:eastAsia="Arial" w:hAnsi="Arial"/>
          <w:sz w:val="22"/>
          <w:szCs w:val="22"/>
        </w:rPr>
        <w:t xml:space="preserve">CRL publication: Configure the CDP (CRL Distribution Point) as an internal IIS web server URL; the Issuing CA can self-host CRLs at this scale.</w:t>
      </w:r>
    </w:p>
    <w:p>
      <w:pPr>
        <w:spacing w:after="60" w:before="60"/>
      </w:pPr>
      <w:r>
        <w:rPr>
          <w:sz w:val="22"/>
          <w:szCs w:val="22"/>
        </w:rPr>
        <w:t xml:space="preserve"/>
      </w:r>
    </w:p>
    <w:p>
      <w:pPr>
        <w:pStyle w:val="Heading2"/>
      </w:pPr>
      <w:r>
        <w:rPr>
          <w:rFonts w:ascii="Arial" w:cs="Arial" w:eastAsia="Arial" w:hAnsi="Arial"/>
        </w:rPr>
        <w:t xml:space="preserve">2.2  Tier 2: 100 Users — Redundancy Phase</w:t>
      </w:r>
    </w:p>
    <w:p>
      <w:pPr>
        <w:spacing w:after="120" w:before="60"/>
        <w:jc w:val="both"/>
      </w:pPr>
      <w:r>
        <w:rPr>
          <w:rFonts w:ascii="Arial" w:cs="Arial" w:eastAsia="Arial" w:hAnsi="Arial"/>
          <w:b w:val="false"/>
          <w:bCs w:val="false"/>
          <w:i w:val="false"/>
          <w:iCs w:val="false"/>
          <w:color w:val="000000"/>
          <w:sz w:val="22"/>
          <w:szCs w:val="22"/>
        </w:rPr>
        <w:t xml:space="preserve">At 100 users, a single Domain Controller failure renders smart card logon unavailable for all users. Adding a second DC is the primary infrastructure change at this tier. The PKI components remain as deployed in Tier 1.</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Changes from Tier 1:</w:t>
      </w:r>
    </w:p>
    <w:p>
      <w:pPr>
        <w:pStyle w:val="ListParagraph"/>
        <w:numPr>
          <w:ilvl w:val="0"/>
          <w:numId w:val="2"/>
        </w:numPr>
        <w:spacing w:after="40" w:before="40"/>
      </w:pPr>
      <w:r>
        <w:rPr>
          <w:rFonts w:ascii="Arial" w:cs="Arial" w:eastAsia="Arial" w:hAnsi="Arial"/>
          <w:sz w:val="22"/>
          <w:szCs w:val="22"/>
        </w:rPr>
        <w:t xml:space="preserve">Second Domain Controller — Add a second AD DS DC for Kerberos/smart card logon redundancy. Deploy as a VM on the same or a secondary hypervisor host. Ensure DNS and GC replication are healthy.</w:t>
      </w:r>
    </w:p>
    <w:p>
      <w:pPr>
        <w:pStyle w:val="ListParagraph"/>
        <w:numPr>
          <w:ilvl w:val="0"/>
          <w:numId w:val="2"/>
        </w:numPr>
        <w:spacing w:after="40" w:before="40"/>
      </w:pPr>
      <w:r>
        <w:rPr>
          <w:rFonts w:ascii="Arial" w:cs="Arial" w:eastAsia="Arial" w:hAnsi="Arial"/>
          <w:sz w:val="22"/>
          <w:szCs w:val="22"/>
        </w:rPr>
        <w:t xml:space="preserve">CRL Publication Hardening — Formalize the CRL publication schedule. Ensure the CDP URL is accessible from all network segments including remote access VPN. Consider publishing delta CRLs every 24 hours.</w:t>
      </w:r>
    </w:p>
    <w:p>
      <w:pPr>
        <w:pStyle w:val="ListParagraph"/>
        <w:numPr>
          <w:ilvl w:val="0"/>
          <w:numId w:val="2"/>
        </w:numPr>
        <w:spacing w:after="40" w:before="40"/>
      </w:pPr>
      <w:r>
        <w:rPr>
          <w:rFonts w:ascii="Arial" w:cs="Arial" w:eastAsia="Arial" w:hAnsi="Arial"/>
          <w:sz w:val="22"/>
          <w:szCs w:val="22"/>
        </w:rPr>
        <w:t xml:space="preserve">Card Management System (CMS) Evaluation — At 100 users, manual enrollment via MMC becomes time-consuming. Evaluate a lightweight CMS (Versasec vSEC:CMS SE, ~$5,000-8,000) to streamline enrollment, PIN resets, and card replacement workflows.</w:t>
      </w:r>
    </w:p>
    <w:p>
      <w:pPr>
        <w:pStyle w:val="ListParagraph"/>
        <w:numPr>
          <w:ilvl w:val="0"/>
          <w:numId w:val="2"/>
        </w:numPr>
        <w:spacing w:after="40" w:before="40"/>
      </w:pPr>
      <w:r>
        <w:rPr>
          <w:rFonts w:ascii="Arial" w:cs="Arial" w:eastAsia="Arial" w:hAnsi="Arial"/>
          <w:sz w:val="22"/>
          <w:szCs w:val="22"/>
        </w:rPr>
        <w:t xml:space="preserve">Spare Pool Expansion — Scale the spare card and reader pools proportionally with user growth.</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The Issuing CA and OCSP Responder remain co-located at this tier. No dedicated CRL Distribution Point server is required unless the CA server is on an isolated network segment.</w:t>
      </w:r>
    </w:p>
    <w:p>
      <w:pPr>
        <w:spacing w:after="60" w:before="60"/>
      </w:pPr>
      <w:r>
        <w:rPr>
          <w:sz w:val="22"/>
          <w:szCs w:val="22"/>
        </w:rPr>
        <w:t xml:space="preserve"/>
      </w:r>
    </w:p>
    <w:p>
      <w:pPr>
        <w:pStyle w:val="Heading2"/>
      </w:pPr>
      <w:r>
        <w:rPr>
          <w:rFonts w:ascii="Arial" w:cs="Arial" w:eastAsia="Arial" w:hAnsi="Arial"/>
        </w:rPr>
        <w:t xml:space="preserve">2.3  Tier 3: 250 Users — Mid-Scale Infrastructure</w:t>
      </w:r>
    </w:p>
    <w:p>
      <w:pPr>
        <w:spacing w:after="120" w:before="60"/>
        <w:jc w:val="both"/>
      </w:pPr>
      <w:r>
        <w:rPr>
          <w:rFonts w:ascii="Arial" w:cs="Arial" w:eastAsia="Arial" w:hAnsi="Arial"/>
          <w:b w:val="false"/>
          <w:bCs w:val="false"/>
          <w:i w:val="false"/>
          <w:iCs w:val="false"/>
          <w:color w:val="000000"/>
          <w:sz w:val="22"/>
          <w:szCs w:val="22"/>
        </w:rPr>
        <w:t xml:space="preserve">At 250 users the OCSP Responder workload justifies separation onto its own VM, and the Issuing CA should move to dedicated hardware for improved security posture and performance. A third-party Card Management System is cost-justified at this scale.</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Changes from Tier 2:</w:t>
      </w:r>
    </w:p>
    <w:p>
      <w:pPr>
        <w:pStyle w:val="ListParagraph"/>
        <w:numPr>
          <w:ilvl w:val="0"/>
          <w:numId w:val="2"/>
        </w:numPr>
        <w:spacing w:after="40" w:before="40"/>
      </w:pPr>
      <w:r>
        <w:rPr>
          <w:rFonts w:ascii="Arial" w:cs="Arial" w:eastAsia="Arial" w:hAnsi="Arial"/>
          <w:sz w:val="22"/>
          <w:szCs w:val="22"/>
        </w:rPr>
        <w:t xml:space="preserve">Dedicated Physical Issuing CA — Move the Issuing CA from a shared VM to dedicated physical hardware (Dell PowerEdge R350 or HPE ProLiant DL360 Gen11, entry 1U). Physical hardware reduces hypervisor-layer risk to CA private key material and provides predictable performance.</w:t>
      </w:r>
    </w:p>
    <w:p>
      <w:pPr>
        <w:pStyle w:val="ListParagraph"/>
        <w:numPr>
          <w:ilvl w:val="0"/>
          <w:numId w:val="2"/>
        </w:numPr>
        <w:spacing w:after="40" w:before="40"/>
      </w:pPr>
      <w:r>
        <w:rPr>
          <w:rFonts w:ascii="Arial" w:cs="Arial" w:eastAsia="Arial" w:hAnsi="Arial"/>
          <w:sz w:val="22"/>
          <w:szCs w:val="22"/>
        </w:rPr>
        <w:t xml:space="preserve">Separate OCSP Responder VM — Move the Online Responder to its own VM. OCSP request rates at 250 users can reach several thousand requests per day; co-location with the CA adds unnecessary load.</w:t>
      </w:r>
    </w:p>
    <w:p>
      <w:pPr>
        <w:pStyle w:val="ListParagraph"/>
        <w:numPr>
          <w:ilvl w:val="0"/>
          <w:numId w:val="2"/>
        </w:numPr>
        <w:spacing w:after="40" w:before="40"/>
      </w:pPr>
      <w:r>
        <w:rPr>
          <w:rFonts w:ascii="Arial" w:cs="Arial" w:eastAsia="Arial" w:hAnsi="Arial"/>
          <w:sz w:val="22"/>
          <w:szCs w:val="22"/>
        </w:rPr>
        <w:t xml:space="preserve">Third-Party CMS Deployment — Deploy a full card management system (Versasec vSEC:CMS, HID ActivID CMS, or Entrust Identity). The CMS provides automated enrollment workflows, PIN management, card replacement tracking, and compliance audit logs. Budget $8,000-15,000 for a 250-user base license.</w:t>
      </w:r>
    </w:p>
    <w:p>
      <w:pPr>
        <w:pStyle w:val="ListParagraph"/>
        <w:numPr>
          <w:ilvl w:val="0"/>
          <w:numId w:val="2"/>
        </w:numPr>
        <w:spacing w:after="40" w:before="40"/>
      </w:pPr>
      <w:r>
        <w:rPr>
          <w:rFonts w:ascii="Arial" w:cs="Arial" w:eastAsia="Arial" w:hAnsi="Arial"/>
          <w:sz w:val="22"/>
          <w:szCs w:val="22"/>
        </w:rPr>
        <w:t xml:space="preserve">Network Segmentation — Place CA infrastructure (Root CA media, Issuing CA, OCSP) on an isolated management VLAN accessible only by CA administrators and required service accounts.</w:t>
      </w:r>
    </w:p>
    <w:p>
      <w:pPr>
        <w:pStyle w:val="ListParagraph"/>
        <w:numPr>
          <w:ilvl w:val="0"/>
          <w:numId w:val="2"/>
        </w:numPr>
        <w:spacing w:after="40" w:before="40"/>
      </w:pPr>
      <w:r>
        <w:rPr>
          <w:rFonts w:ascii="Arial" w:cs="Arial" w:eastAsia="Arial" w:hAnsi="Arial"/>
          <w:sz w:val="22"/>
          <w:szCs w:val="22"/>
        </w:rPr>
        <w:t xml:space="preserve">HSM Evaluation — Evaluate Hardware Security Module deployment for Issuing CA private key protection. Network-attached HSMs (Thales Luna Network HSM, Entrust nShield Connect) do not require physical CA server access and are compatible with VM deployments.</w:t>
      </w:r>
    </w:p>
    <w:p>
      <w:pPr>
        <w:pStyle w:val="ListParagraph"/>
        <w:numPr>
          <w:ilvl w:val="0"/>
          <w:numId w:val="2"/>
        </w:numPr>
        <w:spacing w:after="40" w:before="40"/>
      </w:pPr>
      <w:r>
        <w:rPr>
          <w:rFonts w:ascii="Arial" w:cs="Arial" w:eastAsia="Arial" w:hAnsi="Arial"/>
          <w:sz w:val="22"/>
          <w:szCs w:val="22"/>
        </w:rPr>
        <w:t xml:space="preserve">Third DC (optional) — If the organization has remote sites or anticipates continued growth, deploy a third Domain Controller or a Read-Only DC (RODC) at a secondary site.</w:t>
      </w:r>
    </w:p>
    <w:p>
      <w:pPr>
        <w:spacing w:after="60" w:before="60"/>
      </w:pPr>
      <w:r>
        <w:rPr>
          <w:sz w:val="22"/>
          <w:szCs w:val="22"/>
        </w:rPr>
        <w:t xml:space="preserve"/>
      </w:r>
    </w:p>
    <w:p>
      <w:pPr>
        <w:pStyle w:val="Heading2"/>
      </w:pPr>
      <w:r>
        <w:rPr>
          <w:rFonts w:ascii="Arial" w:cs="Arial" w:eastAsia="Arial" w:hAnsi="Arial"/>
        </w:rPr>
        <w:t xml:space="preserve">2.4  Tier 4: 500 Users — Enterprise Scale</w:t>
      </w:r>
    </w:p>
    <w:p>
      <w:pPr>
        <w:spacing w:after="120" w:before="60"/>
        <w:jc w:val="both"/>
      </w:pPr>
      <w:r>
        <w:rPr>
          <w:rFonts w:ascii="Arial" w:cs="Arial" w:eastAsia="Arial" w:hAnsi="Arial"/>
          <w:b w:val="false"/>
          <w:bCs w:val="false"/>
          <w:i w:val="false"/>
          <w:iCs w:val="false"/>
          <w:color w:val="000000"/>
          <w:sz w:val="22"/>
          <w:szCs w:val="22"/>
        </w:rPr>
        <w:t xml:space="preserve">At 500 users, the program is enterprise-scale. High availability (HA) for all critical PKI components, an HSM for CA key protection, and redundant OCSP infrastructure are no longer optional. A single Issuing CA failure impacts all new certificate issuance and renewals.</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Changes from Tier 3:</w:t>
      </w:r>
    </w:p>
    <w:p>
      <w:pPr>
        <w:pStyle w:val="ListParagraph"/>
        <w:numPr>
          <w:ilvl w:val="0"/>
          <w:numId w:val="2"/>
        </w:numPr>
        <w:spacing w:after="40" w:before="40"/>
      </w:pPr>
      <w:r>
        <w:rPr>
          <w:rFonts w:ascii="Arial" w:cs="Arial" w:eastAsia="Arial" w:hAnsi="Arial"/>
          <w:sz w:val="22"/>
          <w:szCs w:val="22"/>
        </w:rPr>
        <w:t xml:space="preserve">HA Issuing CA Pair — Deploy two independent Issuing CA servers behind a Windows Network Load Balancer (NLB) or hardware load balancer (Kemp, F5 LTM). Note: Microsoft AD CS does not natively cluster — HA is achieved through two independent CAs sharing the same root chain with separate keys and serial number namespaces.</w:t>
      </w:r>
    </w:p>
    <w:p>
      <w:pPr>
        <w:pStyle w:val="ListParagraph"/>
        <w:numPr>
          <w:ilvl w:val="0"/>
          <w:numId w:val="2"/>
        </w:numPr>
        <w:spacing w:after="40" w:before="40"/>
      </w:pPr>
      <w:r>
        <w:rPr>
          <w:rFonts w:ascii="Arial" w:cs="Arial" w:eastAsia="Arial" w:hAnsi="Arial"/>
          <w:sz w:val="22"/>
          <w:szCs w:val="22"/>
        </w:rPr>
        <w:t xml:space="preserve">Hardware Security Module (HSM) — Deploy a dedicated network-attached HSM (Thales Luna Network HSM 7 or Entrust nShield Connect XC) for Issuing CA private key protection. FIPS 140-2 Level 3 validation. Cost: $10,000-20,000 depending on model and throughput tier.</w:t>
      </w:r>
    </w:p>
    <w:p>
      <w:pPr>
        <w:pStyle w:val="ListParagraph"/>
        <w:numPr>
          <w:ilvl w:val="0"/>
          <w:numId w:val="2"/>
        </w:numPr>
        <w:spacing w:after="40" w:before="40"/>
      </w:pPr>
      <w:r>
        <w:rPr>
          <w:rFonts w:ascii="Arial" w:cs="Arial" w:eastAsia="Arial" w:hAnsi="Arial"/>
          <w:sz w:val="22"/>
          <w:szCs w:val="22"/>
        </w:rPr>
        <w:t xml:space="preserve">Redundant OCSP Responders — Deploy two OCSP Responder VMs behind a load balancer. Update the AIA (Authority Information Access) extension in certificate templates to reference the load-balanced OCSP URL. OCSP unavailability directly causes smart card logon failures.</w:t>
      </w:r>
    </w:p>
    <w:p>
      <w:pPr>
        <w:pStyle w:val="ListParagraph"/>
        <w:numPr>
          <w:ilvl w:val="0"/>
          <w:numId w:val="2"/>
        </w:numPr>
        <w:spacing w:after="40" w:before="40"/>
      </w:pPr>
      <w:r>
        <w:rPr>
          <w:rFonts w:ascii="Arial" w:cs="Arial" w:eastAsia="Arial" w:hAnsi="Arial"/>
          <w:sz w:val="22"/>
          <w:szCs w:val="22"/>
        </w:rPr>
        <w:t xml:space="preserve">Dedicated CRL Distribution Point — Deploy a hardened, dedicated IIS web server as the sole CDP. Separate the CRL publication function from all other CA roles to minimize the attack surface of the CA server.</w:t>
      </w:r>
    </w:p>
    <w:p>
      <w:pPr>
        <w:pStyle w:val="ListParagraph"/>
        <w:numPr>
          <w:ilvl w:val="0"/>
          <w:numId w:val="2"/>
        </w:numPr>
        <w:spacing w:after="40" w:before="40"/>
      </w:pPr>
      <w:r>
        <w:rPr>
          <w:rFonts w:ascii="Arial" w:cs="Arial" w:eastAsia="Arial" w:hAnsi="Arial"/>
          <w:sz w:val="22"/>
          <w:szCs w:val="22"/>
        </w:rPr>
        <w:t xml:space="preserve">Additional Domain Controllers — Ensure a minimum of 3 DCs in the primary site. At 500 users, DC failure under load is a significant risk. All DCs should be on different physical hosts (anti-affinity).</w:t>
      </w:r>
    </w:p>
    <w:p>
      <w:pPr>
        <w:pStyle w:val="ListParagraph"/>
        <w:numPr>
          <w:ilvl w:val="0"/>
          <w:numId w:val="2"/>
        </w:numPr>
        <w:spacing w:after="40" w:before="40"/>
      </w:pPr>
      <w:r>
        <w:rPr>
          <w:rFonts w:ascii="Arial" w:cs="Arial" w:eastAsia="Arial" w:hAnsi="Arial"/>
          <w:sz w:val="22"/>
          <w:szCs w:val="22"/>
        </w:rPr>
        <w:t xml:space="preserve">DR Plan and Key Ceremony Documentation — At enterprise scale, a documented Disaster Recovery plan for the CA hierarchy is required. This includes offline Root CA media custody procedures, Issuing CA key backup policy, RTO/RPO targets, and annual recovery testing.</w:t>
      </w:r>
    </w:p>
    <w:p>
      <w:pPr>
        <w:pStyle w:val="ListParagraph"/>
        <w:numPr>
          <w:ilvl w:val="0"/>
          <w:numId w:val="2"/>
        </w:numPr>
        <w:spacing w:after="40" w:before="40"/>
      </w:pPr>
      <w:r>
        <w:rPr>
          <w:rFonts w:ascii="Arial" w:cs="Arial" w:eastAsia="Arial" w:hAnsi="Arial"/>
          <w:sz w:val="22"/>
          <w:szCs w:val="22"/>
        </w:rPr>
        <w:t xml:space="preserve">Microsoft Entra ID Integration (Optional) — For hybrid environments, evaluate integrating the on-premises PKI with Microsoft Entra ID (formerly Azure AD) for certificate-based authentication (CBA) to cloud resources. Requires Microsoft Entra ID P1/P2 licensing.</w:t>
      </w:r>
    </w:p>
    <w:p>
      <w:r>
        <w:br w:type="page"/>
      </w:r>
    </w:p>
    <w:p>
      <w:pPr>
        <w:pStyle w:val="Heading1"/>
      </w:pPr>
      <w:r>
        <w:rPr>
          <w:rFonts w:ascii="Arial" w:cs="Arial" w:eastAsia="Arial" w:hAnsi="Arial"/>
        </w:rPr>
        <w:t xml:space="preserve">3. Component Cost Breakdown</w:t>
      </w:r>
    </w:p>
    <w:p>
      <w:pPr>
        <w:spacing w:after="120" w:before="60"/>
        <w:jc w:val="both"/>
      </w:pPr>
      <w:r>
        <w:rPr>
          <w:rFonts w:ascii="Arial" w:cs="Arial" w:eastAsia="Arial" w:hAnsi="Arial"/>
          <w:b w:val="false"/>
          <w:bCs w:val="false"/>
          <w:i w:val="false"/>
          <w:iCs w:val="false"/>
          <w:color w:val="000000"/>
          <w:sz w:val="22"/>
          <w:szCs w:val="22"/>
        </w:rPr>
        <w:t xml:space="preserve">This section provides itemized cost tables for each scaling tier. Costs are incremental (the additional investment required to move from the previous tier), except for Tier 1 which represents the full baseline deployment cost. Server hardware costs at Tiers 1-2 assume VMs on existing hypervisor capacity.</w:t>
      </w:r>
    </w:p>
    <w:p>
      <w:pPr>
        <w:spacing w:after="60" w:before="60"/>
      </w:pPr>
      <w:r>
        <w:rPr>
          <w:sz w:val="22"/>
          <w:szCs w:val="22"/>
        </w:rPr>
        <w:t xml:space="preserve"/>
      </w:r>
    </w:p>
    <w:p>
      <w:pPr>
        <w:pStyle w:val="Heading2"/>
      </w:pPr>
      <w:r>
        <w:rPr>
          <w:rFonts w:ascii="Arial" w:cs="Arial" w:eastAsia="Arial" w:hAnsi="Arial"/>
        </w:rPr>
        <w:t xml:space="preserve">3.1  Tier 1: 50 Users -- Baseline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300"/>
        <w:gridCol w:w="1360"/>
        <w:gridCol w:w="3800"/>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Qty</w:t>
            </w:r>
          </w:p>
        </w:tc>
        <w:tc>
          <w:tcPr>
            <w:tcW w:type="dxa" w:w="1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 Cost</w:t>
            </w:r>
          </w:p>
        </w:tc>
        <w:tc>
          <w:tcPr>
            <w:tcW w:type="dxa" w:w="1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Subtotal</w:t>
            </w:r>
          </w:p>
        </w:tc>
        <w:tc>
          <w:tcPr>
            <w:tcW w:type="dxa" w:w="3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Product Examples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Cards &amp; Readers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PIV Smart Cards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$1,100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 users + 10% spare pool (5 cards). HID Crescendo C2300 or Entrust IdentityGuard.</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USB Smart Card Readers</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58</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$35.00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$2,030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 workstations + 15% spare (8 units). HID Omnikey 3021 or Identiv SCR3310 (USB CCID).</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Servers &amp; Licensing</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Windows Server 2022 Standard — Root CA VM</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$1,069</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$1,069</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 WS2022 Std license covers 2 VMs. Used for Root CA + 1 spare entitlement. OEM or retail.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Windows Server 2022 Standard — Issuing CA VM</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$1,069</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$1,069</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Covers Issuing CA + OCSP Responder co-located on same VM/host. Server Core recommended.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Windows Server CALs — User (50)</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$55.00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$2,750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WS2022 User CALs for AD DS access. Device CALs ($40) are an alternative for fixed workstations.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PKI Software &amp; Middleware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AD CS (PKI Software)</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Included with Windows Server. Provides Root CA, Issuing CA, and OCSP roles at no additional cost.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Smart Card Middleware</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HID ActivClient 7.x ($25-50/seat) or OpenSC (free/open source). Required on each workstation for PIN entry and certificate selection.</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Network &amp; Infrastructure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UPS — APC Smart-UPS 1500VA</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$800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$800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protection for CA server(s). APC SMT1500RM2U or CyberPower OL1500RTXL2U. Rack-mount 2U.</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Implementation Labor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Implementation Labor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 hrs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$150/hr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PKI design, AD CS two-tier deployment, GPO configuration for smart card logon, reader rollout, initial user enrollment, documentation.</w:t>
            </w:r>
          </w:p>
        </w:tc>
      </w:tr>
      <w:tr>
        <w:tc>
          <w:tcPr>
            <w:tcW w:type="dxa" w:w="22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TOTAL ONE-TIME COST — TIER 1</w:t>
            </w:r>
          </w:p>
        </w:tc>
        <w:tc>
          <w:tcPr>
            <w:tcW w:type="dxa" w:w="7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
            </w:r>
          </w:p>
        </w:tc>
        <w:tc>
          <w:tcPr>
            <w:tcW w:type="dxa" w:w="13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
            </w:r>
          </w:p>
        </w:tc>
        <w:tc>
          <w:tcPr>
            <w:tcW w:type="dxa" w:w="136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$25,318</w:t>
            </w:r>
          </w:p>
        </w:tc>
        <w:tc>
          <w:tcPr>
            <w:tcW w:type="dxa" w:w="3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Annual recurring: ~$3,500 (card attrition, software maintenance, admin labor)</w:t>
            </w:r>
          </w:p>
        </w:tc>
      </w:tr>
    </w:tbl>
    <w:p>
      <w:pPr>
        <w:spacing w:after="60" w:before="60"/>
      </w:pPr>
      <w:r>
        <w:rPr>
          <w:sz w:val="22"/>
          <w:szCs w:val="22"/>
        </w:rPr>
        <w:t xml:space="preserve"/>
      </w:r>
    </w:p>
    <w:p>
      <w:pPr>
        <w:pStyle w:val="Heading2"/>
      </w:pPr>
      <w:r>
        <w:rPr>
          <w:rFonts w:ascii="Arial" w:cs="Arial" w:eastAsia="Arial" w:hAnsi="Arial"/>
        </w:rPr>
        <w:t xml:space="preserve">3.2  Tier 2: 100 Users -- Incremental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300"/>
        <w:gridCol w:w="1360"/>
        <w:gridCol w:w="3800"/>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Qty</w:t>
            </w:r>
          </w:p>
        </w:tc>
        <w:tc>
          <w:tcPr>
            <w:tcW w:type="dxa" w:w="1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 Cost</w:t>
            </w:r>
          </w:p>
        </w:tc>
        <w:tc>
          <w:tcPr>
            <w:tcW w:type="dxa" w:w="1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Subtotal</w:t>
            </w:r>
          </w:p>
        </w:tc>
        <w:tc>
          <w:tcPr>
            <w:tcW w:type="dxa" w:w="3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Product Examples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Cards &amp; Readers (Additional)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PIV Smart Cards — 50 additional users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$1,100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 new users + 10% spare (5). Cumulative card inventory: 110 cards.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USB Smart Card Readers — additional</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58</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$35.00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$2,030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50 new workstations + 15% spare (8). Cumulative reader count: 116.</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Servers &amp; Licensing (Additional)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Windows Server 2022 Standard — Second DC</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$1,069</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$1,069</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Second Domain Controller for AD DS / Kerberos PKINIT redundancy. VM on existing hypervisor.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Windows Server CALs — 50 additional users</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$55.00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$2,750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Cumulative CAL count: 100 User CALs.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PKI Software &amp; Middleware (Additional)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Smart Card Middleware — 50 additional seats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Additional per-seat middleware licenses. Cumulative: 100 seats.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Implementation Labor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Implementation Labor</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50 hrs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$150/hr</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$7,500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Second DC deployment, AD replication validation, CRL publication hardening, additional user enrollment, CMS evaluation.</w:t>
            </w:r>
          </w:p>
        </w:tc>
      </w:tr>
      <w:tr>
        <w:tc>
          <w:tcPr>
            <w:tcW w:type="dxa" w:w="22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INCREMENTAL COST — TIER 2</w:t>
            </w:r>
          </w:p>
        </w:tc>
        <w:tc>
          <w:tcPr>
            <w:tcW w:type="dxa" w:w="7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
            </w:r>
          </w:p>
        </w:tc>
        <w:tc>
          <w:tcPr>
            <w:tcW w:type="dxa" w:w="13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
            </w:r>
          </w:p>
        </w:tc>
        <w:tc>
          <w:tcPr>
            <w:tcW w:type="dxa" w:w="136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$15,949</w:t>
            </w:r>
          </w:p>
        </w:tc>
        <w:tc>
          <w:tcPr>
            <w:tcW w:type="dxa" w:w="3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Cumulative one-time: ~$41,267  |  Annual recurring: ~$6,500</w:t>
            </w:r>
          </w:p>
        </w:tc>
      </w:tr>
    </w:tbl>
    <w:p>
      <w:pPr>
        <w:spacing w:after="60" w:before="60"/>
      </w:pPr>
      <w:r>
        <w:rPr>
          <w:sz w:val="22"/>
          <w:szCs w:val="22"/>
        </w:rPr>
        <w:t xml:space="preserve"/>
      </w:r>
    </w:p>
    <w:p>
      <w:pPr>
        <w:pStyle w:val="Heading2"/>
      </w:pPr>
      <w:r>
        <w:rPr>
          <w:rFonts w:ascii="Arial" w:cs="Arial" w:eastAsia="Arial" w:hAnsi="Arial"/>
        </w:rPr>
        <w:t xml:space="preserve">3.3  Tier 3: 250 Users -- Incremental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300"/>
        <w:gridCol w:w="1360"/>
        <w:gridCol w:w="3800"/>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Qty</w:t>
            </w:r>
          </w:p>
        </w:tc>
        <w:tc>
          <w:tcPr>
            <w:tcW w:type="dxa" w:w="1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 Cost</w:t>
            </w:r>
          </w:p>
        </w:tc>
        <w:tc>
          <w:tcPr>
            <w:tcW w:type="dxa" w:w="1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Subtotal</w:t>
            </w:r>
          </w:p>
        </w:tc>
        <w:tc>
          <w:tcPr>
            <w:tcW w:type="dxa" w:w="3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Product Examples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Cards &amp; Readers (Additional)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PIV Smart Cards — 150 additional users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165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$3,300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150 new users + 10% spare (15). Cumulative card inventory: 275 cards.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USB Smart Card Readers — additional</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173</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$35.00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$6,055</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150 new workstations + 15% spare (23). Cumulative reader count: 289.</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Servers &amp; Licensing (Additional)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Physical Server — Dedicated Issuing CA</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$4,500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$4,500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Dell PowerEdge R350 or HPE ProLiant DL360 Gen11. 1U rack-mount. Replaces shared VM. See Server Spec table for minimum specs.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Windows Server 2022 Standard — OCSP VM</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$1,069</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$1,069</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License for dedicated OCSP Responder VM, now separated from Issuing CA. 2-VM entitlement covers OCSP + spare.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Windows Server CALs — 150 additional users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$55.00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$8,250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Cumulative CAL count: 250 User CALs.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PKI Software, CMS &amp; Middleware (Additional)</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Third-Party CMS — Base License (250 users)</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$10,000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Versasec vSEC:CMS SE, HID ActivID CMS, or Entrust CMS. Base license for 250 users including 1yr software maintenance.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Smart Card Middleware — 150 additional seats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$4,500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Additional per-seat middleware licenses. Cumulative: 250 seats.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Implementation Labor</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Implementation Labor</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80 hrs</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$150/hr</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$12,000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Physical server setup, OCSP separation, CMS deployment and integration, network segmentation, HSM evaluation, enrollment of 150 new users.</w:t>
            </w:r>
          </w:p>
        </w:tc>
      </w:tr>
      <w:tr>
        <w:tc>
          <w:tcPr>
            <w:tcW w:type="dxa" w:w="22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INCREMENTAL COST — TIER 3</w:t>
            </w:r>
          </w:p>
        </w:tc>
        <w:tc>
          <w:tcPr>
            <w:tcW w:type="dxa" w:w="7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
            </w:r>
          </w:p>
        </w:tc>
        <w:tc>
          <w:tcPr>
            <w:tcW w:type="dxa" w:w="13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
            </w:r>
          </w:p>
        </w:tc>
        <w:tc>
          <w:tcPr>
            <w:tcW w:type="dxa" w:w="136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$49,674</w:t>
            </w:r>
          </w:p>
        </w:tc>
        <w:tc>
          <w:tcPr>
            <w:tcW w:type="dxa" w:w="3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Cumulative one-time: ~$90,941  |  Annual recurring: ~$13,000</w:t>
            </w:r>
          </w:p>
        </w:tc>
      </w:tr>
    </w:tbl>
    <w:p>
      <w:pPr>
        <w:spacing w:after="60" w:before="60"/>
      </w:pPr>
      <w:r>
        <w:rPr>
          <w:sz w:val="22"/>
          <w:szCs w:val="22"/>
        </w:rPr>
        <w:t xml:space="preserve"/>
      </w:r>
    </w:p>
    <w:p>
      <w:pPr>
        <w:pStyle w:val="Heading2"/>
      </w:pPr>
      <w:r>
        <w:rPr>
          <w:rFonts w:ascii="Arial" w:cs="Arial" w:eastAsia="Arial" w:hAnsi="Arial"/>
        </w:rPr>
        <w:t xml:space="preserve">3.4  Tier 4: 500 Users -- Incremental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300"/>
        <w:gridCol w:w="1360"/>
        <w:gridCol w:w="3800"/>
      </w:tblGrid>
      <w:tr>
        <w:tc>
          <w:tcPr>
            <w:tcW w:type="dxa" w:w="2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Qty</w:t>
            </w:r>
          </w:p>
        </w:tc>
        <w:tc>
          <w:tcPr>
            <w:tcW w:type="dxa" w:w="1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Unit Cost</w:t>
            </w:r>
          </w:p>
        </w:tc>
        <w:tc>
          <w:tcPr>
            <w:tcW w:type="dxa" w:w="13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Subtotal</w:t>
            </w:r>
          </w:p>
        </w:tc>
        <w:tc>
          <w:tcPr>
            <w:tcW w:type="dxa" w:w="3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 / Product Examples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Cards &amp; Readers (Additional)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PIV Smart Cards — 250 additional users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275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$5,500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250 new users + 10% spare (25). Cumulative card inventory: 550 cards. Consider volume discount at this quantity.</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USB Smart Card Readers — additional</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288</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$35.00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$10,080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250 new workstations + 15% spare (38). Cumulative reader count: 577.</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Servers &amp; Licensing (Additional)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Physical Servers — HA Issuing CA pair (x2)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Two Dell PowerEdge R350 or equivalent for HA Issuing CA pair. Independent CAs, same root chain, NLB/LB in front.</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Physical Server — Additional Domain Controller</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$5,000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Third DC on physical hardware for AD DS HA. Anti-affinity from existing DCs (separate physical host).</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Windows Server 2022 Datacenter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$6,155</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$6,155</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Datacenter edition for HA CA pair host (unlimited VMs). Covers NLB, CRL server, and additional VMs. Per-physical-host license.</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Windows Server CALs — 250 additional users</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$55.00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$13,750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Cumulative CAL count: 500 User CALs. Consider Microsoft Enterprise Agreement for volume pricing.</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PKI, HSM, CMS &amp; Middleware (Additional)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Hardware Security Module (HSM)</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Thales Luna Network HSM 7 (entry) or Entrust nShield Connect XC. FIPS 140-2 Level 3. Network-attached; compatible with VM CA deployments via Windows CNG KSP.</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CMS License Expansion — 250 to 500 users</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$10,000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Vendor-specific expansion pack or new license tier for 500-user CMS. Contact vendor for exact pricing; estimates vary widely.</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Smart Card Middleware — 250 additional seats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$30.00</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$7,500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Additional per-seat middleware licenses. Cumulative: 500 seats.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Network &amp; Load Balancing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Network Load Balancer (NLB / hardware LB)</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w:t>
            </w:r>
          </w:p>
        </w:tc>
        <w:tc>
          <w:tcPr>
            <w:tcW w:type="dxa" w:w="1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$2,000</w:t>
            </w:r>
          </w:p>
        </w:tc>
        <w:tc>
          <w:tcPr>
            <w:tcW w:type="dxa" w:w="1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$2,000</w:t>
            </w:r>
          </w:p>
        </w:tc>
        <w:tc>
          <w:tcPr>
            <w:tcW w:type="dxa" w:w="3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Windows Server NLB (included in WS2022 Datacenter) for OCSP and CRL traffic. Hardware LB (Kemp LM-2600, ~$2,000-5,000) if higher throughput needed.</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Implementation Labor</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Implementation Labor</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120 hrs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$150/hr</w:t>
            </w:r>
          </w:p>
        </w:tc>
        <w:tc>
          <w:tcPr>
            <w:tcW w:type="dxa" w:w="1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$18,000</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 CA pair deployment, HSM integration and key ceremony, NLB configuration, OCSP HA, DR plan documentation, enrollment of 250 new users, staff training.</w:t>
            </w:r>
          </w:p>
        </w:tc>
      </w:tr>
      <w:tr>
        <w:tc>
          <w:tcPr>
            <w:tcW w:type="dxa" w:w="22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INCREMENTAL COST — TIER 4</w:t>
            </w:r>
          </w:p>
        </w:tc>
        <w:tc>
          <w:tcPr>
            <w:tcW w:type="dxa" w:w="7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
            </w:r>
          </w:p>
        </w:tc>
        <w:tc>
          <w:tcPr>
            <w:tcW w:type="dxa" w:w="13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
            </w:r>
          </w:p>
        </w:tc>
        <w:tc>
          <w:tcPr>
            <w:tcW w:type="dxa" w:w="136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$102,985</w:t>
            </w:r>
          </w:p>
        </w:tc>
        <w:tc>
          <w:tcPr>
            <w:tcW w:type="dxa" w:w="380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Cumulative one-time: ~$193,926  |  Annual recurring: ~$26,000</w:t>
            </w:r>
          </w:p>
        </w:tc>
      </w:tr>
    </w:tbl>
    <w:p>
      <w:r>
        <w:br w:type="page"/>
      </w:r>
    </w:p>
    <w:p>
      <w:pPr>
        <w:pStyle w:val="Heading1"/>
      </w:pPr>
      <w:r>
        <w:rPr>
          <w:rFonts w:ascii="Arial" w:cs="Arial" w:eastAsia="Arial" w:hAnsi="Arial"/>
        </w:rPr>
        <w:t xml:space="preserve">4. Minimum Server Specifications</w:t>
      </w:r>
    </w:p>
    <w:p>
      <w:pPr>
        <w:spacing w:after="120" w:before="60"/>
        <w:jc w:val="both"/>
      </w:pPr>
      <w:r>
        <w:rPr>
          <w:rFonts w:ascii="Arial" w:cs="Arial" w:eastAsia="Arial" w:hAnsi="Arial"/>
          <w:b w:val="false"/>
          <w:bCs w:val="false"/>
          <w:i w:val="false"/>
          <w:iCs w:val="false"/>
          <w:color w:val="000000"/>
          <w:sz w:val="22"/>
          <w:szCs w:val="22"/>
        </w:rPr>
        <w:t xml:space="preserve">The following table defines minimum recommended specifications for each server role. These specifications support the workload at the stated user tier. Scale upward for higher user counts, additional certificate templates, cross-certification, or OCSP-heavy environments.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00"/>
        <w:gridCol w:w="700"/>
        <w:gridCol w:w="900"/>
        <w:gridCol w:w="2060"/>
        <w:gridCol w:w="3200"/>
      </w:tblGrid>
      <w:tr>
        <w:tc>
          <w:tcPr>
            <w:tcW w:type="dxa" w:w="18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Server Role</w:t>
            </w:r>
          </w:p>
        </w:tc>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vCPU</w:t>
            </w:r>
          </w:p>
        </w:tc>
        <w:tc>
          <w:tcPr>
            <w:tcW w:type="dxa" w:w="7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RAM</w:t>
            </w:r>
          </w:p>
        </w:tc>
        <w:tc>
          <w:tcPr>
            <w:tcW w:type="dxa" w:w="9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Storage</w:t>
            </w:r>
          </w:p>
        </w:tc>
        <w:tc>
          <w:tcPr>
            <w:tcW w:type="dxa" w:w="20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OS / Edition</w:t>
            </w:r>
          </w:p>
        </w:tc>
        <w:tc>
          <w:tcPr>
            <w:tcW w:type="dxa" w:w="32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Offline Root CA</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GB</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 GB SSD</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WS 2022 Standard (Server Core)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Air-gapped. No persistent NIC. Powered on 1-2x/year for CRL issuance. Store VMDK/VHDX on encrypted offline media when not in use. Tiers 1-4.</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Online Issuing CA (AD CS)</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GB</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 GB SSD</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WS 2022 Standard (Core or Desktop)</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Hosts AD CS Issuing CA role. Network access to AD DS required. Use separate OS and CA-DB volumes. Move to physical hardware at Tier 3+. TPM or HSM for key protection.</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Domain Controller (AD DS)</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2-4</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GB</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 GB SSD</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WS 2022 Standard (Server Core recommended)</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Runs AD DS + DNS. Required for Kerberos PKINIT (smart card logon). Deploy minimum 2 DCs at Tier 2+. At Tier 4 deploy 3+ DCs on separate physical hosts.</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OCSP Responder</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GB</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 GB SSD</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WS 2022 Standard (Server Core)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Runs AD CS Online Responder role. Co-locate with Issuing CA at Tiers 1-2. Separate onto own VM at Tier 3+. Deploy 2 OCSP servers behind NLB at Tier 4.</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CRL Distribution Point (CDP)</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 GB</w:t>
            </w:r>
          </w:p>
        </w:tc>
        <w:tc>
          <w:tcPr>
            <w:tcW w:type="dxa" w:w="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60 GB SSD</w:t>
            </w:r>
          </w:p>
        </w:tc>
        <w:tc>
          <w:tcPr>
            <w:tcW w:type="dxa" w:w="2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WS 2022 Standard (IIS role)</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Hosts CRL and AIA files via HTTPS/HTTP. Must be accessible from all network segments including VPN and DMZ. Can be co-located at Tier 1-2; dedicated server recommended at Tier 3+.</w:t>
            </w:r>
          </w:p>
        </w:tc>
      </w:tr>
      <w:tr>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CMS Server (Third-Party)</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4</w:t>
            </w:r>
          </w:p>
        </w:tc>
        <w:tc>
          <w:tcPr>
            <w:tcW w:type="dxa" w:w="7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 GB</w:t>
            </w:r>
          </w:p>
        </w:tc>
        <w:tc>
          <w:tcPr>
            <w:tcW w:type="dxa" w:w="9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100 GB SSD</w:t>
            </w:r>
          </w:p>
        </w:tc>
        <w:tc>
          <w:tcPr>
            <w:tcW w:type="dxa" w:w="2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WS 2022 Standard (Desktop Experience)</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Required only with third-party CMS (Tier 2+ recommended). May require a SQL Server backend (SQL Server 2019/2022 Standard). Check CMS vendor prerequisites.</w:t>
            </w:r>
          </w:p>
        </w:tc>
      </w:tr>
    </w:tbl>
    <w:p>
      <w:pPr>
        <w:spacing w:after="60" w:before="60"/>
      </w:pPr>
      <w:r>
        <w:rPr>
          <w:sz w:val="22"/>
          <w:szCs w:val="22"/>
        </w:rPr>
        <w:t xml:space="preserve"/>
      </w:r>
    </w:p>
    <w:p>
      <w:pPr>
        <w:spacing w:after="120" w:before="60"/>
        <w:jc w:val="both"/>
      </w:pPr>
      <w:r>
        <w:rPr>
          <w:rFonts w:ascii="Arial" w:cs="Arial" w:eastAsia="Arial" w:hAnsi="Arial"/>
          <w:b/>
          <w:bCs/>
          <w:i w:val="false"/>
          <w:iCs w:val="false"/>
          <w:color w:val="000000"/>
          <w:sz w:val="22"/>
          <w:szCs w:val="22"/>
        </w:rPr>
        <w:t xml:space="preserve">Important notes:</w:t>
      </w:r>
    </w:p>
    <w:p>
      <w:pPr>
        <w:pStyle w:val="ListParagraph"/>
        <w:numPr>
          <w:ilvl w:val="0"/>
          <w:numId w:val="2"/>
        </w:numPr>
        <w:spacing w:after="40" w:before="40"/>
      </w:pPr>
      <w:r>
        <w:rPr>
          <w:rFonts w:ascii="Arial" w:cs="Arial" w:eastAsia="Arial" w:hAnsi="Arial"/>
          <w:sz w:val="22"/>
          <w:szCs w:val="22"/>
        </w:rPr>
        <w:t xml:space="preserve">All CA servers should use Server Core installation of Windows Server 2022 to minimize attack surface. Desktop Experience is only required for the CMS server (vendor GUIs typically require it).</w:t>
      </w:r>
    </w:p>
    <w:p>
      <w:pPr>
        <w:pStyle w:val="ListParagraph"/>
        <w:numPr>
          <w:ilvl w:val="0"/>
          <w:numId w:val="2"/>
        </w:numPr>
        <w:spacing w:after="40" w:before="40"/>
      </w:pPr>
      <w:r>
        <w:rPr>
          <w:rFonts w:ascii="Arial" w:cs="Arial" w:eastAsia="Arial" w:hAnsi="Arial"/>
          <w:sz w:val="22"/>
          <w:szCs w:val="22"/>
        </w:rPr>
        <w:t xml:space="preserve">Use separate OS and CA database volumes in production deployments. CA database I/O is write-heavy; SSD or NVMe is strongly recommended. HDDs are acceptable only for log archival.</w:t>
      </w:r>
    </w:p>
    <w:p>
      <w:pPr>
        <w:pStyle w:val="ListParagraph"/>
        <w:numPr>
          <w:ilvl w:val="0"/>
          <w:numId w:val="2"/>
        </w:numPr>
        <w:spacing w:after="40" w:before="40"/>
      </w:pPr>
      <w:r>
        <w:rPr>
          <w:rFonts w:ascii="Arial" w:cs="Arial" w:eastAsia="Arial" w:hAnsi="Arial"/>
          <w:sz w:val="22"/>
          <w:szCs w:val="22"/>
        </w:rPr>
        <w:t xml:space="preserve">For VM deployments: allocate resources without CPU/memory over-commitment for CA roles. Use anti-affinity placement rules to ensure CA VMs do not share a physical host with each other.</w:t>
      </w:r>
    </w:p>
    <w:p>
      <w:pPr>
        <w:pStyle w:val="ListParagraph"/>
        <w:numPr>
          <w:ilvl w:val="0"/>
          <w:numId w:val="2"/>
        </w:numPr>
        <w:spacing w:after="40" w:before="40"/>
      </w:pPr>
      <w:r>
        <w:rPr>
          <w:rFonts w:ascii="Arial" w:cs="Arial" w:eastAsia="Arial" w:hAnsi="Arial"/>
          <w:sz w:val="22"/>
          <w:szCs w:val="22"/>
        </w:rPr>
        <w:t xml:space="preserve">Network-attached HSMs (Thales Luna, Entrust nShield Connect) do not require PCIe slots and are compatible with VM-hosted CAs at all tiers.</w:t>
      </w:r>
    </w:p>
    <w:p>
      <w:pPr>
        <w:pStyle w:val="ListParagraph"/>
        <w:numPr>
          <w:ilvl w:val="0"/>
          <w:numId w:val="2"/>
        </w:numPr>
        <w:spacing w:after="40" w:before="40"/>
      </w:pPr>
      <w:r>
        <w:rPr>
          <w:rFonts w:ascii="Arial" w:cs="Arial" w:eastAsia="Arial" w:hAnsi="Arial"/>
          <w:sz w:val="22"/>
          <w:szCs w:val="22"/>
        </w:rPr>
        <w:t xml:space="preserve">CA server clocks must be synchronized via NTP to within 5 minutes of Kerberos time (RFC 4120). Clock skew causes certificate validation failures and smart card logon errors.</w:t>
      </w:r>
    </w:p>
    <w:p>
      <w:r>
        <w:br w:type="page"/>
      </w:r>
    </w:p>
    <w:p>
      <w:pPr>
        <w:pStyle w:val="Heading1"/>
      </w:pPr>
      <w:r>
        <w:rPr>
          <w:rFonts w:ascii="Arial" w:cs="Arial" w:eastAsia="Arial" w:hAnsi="Arial"/>
        </w:rPr>
        <w:t xml:space="preserve">5. Total Cost of Ownership (TCO)</w:t>
      </w:r>
    </w:p>
    <w:p>
      <w:pPr>
        <w:spacing w:after="120" w:before="60"/>
        <w:jc w:val="both"/>
      </w:pPr>
      <w:r>
        <w:rPr>
          <w:rFonts w:ascii="Arial" w:cs="Arial" w:eastAsia="Arial" w:hAnsi="Arial"/>
          <w:b w:val="false"/>
          <w:bCs w:val="false"/>
          <w:i w:val="false"/>
          <w:iCs w:val="false"/>
          <w:color w:val="000000"/>
          <w:sz w:val="22"/>
          <w:szCs w:val="22"/>
        </w:rPr>
        <w:t xml:space="preserve">The table below provides a comprehensive TCO summary across all four deployment tiers. One-time costs are shown both incrementally (per tier) and cumulatively. The 3-year TCO row projects total investment assuming three full years of operation at the stated scale.</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c>
          <w:tcPr>
            <w:tcW w:type="dxa" w:w="2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Cost Category</w:t>
            </w:r>
          </w:p>
        </w:tc>
        <w:tc>
          <w:tcPr>
            <w:tcW w:type="dxa" w:w="165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 1
(50 Users)</w:t>
            </w:r>
          </w:p>
        </w:tc>
        <w:tc>
          <w:tcPr>
            <w:tcW w:type="dxa" w:w="165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 2
(100 Users)</w:t>
            </w:r>
          </w:p>
        </w:tc>
        <w:tc>
          <w:tcPr>
            <w:tcW w:type="dxa" w:w="165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 3
(250 Users)</w:t>
            </w:r>
          </w:p>
        </w:tc>
        <w:tc>
          <w:tcPr>
            <w:tcW w:type="dxa" w:w="165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 4
(500 Users)</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ONE-TIME COSTS (Incremental per Tier)</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PIV Cards (incl. 10% spare pool)</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$1,100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$1,100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$3,300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$5,500</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Card Readers (incl. 15% spare pool)</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$2,030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$2,030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$6,055</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$10,080</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Server Hardware</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$4,500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$15,000</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Server Licensing (WS2022 + CALs)</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$4,888</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$3,819</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$9,319</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$19,905</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PKI / CMS / Middleware Software</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$14,500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$17,500</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Hardware Security Module (HSM)</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$15,000</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Network / Load Balancing</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$800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$2,000</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Implementation Labor</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$7,500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$12,000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$18,000</w:t>
            </w:r>
          </w:p>
        </w:tc>
      </w:tr>
      <w:tr>
        <w:tc>
          <w:tcPr>
            <w:tcW w:type="dxa" w:w="276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SUBTOTAL ONE-TIME (Incremental)</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$25,318</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$15,949</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$49,674</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$102,985</w:t>
            </w:r>
          </w:p>
        </w:tc>
      </w:tr>
      <w:tr>
        <w:tc>
          <w:tcPr>
            <w:tcW w:type="dxa" w:w="276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CUMULATIVE ONE-TIME (All Tiers)</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$25,318</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$41,267</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$90,941</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$193,926</w:t>
            </w:r>
          </w:p>
        </w:tc>
      </w:tr>
      <w:tr>
        <w:tc>
          <w:tcPr>
            <w:tcW w:type="dxa" w:w="9360"/>
            <w:gridSpan w:val="5"/>
            <w:tcBorders>
              <w:top w:val="single" w:color="2E75B6" w:sz="4"/>
              <w:left w:val="single" w:color="2E75B6" w:sz="4"/>
              <w:bottom w:val="single" w:color="2E75B6" w:sz="4"/>
              <w:right w:val="single" w:color="2E75B6" w:sz="4"/>
            </w:tcBorders>
            <w:shd w:fill="D5E8F0" w:val="clear"/>
            <w:tcMar>
              <w:top w:type="dxa" w:w="60"/>
              <w:left w:type="dxa" w:w="120"/>
              <w:bottom w:type="dxa" w:w="60"/>
              <w:right w:type="dxa" w:w="120"/>
            </w:tcMar>
          </w:tcPr>
          <w:p>
            <w:r>
              <w:rPr>
                <w:rFonts w:ascii="Arial" w:cs="Arial" w:eastAsia="Arial" w:hAnsi="Arial"/>
                <w:b/>
                <w:bCs/>
                <w:color w:val="1F4E79"/>
                <w:sz w:val="18"/>
                <w:szCs w:val="18"/>
              </w:rPr>
              <w:t xml:space="preserve">ANNUAL RECURRING COSTS (at full user count for each tier)</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Card Replacement / Attrition (~10%/yr)</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$500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$1,000</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Middleware Software Maintenance (~15%)</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$450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$600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$1,500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$2,250</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CMS Annual Maintenance (~20%)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$2,000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$4,000</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HSM Annual Maintenance (~15%)</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$2,250</w:t>
            </w:r>
          </w:p>
        </w:tc>
      </w:tr>
      <w:tr>
        <w:tc>
          <w:tcPr>
            <w:tcW w:type="dxa" w:w="2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Windows Server / CAL Maint. (~25% cumul.)</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$1,250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$2,200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$4,500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$9,500</w:t>
            </w:r>
          </w:p>
        </w:tc>
      </w:tr>
      <w:tr>
        <w:tc>
          <w:tcPr>
            <w:tcW w:type="dxa" w:w="2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Ongoing Admin Labor (est.)</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$1,700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$3,500</w:t>
            </w:r>
          </w:p>
        </w:tc>
        <w:tc>
          <w:tcPr>
            <w:tcW w:type="dxa" w:w="165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$4,500</w:t>
            </w:r>
          </w:p>
        </w:tc>
        <w:tc>
          <w:tcPr>
            <w:tcW w:type="dxa" w:w="165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right"/>
            </w:pPr>
            <w:r>
              <w:rPr>
                <w:rFonts w:ascii="Arial" w:cs="Arial" w:eastAsia="Arial" w:hAnsi="Arial"/>
                <w:b w:val="false"/>
                <w:bCs w:val="false"/>
                <w:color w:val="000000"/>
                <w:sz w:val="18"/>
                <w:szCs w:val="18"/>
              </w:rPr>
              <w:t xml:space="preserve">$7,000</w:t>
            </w:r>
          </w:p>
        </w:tc>
      </w:tr>
      <w:tr>
        <w:tc>
          <w:tcPr>
            <w:tcW w:type="dxa" w:w="276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SUBTOTAL ANNUAL RECURRING</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~$3,500</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~$6,500</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~$13,000</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~$26,000</w:t>
            </w:r>
          </w:p>
        </w:tc>
      </w:tr>
      <w:tr>
        <w:tc>
          <w:tcPr>
            <w:tcW w:type="dxa" w:w="276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left"/>
            </w:pPr>
            <w:r>
              <w:rPr>
                <w:rFonts w:ascii="Arial" w:cs="Arial" w:eastAsia="Arial" w:hAnsi="Arial"/>
                <w:b/>
                <w:bCs/>
                <w:sz w:val="18"/>
                <w:szCs w:val="18"/>
              </w:rPr>
              <w:t xml:space="preserve">3-YEAR TCO (Cumul. Capex + 3yr Opex)</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~$35,800</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~$60,800</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~$129,900</w:t>
            </w:r>
          </w:p>
        </w:tc>
        <w:tc>
          <w:tcPr>
            <w:tcW w:type="dxa" w:w="1650"/>
            <w:tcBorders>
              <w:top w:val="single" w:color="2E75B6" w:sz="4"/>
              <w:left w:val="single" w:color="2E75B6" w:sz="4"/>
              <w:bottom w:val="single" w:color="2E75B6" w:sz="4"/>
              <w:right w:val="single" w:color="2E75B6" w:sz="4"/>
            </w:tcBorders>
            <w:shd w:fill="D5E8F0" w:val="clear"/>
            <w:tcMar>
              <w:top w:type="dxa" w:w="80"/>
              <w:left w:type="dxa" w:w="120"/>
              <w:bottom w:type="dxa" w:w="80"/>
              <w:right w:type="dxa" w:w="120"/>
            </w:tcMar>
          </w:tcPr>
          <w:p>
            <w:pPr>
              <w:jc w:val="right"/>
            </w:pPr>
            <w:r>
              <w:rPr>
                <w:rFonts w:ascii="Arial" w:cs="Arial" w:eastAsia="Arial" w:hAnsi="Arial"/>
                <w:b/>
                <w:bCs/>
                <w:sz w:val="18"/>
                <w:szCs w:val="18"/>
              </w:rPr>
              <w:t xml:space="preserve">~$271,900</w:t>
            </w:r>
          </w:p>
        </w:tc>
      </w:tr>
    </w:tbl>
    <w:p>
      <w:pPr>
        <w:spacing w:after="60" w:before="60"/>
      </w:pPr>
      <w:r>
        <w:rPr>
          <w:sz w:val="22"/>
          <w:szCs w:val="22"/>
        </w:rPr>
        <w:t xml:space="preserve"/>
      </w:r>
    </w:p>
    <w:p>
      <w:pPr>
        <w:spacing w:after="120" w:before="60"/>
        <w:jc w:val="both"/>
      </w:pPr>
      <w:r>
        <w:rPr>
          <w:rFonts w:ascii="Arial" w:cs="Arial" w:eastAsia="Arial" w:hAnsi="Arial"/>
          <w:b/>
          <w:bCs/>
          <w:i w:val="false"/>
          <w:iCs w:val="false"/>
          <w:color w:val="000000"/>
          <w:sz w:val="22"/>
          <w:szCs w:val="22"/>
        </w:rPr>
        <w:t xml:space="preserve">TCO assumptions and notes:</w:t>
      </w:r>
    </w:p>
    <w:p>
      <w:pPr>
        <w:pStyle w:val="ListParagraph"/>
        <w:numPr>
          <w:ilvl w:val="0"/>
          <w:numId w:val="2"/>
        </w:numPr>
        <w:spacing w:after="40" w:before="40"/>
      </w:pPr>
      <w:r>
        <w:rPr>
          <w:rFonts w:ascii="Arial" w:cs="Arial" w:eastAsia="Arial" w:hAnsi="Arial"/>
          <w:sz w:val="22"/>
          <w:szCs w:val="22"/>
        </w:rPr>
        <w:t xml:space="preserve">Annual recurring costs are calculated at the full user count for each tier (steady-state operations, not ramp-up period).</w:t>
      </w:r>
    </w:p>
    <w:p>
      <w:pPr>
        <w:pStyle w:val="ListParagraph"/>
        <w:numPr>
          <w:ilvl w:val="0"/>
          <w:numId w:val="2"/>
        </w:numPr>
        <w:spacing w:after="40" w:before="40"/>
      </w:pPr>
      <w:r>
        <w:rPr>
          <w:rFonts w:ascii="Arial" w:cs="Arial" w:eastAsia="Arial" w:hAnsi="Arial"/>
          <w:sz w:val="22"/>
          <w:szCs w:val="22"/>
        </w:rPr>
        <w:t xml:space="preserve">Windows Server Software Assurance (SA) / subscription maintenance is estimated at 25% of cumulative WS licensing annually. Organizations with existing Microsoft Enterprise Agreements (EA) or EES agreements should substitute actual contract pricing.</w:t>
      </w:r>
    </w:p>
    <w:p>
      <w:pPr>
        <w:pStyle w:val="ListParagraph"/>
        <w:numPr>
          <w:ilvl w:val="0"/>
          <w:numId w:val="2"/>
        </w:numPr>
        <w:spacing w:after="40" w:before="40"/>
      </w:pPr>
      <w:r>
        <w:rPr>
          <w:rFonts w:ascii="Arial" w:cs="Arial" w:eastAsia="Arial" w:hAnsi="Arial"/>
          <w:sz w:val="22"/>
          <w:szCs w:val="22"/>
        </w:rPr>
        <w:t xml:space="preserve">Ongoing admin labor is estimated at approximately 2 hrs/month at Tier 1, 4 hrs/month at Tier 2, 6 hrs/month at Tier 3, and 8 hrs/month at Tier 4 at $150/hour blended rate. Actual hours depend on organizational maturity, automation, and CMS deployment.</w:t>
      </w:r>
    </w:p>
    <w:p>
      <w:pPr>
        <w:pStyle w:val="ListParagraph"/>
        <w:numPr>
          <w:ilvl w:val="0"/>
          <w:numId w:val="2"/>
        </w:numPr>
        <w:spacing w:after="40" w:before="40"/>
      </w:pPr>
      <w:r>
        <w:rPr>
          <w:rFonts w:ascii="Arial" w:cs="Arial" w:eastAsia="Arial" w:hAnsi="Arial"/>
          <w:sz w:val="22"/>
          <w:szCs w:val="22"/>
        </w:rPr>
        <w:t xml:space="preserve">DoD organizations using GFE CAC cards: set card procurement line items to $0 and add RAPIDS station setup costs (~$5,000-10,000 one-time) if not already deployed.</w:t>
      </w:r>
    </w:p>
    <w:p>
      <w:pPr>
        <w:pStyle w:val="ListParagraph"/>
        <w:numPr>
          <w:ilvl w:val="0"/>
          <w:numId w:val="2"/>
        </w:numPr>
        <w:spacing w:after="40" w:before="40"/>
      </w:pPr>
      <w:r>
        <w:rPr>
          <w:rFonts w:ascii="Arial" w:cs="Arial" w:eastAsia="Arial" w:hAnsi="Arial"/>
          <w:sz w:val="22"/>
          <w:szCs w:val="22"/>
        </w:rPr>
        <w:t xml:space="preserve">CMS maintenance is estimated at 20% of base license cost annually. Verify exact maintenance terms in vendor contracts.</w:t>
      </w:r>
    </w:p>
    <w:p>
      <w:pPr>
        <w:pStyle w:val="ListParagraph"/>
        <w:numPr>
          <w:ilvl w:val="0"/>
          <w:numId w:val="2"/>
        </w:numPr>
        <w:spacing w:after="40" w:before="40"/>
      </w:pPr>
      <w:r>
        <w:rPr>
          <w:rFonts w:ascii="Arial" w:cs="Arial" w:eastAsia="Arial" w:hAnsi="Arial"/>
          <w:sz w:val="22"/>
          <w:szCs w:val="22"/>
        </w:rPr>
        <w:t xml:space="preserve">HSM maintenance is estimated at 15% of hardware cost annually. Network-attached HSMs typically include a 1-year support contract in the purchase price; budget for renewal from Year 2 onward.</w:t>
      </w:r>
    </w:p>
    <w:p>
      <w:r>
        <w:br w:type="page"/>
      </w:r>
    </w:p>
    <w:p>
      <w:pPr>
        <w:pStyle w:val="Heading1"/>
      </w:pPr>
      <w:r>
        <w:rPr>
          <w:rFonts w:ascii="Arial" w:cs="Arial" w:eastAsia="Arial" w:hAnsi="Arial"/>
        </w:rPr>
        <w:t xml:space="preserve">6. Scaling Recommendations</w:t>
      </w:r>
    </w:p>
    <w:p>
      <w:pPr>
        <w:spacing w:after="120" w:before="60"/>
        <w:jc w:val="both"/>
      </w:pPr>
      <w:r>
        <w:rPr>
          <w:rFonts w:ascii="Arial" w:cs="Arial" w:eastAsia="Arial" w:hAnsi="Arial"/>
          <w:b w:val="false"/>
          <w:bCs w:val="false"/>
          <w:i w:val="false"/>
          <w:iCs w:val="false"/>
          <w:color w:val="000000"/>
          <w:sz w:val="22"/>
          <w:szCs w:val="22"/>
        </w:rPr>
        <w:t xml:space="preserve">This section provides practical guidance for IT managers and security engineers planning CAC/PIV infrastructure growth. Recommendations are organized by decision point.</w:t>
      </w:r>
    </w:p>
    <w:p>
      <w:pPr>
        <w:spacing w:after="60" w:before="60"/>
      </w:pPr>
      <w:r>
        <w:rPr>
          <w:sz w:val="22"/>
          <w:szCs w:val="22"/>
        </w:rPr>
        <w:t xml:space="preserve"/>
      </w:r>
    </w:p>
    <w:p>
      <w:pPr>
        <w:pStyle w:val="Heading2"/>
      </w:pPr>
      <w:r>
        <w:rPr>
          <w:rFonts w:ascii="Arial" w:cs="Arial" w:eastAsia="Arial" w:hAnsi="Arial"/>
        </w:rPr>
        <w:t xml:space="preserve">6.1  When to Split Server Roles</w:t>
      </w:r>
    </w:p>
    <w:p>
      <w:pPr>
        <w:spacing w:after="120" w:before="60"/>
        <w:jc w:val="both"/>
      </w:pPr>
      <w:r>
        <w:rPr>
          <w:rFonts w:ascii="Arial" w:cs="Arial" w:eastAsia="Arial" w:hAnsi="Arial"/>
          <w:b w:val="false"/>
          <w:bCs w:val="false"/>
          <w:i w:val="false"/>
          <w:iCs w:val="false"/>
          <w:color w:val="000000"/>
          <w:sz w:val="22"/>
          <w:szCs w:val="22"/>
        </w:rPr>
        <w:t xml:space="preserve">Role co-location is acceptable at small scale but introduces risk and performance constraints as the program grows. Apply these guidelines:</w:t>
      </w:r>
    </w:p>
    <w:p>
      <w:pPr>
        <w:pStyle w:val="ListParagraph"/>
        <w:numPr>
          <w:ilvl w:val="0"/>
          <w:numId w:val="2"/>
        </w:numPr>
        <w:spacing w:after="40" w:before="40"/>
      </w:pPr>
      <w:r>
        <w:rPr>
          <w:rFonts w:ascii="Arial" w:cs="Arial" w:eastAsia="Arial" w:hAnsi="Arial"/>
          <w:sz w:val="22"/>
          <w:szCs w:val="22"/>
        </w:rPr>
        <w:t xml:space="preserve">Tiers 1-2 (50-100 users): Co-locate the Issuing CA and OCSP Responder on a single VM. Co-locate the CRL Distribution Point on the Issuing CA server. One administrator can manage all roles part-time.</w:t>
      </w:r>
    </w:p>
    <w:p>
      <w:pPr>
        <w:pStyle w:val="ListParagraph"/>
        <w:numPr>
          <w:ilvl w:val="0"/>
          <w:numId w:val="2"/>
        </w:numPr>
        <w:spacing w:after="40" w:before="40"/>
      </w:pPr>
      <w:r>
        <w:rPr>
          <w:rFonts w:ascii="Arial" w:cs="Arial" w:eastAsia="Arial" w:hAnsi="Arial"/>
          <w:sz w:val="22"/>
          <w:szCs w:val="22"/>
        </w:rPr>
        <w:t xml:space="preserve">Tier 3 (250 users): Separate the OCSP Responder onto its own VM. At 250 users, OCSP request rates of several thousand per day add meaningful load to a co-located CA server. Separate the CRL Distribution Point if the CA is on an isolated VLAN.</w:t>
      </w:r>
    </w:p>
    <w:p>
      <w:pPr>
        <w:pStyle w:val="ListParagraph"/>
        <w:numPr>
          <w:ilvl w:val="0"/>
          <w:numId w:val="2"/>
        </w:numPr>
        <w:spacing w:after="40" w:before="40"/>
      </w:pPr>
      <w:r>
        <w:rPr>
          <w:rFonts w:ascii="Arial" w:cs="Arial" w:eastAsia="Arial" w:hAnsi="Arial"/>
          <w:sz w:val="22"/>
          <w:szCs w:val="22"/>
        </w:rPr>
        <w:t xml:space="preserve">Tier 4 (500 users): All roles should be on dedicated servers or VMs: Issuing CA (x2 for HA), OCSP Responder (x2 for HA), CRL Distribution Point (dedicated IIS server), and CA management/CMS server.</w:t>
      </w:r>
    </w:p>
    <w:p>
      <w:pPr>
        <w:pStyle w:val="ListParagraph"/>
        <w:numPr>
          <w:ilvl w:val="0"/>
          <w:numId w:val="2"/>
        </w:numPr>
        <w:spacing w:after="40" w:before="40"/>
      </w:pPr>
      <w:r>
        <w:rPr>
          <w:rFonts w:ascii="Arial" w:cs="Arial" w:eastAsia="Arial" w:hAnsi="Arial"/>
          <w:sz w:val="22"/>
          <w:szCs w:val="22"/>
        </w:rPr>
        <w:t xml:space="preserve">Offline Root CA must always be air-gapped at all tiers: No persistent NIC. Store media offline. The Root CA should never be a domain member.</w:t>
      </w:r>
    </w:p>
    <w:p>
      <w:pPr>
        <w:spacing w:after="60" w:before="60"/>
      </w:pPr>
      <w:r>
        <w:rPr>
          <w:sz w:val="22"/>
          <w:szCs w:val="22"/>
        </w:rPr>
        <w:t xml:space="preserve"/>
      </w:r>
    </w:p>
    <w:p>
      <w:pPr>
        <w:pStyle w:val="Heading2"/>
      </w:pPr>
      <w:r>
        <w:rPr>
          <w:rFonts w:ascii="Arial" w:cs="Arial" w:eastAsia="Arial" w:hAnsi="Arial"/>
        </w:rPr>
        <w:t xml:space="preserve">6.2  Physical vs. Virtual Infrastructure</w:t>
      </w:r>
    </w:p>
    <w:p>
      <w:pPr>
        <w:pStyle w:val="ListParagraph"/>
        <w:numPr>
          <w:ilvl w:val="0"/>
          <w:numId w:val="2"/>
        </w:numPr>
        <w:spacing w:after="40" w:before="40"/>
      </w:pPr>
      <w:r>
        <w:rPr>
          <w:rFonts w:ascii="Arial" w:cs="Arial" w:eastAsia="Arial" w:hAnsi="Arial"/>
          <w:sz w:val="22"/>
          <w:szCs w:val="22"/>
        </w:rPr>
        <w:t xml:space="preserve">Tiers 1-2: All CA roles can and should be VMs on existing hypervisor capacity. Use Windows Server Standard (2-VM entitlement per license). Anti-affinity rules are recommended if multiple CA VMs are on the same host.</w:t>
      </w:r>
    </w:p>
    <w:p>
      <w:pPr>
        <w:pStyle w:val="ListParagraph"/>
        <w:numPr>
          <w:ilvl w:val="0"/>
          <w:numId w:val="2"/>
        </w:numPr>
        <w:spacing w:after="40" w:before="40"/>
      </w:pPr>
      <w:r>
        <w:rPr>
          <w:rFonts w:ascii="Arial" w:cs="Arial" w:eastAsia="Arial" w:hAnsi="Arial"/>
          <w:sz w:val="22"/>
          <w:szCs w:val="22"/>
        </w:rPr>
        <w:t xml:space="preserve">Tier 3: Move the Issuing CA to physical hardware. Physical hardware eliminates hypervisor-layer risks to private key material and provides predictable I/O performance for the CA database. Cost: $4,000-6,000 for an entry-level 1U server.</w:t>
      </w:r>
    </w:p>
    <w:p>
      <w:pPr>
        <w:pStyle w:val="ListParagraph"/>
        <w:numPr>
          <w:ilvl w:val="0"/>
          <w:numId w:val="2"/>
        </w:numPr>
        <w:spacing w:after="40" w:before="40"/>
      </w:pPr>
      <w:r>
        <w:rPr>
          <w:rFonts w:ascii="Arial" w:cs="Arial" w:eastAsia="Arial" w:hAnsi="Arial"/>
          <w:sz w:val="22"/>
          <w:szCs w:val="22"/>
        </w:rPr>
        <w:t xml:space="preserve">Tier 4: HA Issuing CA pair and the additional DC should be on physical servers. Physical servers simplify HSM integration (PCIe HSMs require physical hosts; network-attached HSMs work with both). OCSP Responders can remain as high-priority VMs.</w:t>
      </w:r>
    </w:p>
    <w:p>
      <w:pPr>
        <w:spacing w:after="60" w:before="60"/>
      </w:pPr>
      <w:r>
        <w:rPr>
          <w:sz w:val="22"/>
          <w:szCs w:val="22"/>
        </w:rPr>
        <w:t xml:space="preserve"/>
      </w:r>
    </w:p>
    <w:p>
      <w:pPr>
        <w:pStyle w:val="Heading2"/>
      </w:pPr>
      <w:r>
        <w:rPr>
          <w:rFonts w:ascii="Arial" w:cs="Arial" w:eastAsia="Arial" w:hAnsi="Arial"/>
        </w:rPr>
        <w:t xml:space="preserve">6.3  High Availability Considerations</w:t>
      </w:r>
    </w:p>
    <w:p>
      <w:pPr>
        <w:pStyle w:val="ListParagraph"/>
        <w:numPr>
          <w:ilvl w:val="0"/>
          <w:numId w:val="2"/>
        </w:numPr>
        <w:spacing w:after="40" w:before="40"/>
      </w:pPr>
      <w:r>
        <w:rPr>
          <w:rFonts w:ascii="Arial" w:cs="Arial" w:eastAsia="Arial" w:hAnsi="Arial"/>
          <w:sz w:val="22"/>
          <w:szCs w:val="22"/>
        </w:rPr>
        <w:t xml:space="preserve">Domain Controllers are the most critical dependency for smart card logon. A DC failure means Kerberos PKINIT fails and no one can log in via smart card. Deploy 2+ DCs at Tier 2, 3+ DCs at Tier 4, on separate physical hosts.</w:t>
      </w:r>
    </w:p>
    <w:p>
      <w:pPr>
        <w:pStyle w:val="ListParagraph"/>
        <w:numPr>
          <w:ilvl w:val="0"/>
          <w:numId w:val="2"/>
        </w:numPr>
        <w:spacing w:after="40" w:before="40"/>
      </w:pPr>
      <w:r>
        <w:rPr>
          <w:rFonts w:ascii="Arial" w:cs="Arial" w:eastAsia="Arial" w:hAnsi="Arial"/>
          <w:sz w:val="22"/>
          <w:szCs w:val="22"/>
        </w:rPr>
        <w:t xml:space="preserve">Issuing CA HA at Tier 4: Two independent Issuing CAs sharing the same Root CA chain. Each has its own key pair and serial number range (configure non-overlapping ranges to prevent duplicate serial numbers). Deploy both behind NLB or a hardware load balancer.</w:t>
      </w:r>
    </w:p>
    <w:p>
      <w:pPr>
        <w:pStyle w:val="ListParagraph"/>
        <w:numPr>
          <w:ilvl w:val="0"/>
          <w:numId w:val="2"/>
        </w:numPr>
        <w:spacing w:after="40" w:before="40"/>
      </w:pPr>
      <w:r>
        <w:rPr>
          <w:rFonts w:ascii="Arial" w:cs="Arial" w:eastAsia="Arial" w:hAnsi="Arial"/>
          <w:sz w:val="22"/>
          <w:szCs w:val="22"/>
        </w:rPr>
        <w:t xml:space="preserve">OCSP HA at Tier 4: Two OCSP Responder VMs behind a load balancer. The AIA extension in issued certificates must reference the load-balanced OCSP URL, not individual server hostnames. Test OCSP failover by stopping one responder and verifying the other handles all requests.</w:t>
      </w:r>
    </w:p>
    <w:p>
      <w:pPr>
        <w:pStyle w:val="ListParagraph"/>
        <w:numPr>
          <w:ilvl w:val="0"/>
          <w:numId w:val="2"/>
        </w:numPr>
        <w:spacing w:after="40" w:before="40"/>
      </w:pPr>
      <w:r>
        <w:rPr>
          <w:rFonts w:ascii="Arial" w:cs="Arial" w:eastAsia="Arial" w:hAnsi="Arial"/>
          <w:sz w:val="22"/>
          <w:szCs w:val="22"/>
        </w:rPr>
        <w:t xml:space="preserve">CRL Redundancy at all tiers: A stale or unavailable CRL causes certificate validation failures. Publish CRLs to at least two locations: an internal CDP server and a secondary location such as Azure Blob Storage, an HTTPS CDN, or an LDAP path. Monitor CRL expiration proactively.</w:t>
      </w:r>
    </w:p>
    <w:p>
      <w:pPr>
        <w:spacing w:after="60" w:before="60"/>
      </w:pPr>
      <w:r>
        <w:rPr>
          <w:sz w:val="22"/>
          <w:szCs w:val="22"/>
        </w:rPr>
        <w:t xml:space="preserve"/>
      </w:r>
    </w:p>
    <w:p>
      <w:pPr>
        <w:pStyle w:val="Heading2"/>
      </w:pPr>
      <w:r>
        <w:rPr>
          <w:rFonts w:ascii="Arial" w:cs="Arial" w:eastAsia="Arial" w:hAnsi="Arial"/>
        </w:rPr>
        <w:t xml:space="preserve">6.4  Backup and Disaster Recovery</w:t>
      </w:r>
    </w:p>
    <w:p>
      <w:pPr>
        <w:pStyle w:val="ListParagraph"/>
        <w:numPr>
          <w:ilvl w:val="0"/>
          <w:numId w:val="2"/>
        </w:numPr>
        <w:spacing w:after="40" w:before="40"/>
      </w:pPr>
      <w:r>
        <w:rPr>
          <w:rFonts w:ascii="Arial" w:cs="Arial" w:eastAsia="Arial" w:hAnsi="Arial"/>
          <w:sz w:val="22"/>
          <w:szCs w:val="22"/>
        </w:rPr>
        <w:t xml:space="preserve">Root CA Key Backup: Back up the Root CA certificate and private key (if not in HSM) to at least two sets of encrypted offline media. Store one set on-site (physical safe) and one off-site (safety deposit box, escrow). Test decryption annually.</w:t>
      </w:r>
    </w:p>
    <w:p>
      <w:pPr>
        <w:pStyle w:val="ListParagraph"/>
        <w:numPr>
          <w:ilvl w:val="0"/>
          <w:numId w:val="2"/>
        </w:numPr>
        <w:spacing w:after="40" w:before="40"/>
      </w:pPr>
      <w:r>
        <w:rPr>
          <w:rFonts w:ascii="Arial" w:cs="Arial" w:eastAsia="Arial" w:hAnsi="Arial"/>
          <w:sz w:val="22"/>
          <w:szCs w:val="22"/>
        </w:rPr>
        <w:t xml:space="preserve">Issuing CA Backup: Back up the CA database, private key (if not in HSM), and full server state weekly. Test full CA recovery in an isolated lab environment at least once annually. Document RTO (target: 4 hours for Issuing CA recovery at Tier 4).</w:t>
      </w:r>
    </w:p>
    <w:p>
      <w:pPr>
        <w:pStyle w:val="ListParagraph"/>
        <w:numPr>
          <w:ilvl w:val="0"/>
          <w:numId w:val="2"/>
        </w:numPr>
        <w:spacing w:after="40" w:before="40"/>
      </w:pPr>
      <w:r>
        <w:rPr>
          <w:rFonts w:ascii="Arial" w:cs="Arial" w:eastAsia="Arial" w:hAnsi="Arial"/>
          <w:sz w:val="22"/>
          <w:szCs w:val="22"/>
        </w:rPr>
        <w:t xml:space="preserve">CA Certificate Expiration Monitoring: Monitor Root CA and Issuing CA certificate validity. Plan renewal 6-12 months before expiration. Root CA certificates: typically 10-20 year validity. Issuing CA certificates: typically 5-10 years. Build calendar reminders and automated monitoring alerts.</w:t>
      </w:r>
    </w:p>
    <w:p>
      <w:pPr>
        <w:pStyle w:val="ListParagraph"/>
        <w:numPr>
          <w:ilvl w:val="0"/>
          <w:numId w:val="2"/>
        </w:numPr>
        <w:spacing w:after="40" w:before="40"/>
      </w:pPr>
      <w:r>
        <w:rPr>
          <w:rFonts w:ascii="Arial" w:cs="Arial" w:eastAsia="Arial" w:hAnsi="Arial"/>
          <w:sz w:val="22"/>
          <w:szCs w:val="22"/>
        </w:rPr>
        <w:t xml:space="preserve">HSM Key Ceremony and Backup: If deploying an HSM, conduct a formal key generation ceremony with multiple custodians. Back up HSM key material using the vendor's secure token system. Maintain chain of custody documentation. Store backup tokens in separate physical locations.</w:t>
      </w:r>
    </w:p>
    <w:p>
      <w:pPr>
        <w:pStyle w:val="ListParagraph"/>
        <w:numPr>
          <w:ilvl w:val="0"/>
          <w:numId w:val="2"/>
        </w:numPr>
        <w:spacing w:after="40" w:before="40"/>
      </w:pPr>
      <w:r>
        <w:rPr>
          <w:rFonts w:ascii="Arial" w:cs="Arial" w:eastAsia="Arial" w:hAnsi="Arial"/>
          <w:sz w:val="22"/>
          <w:szCs w:val="22"/>
        </w:rPr>
        <w:t xml:space="preserve">DR Plan Documentation at Tier 3+: Maintain a written Disaster Recovery Plan covering CA hierarchy recovery procedures, custody of Root CA media, and verification steps to confirm successful recovery. Review annually.</w:t>
      </w:r>
    </w:p>
    <w:p>
      <w:pPr>
        <w:spacing w:after="60" w:before="60"/>
      </w:pPr>
      <w:r>
        <w:rPr>
          <w:sz w:val="22"/>
          <w:szCs w:val="22"/>
        </w:rPr>
        <w:t xml:space="preserve"/>
      </w:r>
    </w:p>
    <w:p>
      <w:pPr>
        <w:pStyle w:val="Heading2"/>
      </w:pPr>
      <w:r>
        <w:rPr>
          <w:rFonts w:ascii="Arial" w:cs="Arial" w:eastAsia="Arial" w:hAnsi="Arial"/>
        </w:rPr>
        <w:t xml:space="preserve">6.5  Security Hardening</w:t>
      </w:r>
    </w:p>
    <w:p>
      <w:pPr>
        <w:pStyle w:val="ListParagraph"/>
        <w:numPr>
          <w:ilvl w:val="0"/>
          <w:numId w:val="2"/>
        </w:numPr>
        <w:spacing w:after="40" w:before="40"/>
      </w:pPr>
      <w:r>
        <w:rPr>
          <w:rFonts w:ascii="Arial" w:cs="Arial" w:eastAsia="Arial" w:hAnsi="Arial"/>
          <w:sz w:val="22"/>
          <w:szCs w:val="22"/>
        </w:rPr>
        <w:t xml:space="preserve">Apply CIS Benchmarks for Windows Server 2022 on all CA servers. Disable unnecessary services and protocols (SMBv1, LLMNR, NetBIOS, WinRM if not needed).</w:t>
      </w:r>
    </w:p>
    <w:p>
      <w:pPr>
        <w:pStyle w:val="ListParagraph"/>
        <w:numPr>
          <w:ilvl w:val="0"/>
          <w:numId w:val="2"/>
        </w:numPr>
        <w:spacing w:after="40" w:before="40"/>
      </w:pPr>
      <w:r>
        <w:rPr>
          <w:rFonts w:ascii="Arial" w:cs="Arial" w:eastAsia="Arial" w:hAnsi="Arial"/>
          <w:sz w:val="22"/>
          <w:szCs w:val="22"/>
        </w:rPr>
        <w:t xml:space="preserve">Restrict AD CS template permissions: Ensure certificate templates only allow enrollment by authorized groups. Audit template ACLs quarterly. The ESC1-ESC8 misconfigurations (as documented by SpecterOps) are commonly exploited in CA environments.</w:t>
      </w:r>
    </w:p>
    <w:p>
      <w:pPr>
        <w:pStyle w:val="ListParagraph"/>
        <w:numPr>
          <w:ilvl w:val="0"/>
          <w:numId w:val="2"/>
        </w:numPr>
        <w:spacing w:after="40" w:before="40"/>
      </w:pPr>
      <w:r>
        <w:rPr>
          <w:rFonts w:ascii="Arial" w:cs="Arial" w:eastAsia="Arial" w:hAnsi="Arial"/>
          <w:sz w:val="22"/>
          <w:szCs w:val="22"/>
        </w:rPr>
        <w:t xml:space="preserve">Enable CA audit logging and forward events to a SIEM: CA Security (event IDs 4870-4876), CA Operations, and CA Certificate Manager events should be monitored for anomalous issuance patterns.</w:t>
      </w:r>
    </w:p>
    <w:p>
      <w:pPr>
        <w:pStyle w:val="ListParagraph"/>
        <w:numPr>
          <w:ilvl w:val="0"/>
          <w:numId w:val="2"/>
        </w:numPr>
        <w:spacing w:after="40" w:before="40"/>
      </w:pPr>
      <w:r>
        <w:rPr>
          <w:rFonts w:ascii="Arial" w:cs="Arial" w:eastAsia="Arial" w:hAnsi="Arial"/>
          <w:sz w:val="22"/>
          <w:szCs w:val="22"/>
        </w:rPr>
        <w:t xml:space="preserve">Implement four-eyes control for CA administration: Separate CA Manager (issues/revokes certs) from CA Auditor (reviews logs) roles. Neither should hold both roles simultaneously.</w:t>
      </w:r>
    </w:p>
    <w:p>
      <w:pPr>
        <w:pStyle w:val="ListParagraph"/>
        <w:numPr>
          <w:ilvl w:val="0"/>
          <w:numId w:val="2"/>
        </w:numPr>
        <w:spacing w:after="40" w:before="40"/>
      </w:pPr>
      <w:r>
        <w:rPr>
          <w:rFonts w:ascii="Arial" w:cs="Arial" w:eastAsia="Arial" w:hAnsi="Arial"/>
          <w:sz w:val="22"/>
          <w:szCs w:val="22"/>
        </w:rPr>
        <w:t xml:space="preserve">Periodically test revocation: Revoke a test certificate and verify that the next CRL publication and OCSP cache refresh correctly reflect the revocation. Simulate a OCSP responder failure and confirm clients gracefully handle OCSP unavailability per policy (soft fail vs. hard fail).</w:t>
      </w:r>
    </w:p>
    <w:p>
      <w:pPr>
        <w:pStyle w:val="ListParagraph"/>
        <w:numPr>
          <w:ilvl w:val="0"/>
          <w:numId w:val="2"/>
        </w:numPr>
        <w:spacing w:after="40" w:before="40"/>
      </w:pPr>
      <w:r>
        <w:rPr>
          <w:rFonts w:ascii="Arial" w:cs="Arial" w:eastAsia="Arial" w:hAnsi="Arial"/>
          <w:sz w:val="22"/>
          <w:szCs w:val="22"/>
        </w:rPr>
        <w:t xml:space="preserve">Reference NIST SP 800-157r1 for derived PIV credentials if expanding to mobile devices.</w:t>
      </w:r>
    </w:p>
    <w:p>
      <w:pPr>
        <w:spacing w:after="60" w:before="60"/>
      </w:pPr>
      <w:r>
        <w:rPr>
          <w:sz w:val="22"/>
          <w:szCs w:val="22"/>
        </w:rPr>
        <w:t xml:space="preserve"/>
      </w:r>
    </w:p>
    <w:p>
      <w:pPr>
        <w:pStyle w:val="Heading2"/>
      </w:pPr>
      <w:r>
        <w:rPr>
          <w:rFonts w:ascii="Arial" w:cs="Arial" w:eastAsia="Arial" w:hAnsi="Arial"/>
        </w:rPr>
        <w:t xml:space="preserve">6.6  Vendor Reference Guide</w:t>
      </w:r>
    </w:p>
    <w:p>
      <w:pPr>
        <w:spacing w:after="120" w:before="60"/>
        <w:jc w:val="both"/>
      </w:pPr>
      <w:r>
        <w:rPr>
          <w:rFonts w:ascii="Arial" w:cs="Arial" w:eastAsia="Arial" w:hAnsi="Arial"/>
          <w:b w:val="false"/>
          <w:bCs w:val="false"/>
          <w:i w:val="false"/>
          <w:iCs w:val="false"/>
          <w:color w:val="000000"/>
          <w:sz w:val="22"/>
          <w:szCs w:val="22"/>
        </w:rPr>
        <w:t xml:space="preserve">The following products are recommended based on 2025-2026 market availability and proven compatibility with Microsoft AD CS:</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Category</w:t>
            </w:r>
          </w:p>
        </w:tc>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Product</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Est. Price</w:t>
            </w:r>
          </w:p>
        </w:tc>
        <w:tc>
          <w:tcPr>
            <w:tcW w:type="dxa" w:w="28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PIV Cards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HID Crescendo C2300 / Entrust IdentityGuard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$15–25/card</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FIPS 201-3, NIST SP 800-73-4. PIV/PIV-I compliant.</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Card Readers — USB Contact</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HID Omnikey 3021 / Identiv SCR3310</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$25–45/unit</w:t>
            </w:r>
          </w:p>
        </w:tc>
        <w:tc>
          <w:tcPr>
            <w:tcW w:type="dxa" w:w="2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CCID-compliant. Plug-and-play on Windows 10/11 and Windows Server 2019+.</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Card Readers — Contactless</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HID Omnikey 5427 CK / Identiv SCR3500A</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$55–95/unit</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Dual interface contact + contactless (NFC/ISO 14443). Suitable for PIV + mobile credentials.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Middleware</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HID ActivClient 7.x / OpenSC (free)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$25–50/seat / $0</w:t>
            </w:r>
          </w:p>
        </w:tc>
        <w:tc>
          <w:tcPr>
            <w:tcW w:type="dxa" w:w="2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ActivClient widely deployed in US Gov. OpenSC suitable for open-source/Linux environments.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CMS — Entry</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Versasec vSEC:CMS 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$5K–12K base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Good fit for Tier 2-3 (100-250 users). Simple deployment, AD integration.</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CMS — Enterprise</w:t>
            </w:r>
          </w:p>
        </w:tc>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HID ActivID CMS / Entrust Identity</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$15K–30K+</w:t>
            </w:r>
          </w:p>
        </w:tc>
        <w:tc>
          <w:tcPr>
            <w:tcW w:type="dxa" w:w="28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lifecycle management, derived credential support, mobile integration. Tier 4 scale.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HSM</w:t>
            </w:r>
          </w:p>
        </w:tc>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Thales Luna Network HSM 7 / Entrust nShield Connect XC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$10K–25K</w:t>
            </w:r>
          </w:p>
        </w:tc>
        <w:tc>
          <w:tcPr>
            <w:tcW w:type="dxa" w:w="28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FIPS 140-2 Level 3. Network-attached. Windows CNG KSP integration for AD CS.</w:t>
            </w:r>
          </w:p>
        </w:tc>
      </w:tr>
    </w:tbl>
    <w:p>
      <w:pPr>
        <w:spacing w:after="60" w:before="60"/>
      </w:pPr>
      <w:r>
        <w:rPr>
          <w:sz w:val="22"/>
          <w:szCs w:val="22"/>
        </w:rPr>
        <w:t xml:space="preserve"/>
      </w:r>
    </w:p>
    <w:p>
      <w:pPr>
        <w:spacing w:after="120" w:before="60"/>
        <w:jc w:val="both"/>
      </w:pPr>
      <w:r>
        <w:rPr>
          <w:rFonts w:ascii="Arial" w:cs="Arial" w:eastAsia="Arial" w:hAnsi="Arial"/>
          <w:b w:val="false"/>
          <w:bCs w:val="false"/>
          <w:i/>
          <w:iCs/>
          <w:color w:val="000000"/>
          <w:sz w:val="22"/>
          <w:szCs w:val="22"/>
        </w:rPr>
        <w:t xml:space="preserve">Pricing estimates are based on 2025-2026 commercial market data. Actual pricing varies based on volume, government contract vehicles (GSA MAS Schedule, SEWP V, CIO-SP4), reseller agreements, and multi-year commitments. Request formal quotes from vendors for budgetary planning. Organizations with GSA or other contract vehicle access may achieve 15-30% cost reductions on hardware and software.</w:t>
      </w:r>
    </w:p>
    <w:p>
      <w:r>
        <w:br w:type="page"/>
      </w:r>
    </w:p>
    <w:p>
      <w:pPr>
        <w:pStyle w:val="Heading1"/>
      </w:pPr>
      <w:r>
        <w:rPr>
          <w:rFonts w:ascii="Arial" w:cs="Arial" w:eastAsia="Arial" w:hAnsi="Arial"/>
        </w:rPr>
        <w:t xml:space="preserve">7. Offline Root CA — Repurposed Hardware Guide</w:t>
      </w:r>
    </w:p>
    <w:p>
      <w:pPr>
        <w:spacing w:after="120" w:before="60"/>
        <w:jc w:val="both"/>
      </w:pPr>
      <w:r>
        <w:rPr>
          <w:rFonts w:ascii="Arial" w:cs="Arial" w:eastAsia="Arial" w:hAnsi="Arial"/>
          <w:b w:val="false"/>
          <w:bCs w:val="false"/>
          <w:i w:val="false"/>
          <w:iCs w:val="false"/>
          <w:color w:val="000000"/>
          <w:sz w:val="22"/>
          <w:szCs w:val="22"/>
        </w:rPr>
        <w:t xml:space="preserve">The offline Root CA has one of the most unusual hardware profiles in any IT environment: it must be highly secure, but it has almost zero compute workload. This makes it an ideal candidate for repurposed, decommissioned hardware that would otherwise be retired. This section explains how to evaluate old hardware for this role, how the offline model works in practice, and provides a step-by-step setup checklist.</w:t>
      </w:r>
    </w:p>
    <w:p>
      <w:pPr>
        <w:spacing w:after="60" w:before="60"/>
      </w:pPr>
      <w:r>
        <w:rPr>
          <w:sz w:val="22"/>
          <w:szCs w:val="22"/>
        </w:rPr>
        <w:t xml:space="preserve"/>
      </w:r>
    </w:p>
    <w:p>
      <w:pPr>
        <w:pStyle w:val="Heading2"/>
      </w:pPr>
      <w:r>
        <w:rPr>
          <w:rFonts w:ascii="Arial" w:cs="Arial" w:eastAsia="Arial" w:hAnsi="Arial"/>
        </w:rPr>
        <w:t xml:space="preserve">7.1  Using Old or Decommissioned Hardware</w:t>
      </w:r>
    </w:p>
    <w:p>
      <w:pPr>
        <w:spacing w:after="120" w:before="60"/>
        <w:jc w:val="both"/>
      </w:pPr>
      <w:r>
        <w:rPr>
          <w:rFonts w:ascii="Arial" w:cs="Arial" w:eastAsia="Arial" w:hAnsi="Arial"/>
          <w:b w:val="false"/>
          <w:bCs w:val="false"/>
          <w:i w:val="false"/>
          <w:iCs w:val="false"/>
          <w:color w:val="000000"/>
          <w:sz w:val="22"/>
          <w:szCs w:val="22"/>
        </w:rPr>
        <w:t xml:space="preserve">Any 64-bit machine from roughly the last 10-12 years is viable for a Root CA. The workload is nearly zero: the Root CA is powered on only a few times per decade, runs for hours at most, then powers off again. You do not need a server-class machine. A decommissioned workstation, an old laptop with the wireless card removed, or a retired server all work perfectly.</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The only hardware requirement that matters for security is TPM support for BitLocker full-disk encryption. The table below outlines what to check before repurposing a machine:</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5060"/>
      </w:tblGrid>
      <w:tr>
        <w:tc>
          <w:tcPr>
            <w:tcW w:type="dxa" w:w="23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Component</w:t>
            </w:r>
          </w:p>
        </w:tc>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Requirement</w:t>
            </w:r>
          </w:p>
        </w:tc>
        <w:tc>
          <w:tcPr>
            <w:tcW w:type="dxa" w:w="50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How to Verify</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TPM (Trusted Platform Module)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TPM 2.0 preferred; TPM 1.2 acceptable</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Device Manager &gt; Security Devices. Or: Run tpm.msc — shows TPM version and status. If absent, BitLocker still works with a USB key.</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CPU Architecture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64-bit (x64) required</w:t>
            </w:r>
          </w:p>
        </w:tc>
        <w:tc>
          <w:tcPr>
            <w:tcW w:type="dxa" w:w="5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Settings &gt; System &gt; About &gt; System type. Must show '64-bit operating system, x64-based processor'. All Intel/AMD chips from ~2005 onward qualify.</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RAM</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GB minimum</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Settings &gt; System &gt; About &gt; Installed RAM. Windows Server 2022 Core idles at ~1.5 GB; AD CS adds &lt;500 MB. 4 GB provides comfortable headroom.</w:t>
            </w:r>
          </w:p>
        </w:tc>
      </w:tr>
      <w:tr>
        <w:tc>
          <w:tcPr>
            <w:tcW w:type="dxa" w:w="23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Disk Space</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 GB free disk</w:t>
            </w:r>
          </w:p>
        </w:tc>
        <w:tc>
          <w:tcPr>
            <w:tcW w:type="dxa" w:w="50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This PC &gt; right-click drive &gt; Properties. The CA database and logs will remain small (under 1 GB) for the life of the Root CA; the requirement is driven by the OS install footprint.</w:t>
            </w:r>
          </w:p>
        </w:tc>
      </w:tr>
      <w:tr>
        <w:tc>
          <w:tcPr>
            <w:tcW w:type="dxa" w:w="23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Network Interface Card (NIC)</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Must be disabled or removed</w:t>
            </w:r>
          </w:p>
        </w:tc>
        <w:tc>
          <w:tcPr>
            <w:tcW w:type="dxa" w:w="5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After OS install: Device Manager &gt; Network Adapters &gt; right-click &gt; Disable. Better still: remove the NIC physically or disable in BIOS/UEFI. The Root CA must never touch the network post-setup.</w:t>
            </w:r>
          </w:p>
        </w:tc>
      </w:tr>
    </w:tbl>
    <w:p>
      <w:pPr>
        <w:spacing w:after="60" w:before="60"/>
      </w:pPr>
      <w:r>
        <w:rPr>
          <w:sz w:val="22"/>
          <w:szCs w:val="22"/>
        </w:rPr>
        <w:t xml:space="preserve"/>
      </w:r>
    </w:p>
    <w:p>
      <w:pPr>
        <w:spacing w:after="120" w:before="60"/>
        <w:jc w:val="both"/>
      </w:pPr>
      <w:r>
        <w:rPr>
          <w:rFonts w:ascii="Arial" w:cs="Arial" w:eastAsia="Arial" w:hAnsi="Arial"/>
          <w:b w:val="false"/>
          <w:bCs w:val="false"/>
          <w:i/>
          <w:iCs/>
          <w:color w:val="000000"/>
          <w:sz w:val="22"/>
          <w:szCs w:val="22"/>
        </w:rPr>
        <w:t xml:space="preserve">Cost impact: Using repurposed hardware reduces the Root CA hardware line item in your budget to $0 (plus a USB drive for media transfer). Even if dedicated hardware is preferred, a $200-400 refurbished desktop provides more than sufficient capacity.</w:t>
      </w:r>
    </w:p>
    <w:p>
      <w:pPr>
        <w:spacing w:after="60" w:before="60"/>
      </w:pPr>
      <w:r>
        <w:rPr>
          <w:sz w:val="22"/>
          <w:szCs w:val="22"/>
        </w:rPr>
        <w:t xml:space="preserve"/>
      </w:r>
    </w:p>
    <w:p>
      <w:pPr>
        <w:pStyle w:val="Heading2"/>
      </w:pPr>
      <w:r>
        <w:rPr>
          <w:rFonts w:ascii="Arial" w:cs="Arial" w:eastAsia="Arial" w:hAnsi="Arial"/>
        </w:rPr>
        <w:t xml:space="preserve">7.2  Online vs. Offline — Always Keep It Powered Off</w:t>
      </w:r>
    </w:p>
    <w:p>
      <w:pPr>
        <w:spacing w:after="120" w:before="60"/>
        <w:jc w:val="both"/>
      </w:pPr>
      <w:r>
        <w:rPr>
          <w:rFonts w:ascii="Arial" w:cs="Arial" w:eastAsia="Arial" w:hAnsi="Arial"/>
          <w:b w:val="false"/>
          <w:bCs w:val="false"/>
          <w:i w:val="false"/>
          <w:iCs w:val="false"/>
          <w:color w:val="000000"/>
          <w:sz w:val="22"/>
          <w:szCs w:val="22"/>
        </w:rPr>
        <w:t xml:space="preserve">The Root CA operates on a fundamentally different security model from every other server in your infrastructure. Rather than running continuously like the Issuing CA or Domain Controller, the Root CA is powered on only during scheduled signing ceremonies. Between ceremonies, it is powered off and physically secured.</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Why this matters: The Root CA holds the private key that underpins trust for your entire PKI. If that key is compromised, an attacker can issue fraudulent certificates trusted by every system in your organization. Keeping the machine powered off and physically isolated (air-gapped) means the only way to attack it is physical access — network-based attacks are impossible when there is no network.</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The Issuing CA handles all day-to-day certificate operations — enrollment, renewal, and OCSP responses. End users and systems never interact directly with the Root CA. The Root CA's only job is to sign the Issuing CA certificate and publish infrequent Root CRLs.</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Signing ceremony schedule:</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60"/>
        <w:gridCol w:w="5100"/>
      </w:tblGrid>
      <w:tr>
        <w:tc>
          <w:tcPr>
            <w:tcW w:type="dxa" w:w="25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Event</w:t>
            </w:r>
          </w:p>
        </w:tc>
        <w:tc>
          <w:tcPr>
            <w:tcW w:type="dxa" w:w="176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Frequency</w:t>
            </w:r>
          </w:p>
        </w:tc>
        <w:tc>
          <w:tcPr>
            <w:tcW w:type="dxa" w:w="51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Happens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Initial Setup</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Once</w:t>
            </w:r>
          </w:p>
        </w:tc>
        <w:tc>
          <w:tcPr>
            <w:tcW w:type="dxa" w:w="5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on. Install Windows Server 2022 Core. Install AD CS as Standalone Root CA. Generate Root CA key pair. Sign Issuing CA certificate. Publish Root CRL and Root CA certificate to USB drive. Power off and store.</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Renew Root CRL</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Every 6-12 months</w:t>
            </w:r>
          </w:p>
        </w:tc>
        <w:tc>
          <w:tcPr>
            <w:tcW w:type="dxa" w:w="5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on. Open Certification Authority MMC. Right-click Revoked Certificates &gt; All Tasks &gt; Publish (New CRL). Copy updated CRL file to USB drive. Transfer USB to CDP (CRL Distribution Point) server and update the CRL file. Power off.</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Renew Issuing CA Certificate</w:t>
            </w:r>
          </w:p>
        </w:tc>
        <w:tc>
          <w:tcPr>
            <w:tcW w:type="dxa" w:w="1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Every 5-10 years</w:t>
            </w:r>
          </w:p>
        </w:tc>
        <w:tc>
          <w:tcPr>
            <w:tcW w:type="dxa" w:w="5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Power on. Open CA MMC. Right-click CA name &gt; All Tasks &gt; Renew CA Certificate. Optionally generate new key pair. Sign renewed Issuing CA certificate. Export and distribute to AD and CDP. Power off.</w:t>
            </w:r>
          </w:p>
        </w:tc>
      </w:tr>
      <w:tr>
        <w:tc>
          <w:tcPr>
            <w:tcW w:type="dxa" w:w="25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Root CA Certificate Renewal</w:t>
            </w:r>
          </w:p>
        </w:tc>
        <w:tc>
          <w:tcPr>
            <w:tcW w:type="dxa" w:w="1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Every 10-20 years</w:t>
            </w:r>
          </w:p>
        </w:tc>
        <w:tc>
          <w:tcPr>
            <w:tcW w:type="dxa" w:w="51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Full key ceremony with custodians present. Generate new Root CA key pair and self-signed certificate. Re-sign all subordinate Issuing CA certificates. Distribute new Root CA certificate to all trust stores via AD Group Policy. Document chain of custody. Power off.</w:t>
            </w:r>
          </w:p>
        </w:tc>
      </w:tr>
    </w:tbl>
    <w:p>
      <w:pPr>
        <w:spacing w:after="60" w:before="60"/>
      </w:pPr>
      <w:r>
        <w:rPr>
          <w:sz w:val="22"/>
          <w:szCs w:val="22"/>
        </w:rPr>
        <w:t xml:space="preserve"/>
      </w:r>
    </w:p>
    <w:p>
      <w:pPr>
        <w:spacing w:after="120" w:before="60"/>
        <w:jc w:val="both"/>
      </w:pPr>
      <w:r>
        <w:rPr>
          <w:rFonts w:ascii="Arial" w:cs="Arial" w:eastAsia="Arial" w:hAnsi="Arial"/>
          <w:b w:val="false"/>
          <w:bCs w:val="false"/>
          <w:i/>
          <w:iCs/>
          <w:color w:val="000000"/>
          <w:sz w:val="22"/>
          <w:szCs w:val="22"/>
        </w:rPr>
        <w:t xml:space="preserve">CRL validity window: Configure the Root CRL with a 1-year validity period and publish a new CRL every 6 months. This gives a 6-month overlap window, ensuring that a missed ceremony does not cause CRL expiration failures. Delta CRLs are not typically used for the Root CA because the Root CA rarely revokes certificates.</w:t>
      </w:r>
    </w:p>
    <w:p>
      <w:pPr>
        <w:spacing w:after="60" w:before="60"/>
      </w:pPr>
      <w:r>
        <w:rPr>
          <w:sz w:val="22"/>
          <w:szCs w:val="22"/>
        </w:rPr>
        <w:t xml:space="preserve"/>
      </w:r>
    </w:p>
    <w:p>
      <w:pPr>
        <w:pStyle w:val="Heading2"/>
      </w:pPr>
      <w:r>
        <w:rPr>
          <w:rFonts w:ascii="Arial" w:cs="Arial" w:eastAsia="Arial" w:hAnsi="Arial"/>
        </w:rPr>
        <w:t xml:space="preserve">7.3  Should the Root CA Share a Host with the Domain Controller?</w:t>
      </w:r>
    </w:p>
    <w:p>
      <w:pPr>
        <w:spacing w:after="120" w:before="60"/>
        <w:jc w:val="both"/>
      </w:pPr>
      <w:r>
        <w:rPr>
          <w:rFonts w:ascii="Arial" w:cs="Arial" w:eastAsia="Arial" w:hAnsi="Arial"/>
          <w:b w:val="false"/>
          <w:bCs w:val="false"/>
          <w:i w:val="false"/>
          <w:iCs w:val="false"/>
          <w:color w:val="000000"/>
          <w:sz w:val="22"/>
          <w:szCs w:val="22"/>
        </w:rPr>
        <w:t xml:space="preserve">No. The Root CA must never share a hypervisor host with a Domain Controller or any other production server. This is a hard security requirement, not a preference.</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The reasons are straightforward:</w:t>
      </w:r>
    </w:p>
    <w:p>
      <w:pPr>
        <w:pStyle w:val="ListParagraph"/>
        <w:numPr>
          <w:ilvl w:val="0"/>
          <w:numId w:val="2"/>
        </w:numPr>
        <w:spacing w:after="40" w:before="40"/>
      </w:pPr>
      <w:r>
        <w:rPr>
          <w:rFonts w:ascii="Arial" w:cs="Arial" w:eastAsia="Arial" w:hAnsi="Arial"/>
          <w:sz w:val="22"/>
          <w:szCs w:val="22"/>
        </w:rPr>
        <w:t xml:space="preserve">Hypervisor administrators can access VM memory and virtual disk at any time. A hypervisor admin on a shared host has the ability to snapshot the Root CA VM, extract the virtual disk image, and mount it offline to access the CA private key — regardless of OS-level access controls.</w:t>
      </w:r>
    </w:p>
    <w:p>
      <w:pPr>
        <w:pStyle w:val="ListParagraph"/>
        <w:numPr>
          <w:ilvl w:val="0"/>
          <w:numId w:val="2"/>
        </w:numPr>
        <w:spacing w:after="40" w:before="40"/>
      </w:pPr>
      <w:r>
        <w:rPr>
          <w:rFonts w:ascii="Arial" w:cs="Arial" w:eastAsia="Arial" w:hAnsi="Arial"/>
          <w:sz w:val="22"/>
          <w:szCs w:val="22"/>
        </w:rPr>
        <w:t xml:space="preserve">A Domain Controller compromise gives an attacker broad administrative access to the Active Directory domain. If the Root CA VM lives on the same host as a DC, a DC compromise can cascade into Root CA compromise.</w:t>
      </w:r>
    </w:p>
    <w:p>
      <w:pPr>
        <w:pStyle w:val="ListParagraph"/>
        <w:numPr>
          <w:ilvl w:val="0"/>
          <w:numId w:val="2"/>
        </w:numPr>
        <w:spacing w:after="40" w:before="40"/>
      </w:pPr>
      <w:r>
        <w:rPr>
          <w:rFonts w:ascii="Arial" w:cs="Arial" w:eastAsia="Arial" w:hAnsi="Arial"/>
          <w:sz w:val="22"/>
          <w:szCs w:val="22"/>
        </w:rPr>
        <w:t xml:space="preserve">The Root CA must not be domain-joined. An Enterprise CA (domain-integrated) cannot serve as a standalone Root CA. Placing a standalone Root CA VM on a host that also runs domain-joined VMs creates implicit trust exposure.</w:t>
      </w:r>
    </w:p>
    <w:p>
      <w:pPr>
        <w:pStyle w:val="ListParagraph"/>
        <w:numPr>
          <w:ilvl w:val="0"/>
          <w:numId w:val="2"/>
        </w:numPr>
        <w:spacing w:after="40" w:before="40"/>
      </w:pPr>
      <w:r>
        <w:rPr>
          <w:rFonts w:ascii="Arial" w:cs="Arial" w:eastAsia="Arial" w:hAnsi="Arial"/>
          <w:sz w:val="22"/>
          <w:szCs w:val="22"/>
        </w:rPr>
        <w:t xml:space="preserve">Hypervisor management interfaces (vCenter, Hyper-V Manager, Proxmox) are frequently targeted by attackers. Separating the Root CA from shared infrastructure eliminates this attack vector entirely.</w:t>
      </w:r>
    </w:p>
    <w:p>
      <w:pPr>
        <w:spacing w:after="60" w:before="60"/>
      </w:pPr>
      <w:r>
        <w:rPr>
          <w:sz w:val="22"/>
          <w:szCs w:val="22"/>
        </w:rPr>
        <w:t xml:space="preserve"/>
      </w:r>
    </w:p>
    <w:p>
      <w:pPr>
        <w:spacing w:after="120" w:before="60"/>
        <w:jc w:val="both"/>
      </w:pPr>
      <w:r>
        <w:rPr>
          <w:rFonts w:ascii="Arial" w:cs="Arial" w:eastAsia="Arial" w:hAnsi="Arial"/>
          <w:b w:val="false"/>
          <w:bCs w:val="false"/>
          <w:i w:val="false"/>
          <w:iCs w:val="false"/>
          <w:color w:val="000000"/>
          <w:sz w:val="22"/>
          <w:szCs w:val="22"/>
        </w:rPr>
        <w:t xml:space="preserve">Recommendation: Deploy the Root CA on a dedicated physical machine -- even if that machine is old repurposed hardware. A dedicated $300 refurbished desktop provides a far stronger security boundary than any VM on shared infrastructure. If a VM must be used (e.g., due to physical space constraints), the hypervisor host must be dedicated exclusively to the Root CA with no other VMs, no remote management interfaces enabled, and no network connectivity.</w:t>
      </w:r>
    </w:p>
    <w:p>
      <w:pPr>
        <w:spacing w:after="60" w:before="60"/>
      </w:pPr>
      <w:r>
        <w:rPr>
          <w:sz w:val="22"/>
          <w:szCs w:val="22"/>
        </w:rPr>
        <w:t xml:space="preserve"/>
      </w:r>
    </w:p>
    <w:p>
      <w:pPr>
        <w:pStyle w:val="Heading2"/>
      </w:pPr>
      <w:r>
        <w:rPr>
          <w:rFonts w:ascii="Arial" w:cs="Arial" w:eastAsia="Arial" w:hAnsi="Arial"/>
        </w:rPr>
        <w:t xml:space="preserve">7.4  Setup Checklist</w:t>
      </w:r>
    </w:p>
    <w:p>
      <w:pPr>
        <w:spacing w:after="120" w:before="60"/>
        <w:jc w:val="both"/>
      </w:pPr>
      <w:r>
        <w:rPr>
          <w:rFonts w:ascii="Arial" w:cs="Arial" w:eastAsia="Arial" w:hAnsi="Arial"/>
          <w:b w:val="false"/>
          <w:bCs w:val="false"/>
          <w:i w:val="false"/>
          <w:iCs w:val="false"/>
          <w:color w:val="000000"/>
          <w:sz w:val="22"/>
          <w:szCs w:val="22"/>
        </w:rPr>
        <w:t xml:space="preserve">Follow these steps in order when setting up the offline Root CA machine. Complete all steps in a single session if possible; do not leave the machine in a partially-configured state between sessions.</w:t>
      </w:r>
    </w:p>
    <w:p>
      <w:pPr>
        <w:spacing w:after="60" w:before="60"/>
      </w:pPr>
      <w:r>
        <w:rPr>
          <w:sz w:val="22"/>
          <w:szCs w:val="22"/>
        </w:rPr>
        <w:t xml:space="preserve"/>
      </w:r>
    </w:p>
    <w:p>
      <w:pPr>
        <w:pStyle w:val="ListParagraph"/>
        <w:numPr>
          <w:ilvl w:val="0"/>
          <w:numId w:val="3"/>
        </w:numPr>
        <w:spacing w:after="40" w:before="40"/>
      </w:pPr>
      <w:r>
        <w:rPr>
          <w:rFonts w:ascii="Arial" w:cs="Arial" w:eastAsia="Arial" w:hAnsi="Arial"/>
          <w:sz w:val="22"/>
          <w:szCs w:val="22"/>
        </w:rPr>
        <w:t xml:space="preserve">Wipe the machine and perform a clean installation of Windows Server 2022 Core (no Desktop Experience). Server Core reduces the idle RAM footprint to approximately 1.5 GB, minimizes the patch surface, and eliminates unnecessary services. During install, do NOT connect the machine to any network.</w:t>
      </w:r>
    </w:p>
    <w:p>
      <w:pPr>
        <w:pStyle w:val="ListParagraph"/>
        <w:numPr>
          <w:ilvl w:val="0"/>
          <w:numId w:val="3"/>
        </w:numPr>
        <w:spacing w:after="40" w:before="40"/>
      </w:pPr>
      <w:r>
        <w:rPr>
          <w:rFonts w:ascii="Arial" w:cs="Arial" w:eastAsia="Arial" w:hAnsi="Arial"/>
          <w:sz w:val="22"/>
          <w:szCs w:val="22"/>
        </w:rPr>
        <w:t xml:space="preserve">Enable TPM in BIOS/UEFI if not already active. Verify in tpm.msc that the TPM shows as ready and available. If no TPM is present, BitLocker can still be enabled using a USB startup key instead.</w:t>
      </w:r>
    </w:p>
    <w:p>
      <w:pPr>
        <w:pStyle w:val="ListParagraph"/>
        <w:numPr>
          <w:ilvl w:val="0"/>
          <w:numId w:val="3"/>
        </w:numPr>
        <w:spacing w:after="40" w:before="40"/>
      </w:pPr>
      <w:r>
        <w:rPr>
          <w:rFonts w:ascii="Arial" w:cs="Arial" w:eastAsia="Arial" w:hAnsi="Arial"/>
          <w:sz w:val="22"/>
          <w:szCs w:val="22"/>
        </w:rPr>
        <w:t xml:space="preserve">Enable BitLocker full-disk encryption on the OS volume with a strong PIN (minimum 8 characters, alphanumeric). BitLocker ensures the disk is unreadable if the physical machine is stolen or the drive is removed.</w:t>
      </w:r>
    </w:p>
    <w:p>
      <w:pPr>
        <w:pStyle w:val="ListParagraph"/>
        <w:numPr>
          <w:ilvl w:val="0"/>
          <w:numId w:val="3"/>
        </w:numPr>
        <w:spacing w:after="40" w:before="40"/>
      </w:pPr>
      <w:r>
        <w:rPr>
          <w:rFonts w:ascii="Arial" w:cs="Arial" w:eastAsia="Arial" w:hAnsi="Arial"/>
          <w:sz w:val="22"/>
          <w:szCs w:val="22"/>
        </w:rPr>
        <w:t xml:space="preserve">Store the BitLocker recovery key offline only: print it and lock the printout in a physical safe. Also write it on paper and store a second copy off-site (e.g., a safety deposit box or escrow service). Do NOT save the recovery key to any network location, cloud storage, or USB drive that leaves the building. If BitLocker locks out and the recovery key is lost, the Root CA data is permanently inaccessible.</w:t>
      </w:r>
    </w:p>
    <w:p>
      <w:pPr>
        <w:pStyle w:val="ListParagraph"/>
        <w:numPr>
          <w:ilvl w:val="0"/>
          <w:numId w:val="3"/>
        </w:numPr>
        <w:spacing w:after="40" w:before="40"/>
      </w:pPr>
      <w:r>
        <w:rPr>
          <w:rFonts w:ascii="Arial" w:cs="Arial" w:eastAsia="Arial" w:hAnsi="Arial"/>
          <w:sz w:val="22"/>
          <w:szCs w:val="22"/>
        </w:rPr>
        <w:t xml:space="preserve">Disable or physically remove the NIC. In BIOS/UEFI: locate the onboard LAN setting and set it to Disabled. Disconnect any Ethernet cables. If a discrete NIC is installed, remove it from the PCIe slot. Remove any Wi-Fi cards or disable Wi-Fi in BIOS. Verify in Device Manager (via sconfig or PowerShell) that no active network adapters are present.</w:t>
      </w:r>
    </w:p>
    <w:p>
      <w:pPr>
        <w:pStyle w:val="ListParagraph"/>
        <w:numPr>
          <w:ilvl w:val="0"/>
          <w:numId w:val="3"/>
        </w:numPr>
        <w:spacing w:after="40" w:before="40"/>
      </w:pPr>
      <w:r>
        <w:rPr>
          <w:rFonts w:ascii="Arial" w:cs="Arial" w:eastAsia="Arial" w:hAnsi="Arial"/>
          <w:sz w:val="22"/>
          <w:szCs w:val="22"/>
        </w:rPr>
        <w:t xml:space="preserve">Install the AD CS role using PowerShell: Install-WindowsFeature ADCS-Cert-Authority. Configure it as a Standalone Root CA (not Enterprise CA, not domain-joined). Standalone mode does not require or use Active Directory and is the correct mode for an offline Root CA.</w:t>
      </w:r>
    </w:p>
    <w:p>
      <w:pPr>
        <w:pStyle w:val="ListParagraph"/>
        <w:numPr>
          <w:ilvl w:val="0"/>
          <w:numId w:val="3"/>
        </w:numPr>
        <w:spacing w:after="40" w:before="40"/>
      </w:pPr>
      <w:r>
        <w:rPr>
          <w:rFonts w:ascii="Arial" w:cs="Arial" w:eastAsia="Arial" w:hAnsi="Arial"/>
          <w:sz w:val="22"/>
          <w:szCs w:val="22"/>
        </w:rPr>
        <w:t xml:space="preserve">Configure Root CA validity and CRL schedule. Recommended settings: Root CA certificate validity = 20 years (set in the CAPolicy.inf file before installation). Root CRL validity = 1 year. Root CRL overlap period = 6 months (so a new CRL must be published every 6 months to maintain continuous validity).</w:t>
      </w:r>
    </w:p>
    <w:p>
      <w:pPr>
        <w:pStyle w:val="ListParagraph"/>
        <w:numPr>
          <w:ilvl w:val="0"/>
          <w:numId w:val="3"/>
        </w:numPr>
        <w:spacing w:after="40" w:before="40"/>
      </w:pPr>
      <w:r>
        <w:rPr>
          <w:rFonts w:ascii="Arial" w:cs="Arial" w:eastAsia="Arial" w:hAnsi="Arial"/>
          <w:sz w:val="22"/>
          <w:szCs w:val="22"/>
        </w:rPr>
        <w:t xml:space="preserve">Sign the Issuing CA certificate. Copy the Issuing CA certificate request file (.req) to the Root CA machine via USB drive. In the CA MMC, submit and approve the Issuing CA certificate request. Export the signed Issuing CA certificate (.cer) back to the USB drive.</w:t>
      </w:r>
    </w:p>
    <w:p>
      <w:pPr>
        <w:pStyle w:val="ListParagraph"/>
        <w:numPr>
          <w:ilvl w:val="0"/>
          <w:numId w:val="3"/>
        </w:numPr>
        <w:spacing w:after="40" w:before="40"/>
      </w:pPr>
      <w:r>
        <w:rPr>
          <w:rFonts w:ascii="Arial" w:cs="Arial" w:eastAsia="Arial" w:hAnsi="Arial"/>
          <w:sz w:val="22"/>
          <w:szCs w:val="22"/>
        </w:rPr>
        <w:t xml:space="preserve">Export the Root CA certificate and Root CRL to the USB drive. These files must be published to Active Directory and the CRL Distribution Point server so that all domain-joined machines and clients can build and validate the certificate chain.</w:t>
      </w:r>
    </w:p>
    <w:p>
      <w:pPr>
        <w:pStyle w:val="ListParagraph"/>
        <w:numPr>
          <w:ilvl w:val="0"/>
          <w:numId w:val="3"/>
        </w:numPr>
        <w:spacing w:after="40" w:before="40"/>
      </w:pPr>
      <w:r>
        <w:rPr>
          <w:rFonts w:ascii="Arial" w:cs="Arial" w:eastAsia="Arial" w:hAnsi="Arial"/>
          <w:sz w:val="22"/>
          <w:szCs w:val="22"/>
        </w:rPr>
        <w:t xml:space="preserve">Transfer USB contents to production infrastructure. On a network-connected machine: publish the Root CA certificate to the NTAuth store in Active Directory (using certutil -dspublish). Publish the Root CRL to the CDP server. Verify chain validation from a workstation using certutil -verify on the Issuing CA certificate.</w:t>
      </w:r>
    </w:p>
    <w:p>
      <w:pPr>
        <w:pStyle w:val="ListParagraph"/>
        <w:numPr>
          <w:ilvl w:val="0"/>
          <w:numId w:val="3"/>
        </w:numPr>
        <w:spacing w:after="40" w:before="40"/>
      </w:pPr>
      <w:r>
        <w:rPr>
          <w:rFonts w:ascii="Arial" w:cs="Arial" w:eastAsia="Arial" w:hAnsi="Arial"/>
          <w:sz w:val="22"/>
          <w:szCs w:val="22"/>
        </w:rPr>
        <w:t xml:space="preserve">Shut down the Root CA machine. Lock it in a physically secured location (server cabinet with a key lock, a safe, or a locked storage room). Attach a physical label clearly reading: OFFLINE ROOT CA -- DO NOT CONNECT TO NETWORK. Document the machine location, BitLocker PIN custodians, and recovery key storage location in your DR plan.</w:t>
      </w:r>
    </w:p>
    <w:p>
      <w:pPr>
        <w:spacing w:after="60" w:before="60"/>
      </w:pPr>
      <w:r>
        <w:rPr>
          <w:sz w:val="22"/>
          <w:szCs w:val="22"/>
        </w:rPr>
        <w:t xml:space="preserve"/>
      </w:r>
    </w:p>
    <w:p>
      <w:pPr>
        <w:pStyle w:val="Heading2"/>
      </w:pPr>
      <w:r>
        <w:rPr>
          <w:rFonts w:ascii="Arial" w:cs="Arial" w:eastAsia="Arial" w:hAnsi="Arial"/>
        </w:rPr>
        <w:t xml:space="preserve">7.5  Minimum Hardware Specs for the Physical Root CA Machine</w:t>
      </w:r>
    </w:p>
    <w:p>
      <w:pPr>
        <w:spacing w:after="120" w:before="60"/>
        <w:jc w:val="both"/>
      </w:pPr>
      <w:r>
        <w:rPr>
          <w:rFonts w:ascii="Arial" w:cs="Arial" w:eastAsia="Arial" w:hAnsi="Arial"/>
          <w:b w:val="false"/>
          <w:bCs w:val="false"/>
          <w:i w:val="false"/>
          <w:iCs w:val="false"/>
          <w:color w:val="000000"/>
          <w:sz w:val="22"/>
          <w:szCs w:val="22"/>
        </w:rPr>
        <w:t xml:space="preserve">The following table defines minimum and recommended hardware specifications for the physical machine used as the offline Root CA host. These specs apply to the actual computer, not a VM.</w:t>
      </w:r>
    </w:p>
    <w:p>
      <w:pPr>
        <w:spacing w:after="60" w:before="6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Spec</w:t>
            </w:r>
          </w:p>
        </w:tc>
        <w:tc>
          <w:tcPr>
            <w:tcW w:type="dxa" w:w="34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Minimum</w:t>
            </w:r>
          </w:p>
        </w:tc>
        <w:tc>
          <w:tcPr>
            <w:tcW w:type="dxa" w:w="3880"/>
            <w:tcBorders>
              <w:top w:val="single" w:color="2E75B6" w:sz="4"/>
              <w:left w:val="single" w:color="2E75B6" w:sz="4"/>
              <w:bottom w:val="single" w:color="2E75B6" w:sz="4"/>
              <w:right w:val="single" w:color="2E75B6" w:sz="4"/>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Recommended</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CPU</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Any x64, 1.4 GHz+ (single-core acceptable)</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Dual-core, 2+ GHz — faster startup during ceremonies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RAM</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4 GB</w:t>
            </w:r>
          </w:p>
        </w:tc>
        <w:tc>
          <w:tcPr>
            <w:tcW w:type="dxa" w:w="3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8 GB — reduces risk of memory pressure on older hardware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Storage</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60 GB HDD</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120 GB SSD — faster boot and OS operations during ceremonies</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TPM</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TPM 1.2 (acceptable for BitLocker PIN unlock)</w:t>
            </w:r>
          </w:p>
        </w:tc>
        <w:tc>
          <w:tcPr>
            <w:tcW w:type="dxa" w:w="3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TPM 2.0 (required for Windows 11; preferred for WS2022 security baseline)</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bCs/>
                <w:color w:val="000000"/>
                <w:sz w:val="18"/>
                <w:szCs w:val="18"/>
              </w:rPr>
              <w:t xml:space="preserve">Network</w:t>
            </w:r>
          </w:p>
        </w:tc>
        <w:tc>
          <w:tcPr>
            <w:tcW w:type="dxa" w:w="3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Disabled in BIOS/Device Manager</w:t>
            </w:r>
          </w:p>
        </w:tc>
        <w:tc>
          <w:tcPr>
            <w:tcW w:type="dxa" w:w="38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Physically removed — no NIC present in the machine at all</w:t>
            </w:r>
          </w:p>
        </w:tc>
      </w:tr>
      <w:tr>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bCs/>
                <w:color w:val="000000"/>
                <w:sz w:val="18"/>
                <w:szCs w:val="18"/>
              </w:rPr>
              <w:t xml:space="preserve">Operating System</w:t>
            </w:r>
          </w:p>
        </w:tc>
        <w:tc>
          <w:tcPr>
            <w:tcW w:type="dxa" w:w="34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Windows Server 2022 Core (Server Core, no Desktop Experience)</w:t>
            </w:r>
          </w:p>
        </w:tc>
        <w:tc>
          <w:tcPr>
            <w:tcW w:type="dxa" w:w="388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Windows Server 2022 Core — same edition; no benefit to Desktop Experience for this workload</w:t>
            </w:r>
          </w:p>
        </w:tc>
      </w:tr>
    </w:tbl>
    <w:p>
      <w:pPr>
        <w:spacing w:after="60" w:before="60"/>
      </w:pPr>
      <w:r>
        <w:rPr>
          <w:sz w:val="22"/>
          <w:szCs w:val="22"/>
        </w:rPr>
        <w:t xml:space="preserve"/>
      </w:r>
    </w:p>
    <w:p>
      <w:pPr>
        <w:spacing w:after="120" w:before="60"/>
        <w:jc w:val="both"/>
      </w:pPr>
      <w:r>
        <w:rPr>
          <w:rFonts w:ascii="Arial" w:cs="Arial" w:eastAsia="Arial" w:hAnsi="Arial"/>
          <w:b w:val="false"/>
          <w:bCs w:val="false"/>
          <w:i/>
          <w:iCs/>
          <w:color w:val="000000"/>
          <w:sz w:val="22"/>
          <w:szCs w:val="22"/>
        </w:rPr>
        <w:t xml:space="preserve">Bottom line: Almost any machine purchased in the last 10-12 years will meet the minimum spec. The only purchase typically required is a USB drive for media transfer during ceremonies and a BitLocker recovery key storage solution (a fireproof safe, approximately $50-150). Hardware cost for the Root CA is effectively $0 when repurposed equipment is used.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pPr>
    <w:r>
      <w:rPr>
        <w:rFonts w:ascii="Arial" w:cs="Arial" w:eastAsia="Arial" w:hAnsi="Arial"/>
        <w:color w:val="595959"/>
        <w:sz w:val="16"/>
        <w:szCs w:val="16"/>
      </w:rPr>
      <w:t xml:space="preserve">2025-2026 market pricing  |  Consult vendors for current quotes</w:t>
    </w:r>
    <w:r>
      <w:rPr>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pPr>
    <w:r>
      <w:rPr>
        <w:rFonts w:ascii="Arial" w:cs="Arial" w:eastAsia="Arial" w:hAnsi="Arial"/>
        <w:color w:val="2E75B6"/>
        <w:sz w:val="16"/>
        <w:szCs w:val="16"/>
      </w:rPr>
      <w:t xml:space="preserve">CAC/PIV Identity Management  |  Infrastructure Scaling Guide  |  50-500 Users</w:t>
    </w:r>
    <w:r>
      <w:rPr>
        <w:sz w:val="16"/>
        <w:szCs w:val="16"/>
      </w:rPr>
      <w:t xml:space="preserve">	</w:t>
    </w:r>
    <w:r>
      <w:rPr>
        <w:rFonts w:ascii="Arial" w:cs="Arial" w:eastAsia="Arial" w:hAnsi="Arial"/>
        <w:i/>
        <w:iCs/>
        <w:color w:val="595959"/>
        <w:sz w:val="16"/>
        <w:szCs w:val="16"/>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F4E79"/>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 Id="rId14" Type="http://schemas.openxmlformats.org/officeDocument/2006/relationships/header" Target="header4.xml"/><Relationship Id="rId15" Type="http://schemas.openxmlformats.org/officeDocument/2006/relationships/footer" Target="footer4.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2026-05-20T10:10:26.388Z</dcterms:created>
  <dcterms:modified xsi:type="dcterms:W3CDTF">2026-05-20T10:10:26.388Z</dcterms:modified>
</cp:coreProperties>
</file>

<file path=docProps/custom.xml><?xml version="1.0" encoding="utf-8"?>
<Properties xmlns="http://schemas.openxmlformats.org/officeDocument/2006/custom-properties" xmlns:vt="http://schemas.openxmlformats.org/officeDocument/2006/docPropsVTypes"/>
</file>