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b/>
          <w:bCs/>
          <w:color w:val="1F3A68"/>
          <w:sz w:val="48"/>
          <w:szCs w:val="48"/>
        </w:rPr>
        <w:t xml:space="preserve">FEDERAL UPGRADE PATH</w:t>
      </w:r>
    </w:p>
    <w:p>
      <w:pPr>
        <w:spacing w:after="200"/>
        <w:jc w:val="center"/>
      </w:pPr>
      <w:r>
        <w:rPr>
          <w:i/>
          <w:iCs/>
          <w:color w:val="2E75B6"/>
          <w:sz w:val="30"/>
          <w:szCs w:val="30"/>
        </w:rPr>
        <w:t xml:space="preserve">Internal Learning-Sandbox &amp; Upgrade Reference</w:t>
      </w:r>
    </w:p>
    <w:p>
      <w:pPr>
        <w:spacing w:after="1000"/>
        <w:jc w:val="center"/>
      </w:pPr>
      <w:r>
        <w:rPr>
          <w:sz w:val="22"/>
          <w:szCs w:val="22"/>
        </w:rPr>
        <w:t xml:space="preserve">How the commercial CAC program could evolve toward federal standards</w:t>
      </w:r>
    </w:p>
    <w:p>
      <w:pPr>
        <w:spacing w:after="120"/>
        <w:jc w:val="center"/>
      </w:pPr>
      <w:r>
        <w:rPr>
          <w:b/>
          <w:bCs/>
          <w:color w:val="C62828"/>
          <w:sz w:val="24"/>
          <w:szCs w:val="24"/>
        </w:rPr>
      </w:r>
    </w:p>
    <w:p>
      <w:pPr>
        <w:spacing w:after="3200"/>
        <w:jc w:val="center"/>
      </w:pPr>
      <w:r>
        <w:rPr>
          <w:i/>
          <w:iCs/>
          <w:sz w:val="20"/>
          <w:szCs w:val="20"/>
        </w:rPr>
        <w:t xml:space="preserve">Not a compliance requirement for the day-to-day program. This is a personal learning track and a future-options reference.</w:t>
      </w:r>
    </w:p>
    <w:p>
      <w:pPr>
        <w:spacing w:after="80"/>
        <w:jc w:val="center"/>
      </w:pPr>
      <w:r>
        <w:rPr>
          <w:sz w:val="22"/>
          <w:szCs w:val="22"/>
        </w:rPr>
        <w:t xml:space="preserve">Document Owner: Glenn Byron</w:t>
      </w:r>
    </w:p>
    <w:p>
      <w:pPr>
        <w:spacing w:after="80"/>
        <w:jc w:val="center"/>
      </w:pPr>
      <w:r>
        <w:rPr>
          <w:sz w:val="22"/>
          <w:szCs w:val="22"/>
        </w:rPr>
        <w:t xml:space="preserve">Version 1.0  -  May 2026</w:t>
      </w:r>
    </w:p>
    <w:p>
      <w:r>
        <w:br w:type="page"/>
      </w:r>
    </w:p>
    <w:p>
      <w:pPr>
        <w:pStyle w:val="Heading1"/>
      </w:pPr>
      <w:r>
        <w:t xml:space="preserve">Table of 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 and Framing</w:t>
      </w:r>
    </w:p>
    <w:p>
      <w:pPr>
        <w:spacing w:after="120" w:line="300"/>
      </w:pPr>
      <w:r>
        <w:t xml:space="preserve">This is the internal, long-form companion to the public Federal-Compliance-Upgrade.md in the GitHub repository. The public version is a sanitized reference for portfolio readers. This version captures the same upgrade path plus the internal context: what our organization would actually need, rough cost and effort, what is optional, and a hands-on plan for learning the federal tools in the home lab.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Important framing - this is NOT required for the day job</w:t>
            </w:r>
          </w:p>
          <w:p>
            <w:pPr>
              <w:spacing w:after="0"/>
            </w:pPr>
            <w:r>
              <w:t xml:space="preserve">The commercial CAC program (smart cards, AD CS PKI, certificate VPN, FIDO2) fully meets our operational needs and our Maryland SB 871 obligations on the identity/zero-trust side. Nothing in this federal upgrade path is required to run the program. It exists for two reasons: (1) a personal skills-development track to learn the DoD/federal toolchain, and (2) a documented options menu if the organization ever pursues federal contracts or a stricter posture. Treat it as a sandbox, not a mandate.</w:t>
            </w:r>
          </w:p>
        </w:tc>
      </w:tr>
    </w:tbl>
    <w:p>
      <w:pPr>
        <w:pStyle w:val="Heading1"/>
        <w:pageBreakBefore/>
      </w:pPr>
      <w:r>
        <w:t xml:space="preserve">2. The Four Federal Gaps - With Internal Context</w:t>
      </w:r>
    </w:p>
    <w:p>
      <w:pPr>
        <w:spacing w:after="120" w:line="300"/>
      </w:pPr>
      <w:r>
        <w:t xml:space="preserve">These mirror Blueprint.md Section 5, annotated with what each would mean for us specifically and a rough effort/cost sense. Figures are planning-grade only.</w:t>
      </w:r>
    </w:p>
    <w:p>
      <w:pPr>
        <w:pStyle w:val="Heading2"/>
      </w:pPr>
      <w:r>
        <w:t xml:space="preserve">2.1 HSM for CA Key Storage (FIPS 140-3 Level 3)</w:t>
      </w:r>
    </w:p>
    <w:p>
      <w:pPr>
        <w:spacing w:after="120" w:line="300"/>
      </w:pPr>
      <w:r>
        <w:t xml:space="preserve">Today the lab and the planned production CA use the Microsoft Software Key Storage Provider. Federal rules require CA private keys to live inside a validated Hardware Security Module. For us this is the single most expensive federal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Item</w:t>
            </w:r>
          </w:p>
        </w:tc>
        <w:tc>
          <w:tcPr>
            <w:tcW w:type="dxa" w:w="6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Internal Note</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What changes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CA install uses the HSM vendor KSP string instead of the software KSP; CA keys generated on the HSM.</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Options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Network HSM (Thales Luna) for full enterprise use, or YubiHSM 2 for a low-cost lab/learning option.</w:t>
            </w:r>
          </w:p>
        </w:tc>
      </w:tr>
      <w:tr>
        <w:trPr>
          <w:tblHeader w:val="false"/>
        </w:trPr>
        <w:tc>
          <w:tcPr>
            <w:tcW w:type="dxa" w:w="24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Rough cost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YubiHSM 2: low hundreds of dollars (good for learning). Enterprise network HSM: five figures.</w:t>
            </w:r>
          </w:p>
        </w:tc>
      </w:tr>
      <w:tr>
        <w:trPr>
          <w:tblHeader w:val="false"/>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Our reality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Not needed for commercial operation. A YubiHSM 2 is a cheap way to learn the workflow in the lab.</w:t>
            </w:r>
          </w:p>
        </w:tc>
      </w:tr>
    </w:tbl>
    <w:p>
      <w:pPr>
        <w:pStyle w:val="Heading2"/>
      </w:pPr>
      <w:r>
        <w:t xml:space="preserve">2.2 GSA APL Token &amp; Reader Procurement</w:t>
      </w:r>
    </w:p>
    <w:p>
      <w:pPr>
        <w:spacing w:after="120" w:line="300"/>
      </w:pPr>
      <w:r>
        <w:t xml:space="preserve">Federal agencies must buy cards, readers, and middleware from the GSA FIPS 201 Approved Products List. Our chosen commercial parts (CardLogix GIDS, HIRSCH uTrust, ZOWEETEK readers) are fine commercially but would need APL-listed equivalents for a federal context.</w:t>
      </w:r>
    </w:p>
    <w:p>
      <w:pPr>
        <w:pStyle w:val="ListParagraph"/>
        <w:numPr>
          <w:ilvl w:val="0"/>
          <w:numId w:val="2"/>
        </w:numPr>
        <w:spacing w:after="60"/>
      </w:pPr>
      <w:r>
        <w:t xml:space="preserve">Internal note: this is a procurement swap, not an architecture change. The PKI, GPO, and VPN design are unchanged.</w:t>
      </w:r>
    </w:p>
    <w:p>
      <w:pPr>
        <w:pStyle w:val="ListParagraph"/>
        <w:numPr>
          <w:ilvl w:val="0"/>
          <w:numId w:val="2"/>
        </w:numPr>
        <w:spacing w:after="60"/>
      </w:pPr>
      <w:r>
        <w:t xml:space="preserve">Learning value: low - it is a purchasing exercise, not a technical skill. Skip in the lab.</w:t>
      </w:r>
    </w:p>
    <w:p>
      <w:pPr>
        <w:pStyle w:val="Heading2"/>
      </w:pPr>
      <w:r>
        <w:t xml:space="preserve">2.3 FBCA Cross-Certification (NIST SP 800-217)</w:t>
      </w:r>
    </w:p>
    <w:p>
      <w:pPr>
        <w:spacing w:after="120" w:line="300"/>
      </w:pPr>
      <w:r>
        <w:t xml:space="preserve">Federal interoperability requires the Issuing CA to chain to the Federal Common Policy CA. This is a real technical and policy undertaking (certificate policy OIDs, cross-cert, audit).</w:t>
      </w:r>
    </w:p>
    <w:p>
      <w:pPr>
        <w:pStyle w:val="ListParagraph"/>
        <w:numPr>
          <w:ilvl w:val="0"/>
          <w:numId w:val="2"/>
        </w:numPr>
        <w:spacing w:after="60"/>
      </w:pPr>
      <w:r>
        <w:t xml:space="preserve">Internal note: only relevant if we ever needed cross-agency trust. Not applicable to a standalone water/wastewater utility.</w:t>
      </w:r>
    </w:p>
    <w:p>
      <w:pPr>
        <w:pStyle w:val="ListParagraph"/>
        <w:numPr>
          <w:ilvl w:val="0"/>
          <w:numId w:val="2"/>
        </w:numPr>
        <w:spacing w:after="60"/>
      </w:pPr>
      <w:r>
        <w:t xml:space="preserve">Learning value: high conceptually, but not reproducible in a home lab (you cannot cross-cert to the real FBCA). Document understanding only.</w:t>
      </w:r>
    </w:p>
    <w:p>
      <w:pPr>
        <w:pStyle w:val="Heading2"/>
      </w:pPr>
      <w:r>
        <w:t xml:space="preserve">2.4 Derived PIV Issuance (NIST SP 800-157)</w:t>
      </w:r>
    </w:p>
    <w:p>
      <w:pPr>
        <w:spacing w:after="120" w:line="300"/>
      </w:pPr>
      <w:r>
        <w:t xml:space="preserve">Federal derived-credential issuance uses the user's existing physical PIV card as the cryptographic voucher at an automated kiosk, rather than an RA verifying them in person.</w:t>
      </w:r>
    </w:p>
    <w:p>
      <w:pPr>
        <w:pStyle w:val="ListParagraph"/>
        <w:numPr>
          <w:ilvl w:val="0"/>
          <w:numId w:val="2"/>
        </w:numPr>
        <w:spacing w:after="60"/>
      </w:pPr>
      <w:r>
        <w:t xml:space="preserve">Internal note: our RA-based in-person issuance is appropriate for our scale. The kiosk model is for large federal populations.</w:t>
      </w:r>
    </w:p>
    <w:p>
      <w:pPr>
        <w:pStyle w:val="ListParagraph"/>
        <w:numPr>
          <w:ilvl w:val="0"/>
          <w:numId w:val="2"/>
        </w:numPr>
        <w:spacing w:after="60"/>
      </w:pPr>
      <w:r>
        <w:t xml:space="preserve">Learning value: moderate - worth understanding the derived-credential concept for interviews.</w:t>
      </w:r>
    </w:p>
    <w:p>
      <w:pPr>
        <w:pStyle w:val="Heading1"/>
        <w:pageBreakBefore/>
      </w:pPr>
      <w:r>
        <w:t xml:space="preserve">3. Home-Lab Learning Plan (Free Tools)</w:t>
      </w:r>
    </w:p>
    <w:p>
      <w:pPr>
        <w:spacing w:after="120" w:line="300"/>
      </w:pPr>
      <w:r>
        <w:t xml:space="preserve">The genuinely useful, hands-on part for skills development. All of these are free and run in the isolated lab. They map to the public testing track (FedGov-Tools-Setup-Guide.md and STIG-Hardening-Guide.md) - this section is the internal ordering and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060"/>
        <w:gridCol w:w="1800"/>
      </w:tblGrid>
      <w:tr>
        <w:trPr>
          <w:tblHeader/>
        </w:trPr>
        <w:tc>
          <w:tcPr>
            <w:tcW w:type="dxa" w:w="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Order</w:t>
            </w:r>
          </w:p>
        </w:tc>
        <w:tc>
          <w:tcPr>
            <w:tcW w:type="dxa" w:w="2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Tool</w:t>
            </w:r>
          </w:p>
        </w:tc>
        <w:tc>
          <w:tcPr>
            <w:tcW w:type="dxa" w:w="4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What You Learn</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0"/>
            </w:pPr>
            <w:r>
              <w:rPr>
                <w:b/>
                <w:bCs/>
              </w:rPr>
              <w:t xml:space="preserve">Effort</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CISA CSET</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Self-assessment against CPGs and CSF; produces a gap list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2</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SCAP Compliance Checker (SCC)</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Automated STIG configuration scanning; before/after evidence</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DISA STIG Viewer</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Manual finding review; CKL checklist export</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2-3 hours</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4</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Microsoft Security Compliance Toolkit</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Apply DoD-style GPO baselines with LGPO.exe; Policy Analyzer</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Nessus Essentials (ACAS analog)</w:t>
            </w:r>
          </w:p>
        </w:tc>
        <w:tc>
          <w:tcPr>
            <w:tcW w:type="dxa" w:w="40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Authenticated vulnerability scanning; the RMF vulnerability half</w:t>
            </w:r>
          </w:p>
        </w:tc>
        <w:tc>
          <w:tcPr>
            <w:tcW w:type="dxa" w:w="180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0"/>
            </w:pPr>
            <w:r>
              <w:rPr>
                <w:b w:val="false"/>
                <w:bCs w:val="false"/>
              </w:rPr>
              <w:t xml:space="preserve">Half a day</w:t>
            </w:r>
          </w:p>
        </w:tc>
      </w:tr>
      <w:tr>
        <w:trPr>
          <w:tblHeader w:val="false"/>
        </w:trPr>
        <w:tc>
          <w:tcPr>
            <w:tcW w:type="dxa" w:w="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6</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YubiHSM 2 (optional purchase)</w:t>
            </w:r>
          </w:p>
        </w:tc>
        <w:tc>
          <w:tcPr>
            <w:tcW w:type="dxa" w:w="40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Move a lab CA key into a real HSM; learn the KSP swap</w:t>
            </w:r>
          </w:p>
        </w:tc>
        <w:tc>
          <w:tcPr>
            <w:tcW w:type="dxa" w:w="1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pPr>
            <w:r>
              <w:rPr>
                <w:b w:val="false"/>
                <w:bCs w:val="false"/>
              </w:rPr>
              <w:t xml:space="preserve">1 day + hardware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8"/>
              <w:bottom w:val="single" w:color="2E75B6" w:sz="4"/>
              <w:right w:val="single" w:color="2E75B6" w:sz="4"/>
            </w:tcBorders>
            <w:shd w:fill="EAF2FA" w:val="clear"/>
            <w:tcMar>
              <w:top w:type="dxa" w:w="160"/>
              <w:left w:type="dxa" w:w="200"/>
              <w:bottom w:type="dxa" w:w="160"/>
              <w:right w:type="dxa" w:w="200"/>
            </w:tcMar>
          </w:tcPr>
          <w:p>
            <w:pPr>
              <w:spacing w:after="80"/>
            </w:pPr>
            <w:r>
              <w:rPr>
                <w:b/>
                <w:bCs/>
                <w:color w:val="1F3A68"/>
              </w:rPr>
              <w:t xml:space="preserve">Recommended sequence</w:t>
            </w:r>
          </w:p>
          <w:p>
            <w:pPr>
              <w:spacing w:after="0"/>
            </w:pPr>
            <w:r>
              <w:t xml:space="preserve">Do 1 through 5 in the lab first - they are free and they directly produce the before/after compliance evidence that makes the GitHub portfolio compelling. Only buy the YubiHSM 2 (step 6) once the rest is working and you want to demonstrate the HSM key-storage upgrade hands-on.</w:t>
            </w:r>
          </w:p>
        </w:tc>
      </w:tr>
    </w:tbl>
    <w:p>
      <w:pPr>
        <w:pStyle w:val="Heading1"/>
        <w:pageBreakBefore/>
      </w:pPr>
      <w:r>
        <w:t xml:space="preserve">4. What to Capture for the Portfolio</w:t>
      </w:r>
    </w:p>
    <w:p>
      <w:pPr>
        <w:spacing w:after="120" w:line="300"/>
      </w:pPr>
      <w:r>
        <w:t xml:space="preserve">As you work the home-lab plan, capture sanitized artifacts for the public repo (run Scrub-Repo.ps1 first):</w:t>
      </w:r>
    </w:p>
    <w:p>
      <w:pPr>
        <w:pStyle w:val="ListParagraph"/>
        <w:numPr>
          <w:ilvl w:val="0"/>
          <w:numId w:val="2"/>
        </w:numPr>
        <w:spacing w:after="60"/>
      </w:pPr>
      <w:r>
        <w:t xml:space="preserve">CSET assessment summary (sanitized) - shows you can self-assess against federal frameworks.</w:t>
      </w:r>
    </w:p>
    <w:p>
      <w:pPr>
        <w:pStyle w:val="ListParagraph"/>
        <w:numPr>
          <w:ilvl w:val="0"/>
          <w:numId w:val="2"/>
        </w:numPr>
        <w:spacing w:after="60"/>
      </w:pPr>
      <w:r>
        <w:t xml:space="preserve">Before-MFA and After-MFA SCAP scores in Compliance-Reports/ - the headline before/after improvement.</w:t>
      </w:r>
    </w:p>
    <w:p>
      <w:pPr>
        <w:pStyle w:val="ListParagraph"/>
        <w:numPr>
          <w:ilvl w:val="0"/>
          <w:numId w:val="2"/>
        </w:numPr>
        <w:spacing w:after="60"/>
      </w:pPr>
      <w:r>
        <w:t xml:space="preserve">A STIG Viewer CKL export (sanitized) - shows you can produce the artifact assessors expect.</w:t>
      </w:r>
    </w:p>
    <w:p>
      <w:pPr>
        <w:pStyle w:val="ListParagraph"/>
        <w:numPr>
          <w:ilvl w:val="0"/>
          <w:numId w:val="2"/>
        </w:numPr>
        <w:spacing w:after="60"/>
      </w:pPr>
      <w:r>
        <w:t xml:space="preserve">Nessus before/after vulnerability counts - the RMF vulnerability evidence.</w:t>
      </w:r>
    </w:p>
    <w:p>
      <w:pPr>
        <w:pStyle w:val="ListParagraph"/>
        <w:numPr>
          <w:ilvl w:val="0"/>
          <w:numId w:val="2"/>
        </w:numPr>
        <w:spacing w:after="60"/>
      </w:pPr>
      <w:r>
        <w:t xml:space="preserve">If you do the YubiHSM 2 step: a short write-up of the CA KSP migration (no keys, no secrets).</w:t>
      </w:r>
    </w:p>
    <w:p>
      <w:pPr>
        <w:pStyle w:val="Heading1"/>
        <w:pageBreakBefore/>
      </w:pPr>
      <w:r>
        <w:t xml:space="preserve">5. Internal Decision Notes</w:t>
      </w:r>
    </w:p>
    <w:p>
      <w:pPr>
        <w:spacing w:after="120" w:line="300"/>
      </w:pPr>
      <w:r>
        <w:t xml:space="preserve">Space to record real decisions as you go (kept internal):</w:t>
      </w:r>
    </w:p>
    <w:p>
      <w:pPr>
        <w:pStyle w:val="ListParagraph"/>
        <w:numPr>
          <w:ilvl w:val="0"/>
          <w:numId w:val="2"/>
        </w:numPr>
        <w:spacing w:after="60"/>
      </w:pPr>
      <w:r>
        <w:t xml:space="preserve">Which federal steps, if any, leadership wants to pursue: ______________________</w:t>
      </w:r>
    </w:p>
    <w:p>
      <w:pPr>
        <w:pStyle w:val="ListParagraph"/>
        <w:numPr>
          <w:ilvl w:val="0"/>
          <w:numId w:val="2"/>
        </w:numPr>
        <w:spacing w:after="60"/>
      </w:pPr>
      <w:r>
        <w:t xml:space="preserve">Budget approved for HSM / APL hardware (if any): ______________________</w:t>
      </w:r>
    </w:p>
    <w:p>
      <w:pPr>
        <w:pStyle w:val="ListParagraph"/>
        <w:numPr>
          <w:ilvl w:val="0"/>
          <w:numId w:val="2"/>
        </w:numPr>
        <w:spacing w:after="60"/>
      </w:pPr>
      <w:r>
        <w:t xml:space="preserve">Home-lab progress: CSET ___  SCC ___  STIG Viewer ___  SCT ___  Nessus ___  YubiHSM ___</w:t>
      </w:r>
    </w:p>
    <w:p>
      <w:pPr>
        <w:pStyle w:val="ListParagraph"/>
        <w:numPr>
          <w:ilvl w:val="0"/>
          <w:numId w:val="2"/>
        </w:numPr>
        <w:spacing w:after="60"/>
      </w:pPr>
      <w:r>
        <w:t xml:space="preserve">Notes / blockers: ______________________________________________</w:t>
      </w:r>
    </w:p>
    <w:p>
      <w:r>
        <w:br w:type="page"/>
      </w:r>
    </w:p>
    <w:p>
      <w:r>
        <w:rPr>
          <w:b/>
          <w:color w:val="1F3A55"/>
          <w:sz w:val="36"/>
        </w:rPr>
        <w:t>Evidence - SCAP Compliance Snapshot (Before / After Smart Card Enforcement)</w:t>
      </w:r>
    </w:p>
    <w:p>
      <w:r>
        <w:rPr>
          <w:i w:val="0"/>
        </w:rPr>
        <w:t xml:space="preserve">Scans run with </w:t>
      </w:r>
      <w:r>
        <w:rPr>
          <w:b/>
        </w:rPr>
        <w:t>SCAP Compliance Checker (SCC) 5.10.2</w:t>
      </w:r>
      <w:r>
        <w:t xml:space="preserve"> on the lab hosts. The Before / After-MFA delta isolates the IA-2(11) authentication-pillar change. Full benchmark hardening is scoped as the next compliance phase.</w:t>
      </w:r>
    </w:p>
    <w:p/>
    <w:tbl>
      <w:tblPr>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t>Host</w:t>
            </w:r>
          </w:p>
        </w:tc>
        <w:tc>
          <w:tcPr>
            <w:tcW w:type="dxa" w:w="1560"/>
          </w:tcPr>
          <w:p>
            <w:r>
              <w:rPr>
                <w:b/>
              </w:rPr>
              <w:t>Benchmark</w:t>
            </w:r>
          </w:p>
        </w:tc>
        <w:tc>
          <w:tcPr>
            <w:tcW w:type="dxa" w:w="1560"/>
          </w:tcPr>
          <w:p>
            <w:r>
              <w:rPr>
                <w:b/>
              </w:rPr>
              <w:t>Stage</w:t>
            </w:r>
          </w:p>
        </w:tc>
        <w:tc>
          <w:tcPr>
            <w:tcW w:type="dxa" w:w="1560"/>
          </w:tcPr>
          <w:p>
            <w:r>
              <w:rPr>
                <w:b/>
              </w:rPr>
              <w:t>Score</w:t>
            </w:r>
          </w:p>
        </w:tc>
        <w:tc>
          <w:tcPr>
            <w:tcW w:type="dxa" w:w="1560"/>
          </w:tcPr>
          <w:p>
            <w:r>
              <w:rPr>
                <w:b/>
              </w:rPr>
              <w:t>CAT I open</w:t>
            </w:r>
          </w:p>
        </w:tc>
        <w:tc>
          <w:tcPr>
            <w:tcW w:type="dxa" w:w="1560"/>
          </w:tcPr>
          <w:p>
            <w:r>
              <w:rPr>
                <w:b/>
              </w:rPr>
              <w:t>CAT II open</w:t>
            </w:r>
          </w:p>
        </w:tc>
      </w:tr>
      <w:tr>
        <w:tc>
          <w:tcPr>
            <w:tcW w:type="dxa" w:w="1560"/>
          </w:tcPr>
          <w:p>
            <w:r>
              <w:t>Lab-DC01</w:t>
            </w:r>
          </w:p>
        </w:tc>
        <w:tc>
          <w:tcPr>
            <w:tcW w:type="dxa" w:w="1560"/>
          </w:tcPr>
          <w:p>
            <w:r>
              <w:t>WS 2022 STIG 2.3.10</w:t>
            </w:r>
          </w:p>
        </w:tc>
        <w:tc>
          <w:tcPr>
            <w:tcW w:type="dxa" w:w="1560"/>
          </w:tcPr>
          <w:p>
            <w:r>
              <w:t>Before -&gt; After-MFA</w:t>
            </w:r>
          </w:p>
        </w:tc>
        <w:tc>
          <w:tcPr>
            <w:tcW w:type="dxa" w:w="1560"/>
          </w:tcPr>
          <w:p>
            <w:r>
              <w:t>44.95% -&gt; 42.66%</w:t>
            </w:r>
          </w:p>
        </w:tc>
        <w:tc>
          <w:tcPr>
            <w:tcW w:type="dxa" w:w="1560"/>
          </w:tcPr>
          <w:p>
            <w:r>
              <w:t>9</w:t>
            </w:r>
          </w:p>
        </w:tc>
        <w:tc>
          <w:tcPr>
            <w:tcW w:type="dxa" w:w="1560"/>
          </w:tcPr>
          <w:p>
            <w:r>
              <w:t>110</w:t>
            </w:r>
          </w:p>
        </w:tc>
      </w:tr>
      <w:tr>
        <w:tc>
          <w:tcPr>
            <w:tcW w:type="dxa" w:w="1560"/>
          </w:tcPr>
          <w:p>
            <w:r>
              <w:t>Lab-Workstation01</w:t>
            </w:r>
          </w:p>
        </w:tc>
        <w:tc>
          <w:tcPr>
            <w:tcW w:type="dxa" w:w="1560"/>
          </w:tcPr>
          <w:p>
            <w:r>
              <w:t>WS 2022 STIG 2.3.10</w:t>
            </w:r>
          </w:p>
        </w:tc>
        <w:tc>
          <w:tcPr>
            <w:tcW w:type="dxa" w:w="1560"/>
          </w:tcPr>
          <w:p>
            <w:r>
              <w:t>Before -&gt; After-MFA</w:t>
            </w:r>
          </w:p>
        </w:tc>
        <w:tc>
          <w:tcPr>
            <w:tcW w:type="dxa" w:w="1560"/>
          </w:tcPr>
          <w:p>
            <w:r>
              <w:t>42.20% -&gt; 42.20%</w:t>
            </w:r>
          </w:p>
        </w:tc>
        <w:tc>
          <w:tcPr>
            <w:tcW w:type="dxa" w:w="1560"/>
          </w:tcPr>
          <w:p>
            <w:r>
              <w:t>9</w:t>
            </w:r>
          </w:p>
        </w:tc>
        <w:tc>
          <w:tcPr>
            <w:tcW w:type="dxa" w:w="1560"/>
          </w:tcPr>
          <w:p>
            <w:r>
              <w:t>111</w:t>
            </w:r>
          </w:p>
        </w:tc>
      </w:tr>
      <w:tr>
        <w:tc>
          <w:tcPr>
            <w:tcW w:type="dxa" w:w="1560"/>
          </w:tcPr>
          <w:p>
            <w:r>
              <w:t>WO02 (physical laptop)</w:t>
            </w:r>
          </w:p>
        </w:tc>
        <w:tc>
          <w:tcPr>
            <w:tcW w:type="dxa" w:w="1560"/>
          </w:tcPr>
          <w:p>
            <w:r>
              <w:t>Win 11 STIG 2.3.9 (MAC-1 Classified)</w:t>
            </w:r>
          </w:p>
        </w:tc>
        <w:tc>
          <w:tcPr>
            <w:tcW w:type="dxa" w:w="1560"/>
          </w:tcPr>
          <w:p>
            <w:r>
              <w:t>After-SmartCard (baseline)</w:t>
            </w:r>
          </w:p>
        </w:tc>
        <w:tc>
          <w:tcPr>
            <w:tcW w:type="dxa" w:w="1560"/>
          </w:tcPr>
          <w:p>
            <w:r>
              <w:t>37.00%</w:t>
            </w:r>
          </w:p>
        </w:tc>
        <w:tc>
          <w:tcPr>
            <w:tcW w:type="dxa" w:w="1560"/>
          </w:tcPr>
          <w:p>
            <w:r>
              <w:t>13</w:t>
            </w:r>
          </w:p>
        </w:tc>
        <w:tc>
          <w:tcPr>
            <w:tcW w:type="dxa" w:w="1560"/>
          </w:tcPr>
          <w:p>
            <w:r>
              <w:t>122</w:t>
            </w:r>
          </w:p>
        </w:tc>
      </w:tr>
    </w:tbl>
    <w:p/>
    <w:p>
      <w:r>
        <w:rPr>
          <w:b/>
        </w:rPr>
        <w:t xml:space="preserve">Interpretation: </w:t>
      </w:r>
      <w:r>
        <w:t>Scores move only slightly between stages because the smart-card hardening phase targeted the Identity authentication pillar (NIST IA-2, IA-5) - not a full STIG hardening pass. WO02 is lower because it scored against a stricter benchmark (Windows 11 STIG, MAC-1 Classified profile, 258 rules) with only the smart card GPO applied; BitLocker, AppLocker, Defender exclusions, and broader Server-class controls are deferred to the next compliance phase.</w:t>
      </w:r>
    </w:p>
    <w:p>
      <w:r>
        <w:rPr>
          <w:b/>
        </w:rPr>
        <w:t xml:space="preserve">What the numbers prove: </w:t>
      </w:r>
      <w:r>
        <w:t>Smart-card enforcement is operational across the entire fleet. Event 4768 with Pre-Auth Type 16 (PKINIT) captured on DC01 confirms certificate-based Kerberos at the protocol level - the headline NIST IA-2(11) evidence regardless of overall STIG score.</w:t>
      </w:r>
    </w:p>
    <w:p>
      <w:r>
        <w:rPr>
          <w:b/>
        </w:rPr>
        <w:t xml:space="preserve">Source: </w:t>
      </w:r>
      <w:r>
        <w:t>Compliance-Reports/After-MFA/ (DC01 + WS01, 2026-05-28) and Compliance-Reports/Laptop/After-SmartCard/2026-06-02_104513/ (WO02). Full HTML reports, XCCDF XML, OVAL/OCIL XML, and STIG Viewer CKL checklists are staged for each scan.</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8"/>
        <w:szCs w:val="18"/>
      </w:rPr>
    </w:r>
    <w:r>
      <w:rPr>
        <w:color w:val="7F7F7F"/>
        <w:sz w:val="18"/>
        <w:szCs w:val="18"/>
      </w:rPr>
      <w:t xml:space="preserve">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C62828"/>
        <w:sz w:val="18"/>
        <w:szCs w:val="18"/>
      </w:rPr>
      <w:t xml:space="preserve">Federal Upgrade Path - INTERNAL</w:t>
    </w:r>
    <w:r>
      <w:rPr>
        <w:color w:val="7F7F7F"/>
        <w:sz w:val="18"/>
        <w:szCs w:val="18"/>
      </w:rPr>
      <w:t xml:space="preserve">	Learning/Options Reference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60"/>
      <w:outlineLvl w:val="0"/>
    </w:pPr>
    <w:rPr>
      <w:rFonts w:ascii="Arial" w:cs="Arial" w:eastAsia="Arial" w:hAnsi="Arial"/>
      <w:b/>
      <w:bCs/>
      <w:color w:val="1F3A68"/>
      <w:sz w:val="34"/>
      <w:szCs w:val="34"/>
    </w:rPr>
  </w:style>
  <w:style w:type="paragraph" w:styleId="Heading2">
    <w:name w:val="Heading 2"/>
    <w:basedOn w:val="Normal"/>
    <w:next w:val="Normal"/>
    <w:qFormat/>
    <w:pPr>
      <w:spacing w:after="150" w:before="260"/>
      <w:outlineLvl w:val="1"/>
    </w:pPr>
    <w:rPr>
      <w:rFonts w:ascii="Arial" w:cs="Arial" w:eastAsia="Arial" w:hAnsi="Arial"/>
      <w:b/>
      <w:bCs/>
      <w:color w:val="1F3A68"/>
      <w:sz w:val="27"/>
      <w:szCs w:val="2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Upgrade Path (Internal)</dc:title>
  <dc:creator>Glenn Byron</dc:creator>
  <cp:lastModifiedBy>Un-named</cp:lastModifiedBy>
  <cp:revision>1</cp:revision>
  <dcterms:created xsi:type="dcterms:W3CDTF">2026-05-21T17:46:01.733Z</dcterms:created>
  <dcterms:modified xsi:type="dcterms:W3CDTF">2026-05-21T17:46:01.733Z</dcterms:modified>
</cp:coreProperties>
</file>

<file path=docProps/custom.xml><?xml version="1.0" encoding="utf-8"?>
<Properties xmlns="http://schemas.openxmlformats.org/officeDocument/2006/custom-properties" xmlns:vt="http://schemas.openxmlformats.org/officeDocument/2006/docPropsVTypes"/>
</file>