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0"/>
      </w:pPr>
      <w:r>
        <w:rPr>
          <w:b/>
          <w:color w:val="1A3A6B"/>
          <w:sz w:val="44"/>
        </w:rPr>
        <w:t>CAC/PIV Smart Card System</w:t>
      </w:r>
    </w:p>
    <w:p>
      <w:pPr>
        <w:jc w:val="left"/>
        <w:spacing w:before="0" w:after="2"/>
      </w:pPr>
      <w:r>
        <w:rPr>
          <w:color w:val="555555"/>
          <w:sz w:val="26"/>
        </w:rPr>
        <w:t>How It Works After the Lab — Plain Language Overview</w:t>
      </w:r>
    </w:p>
    <w:p>
      <w:pPr>
        <w:spacing w:before="0" w:after="8"/>
      </w:pPr>
      <w:r>
        <w:rPr>
          <w:color w:val="888888"/>
          <w:sz w:val="20"/>
        </w:rPr>
        <w:t>Author: Glenn Byron</w:t>
      </w:r>
    </w:p>
    <w:p>
      <w:pPr>
        <w:pBdr>
          <w:bottom w:val="single" w:sz="6" w:space="1" w:color="2563A8"/>
        </w:pBdr>
        <w:spacing w:before="0" w:after="0"/>
      </w:pPr>
    </w:p>
    <w:p>
      <w:pPr>
        <w:spacing w:before="180" w:after="4"/>
      </w:pPr>
      <w:r>
        <w:rPr>
          <w:b/>
          <w:color w:val="1A3A6B"/>
          <w:sz w:val="24"/>
        </w:rPr>
        <w:t xml:space="preserve">1.  </w:t>
      </w:r>
      <w:r>
        <w:rPr>
          <w:b/>
          <w:color w:val="1A3A6B"/>
          <w:sz w:val="24"/>
        </w:rPr>
        <w:t>The trust chain is built once, then runs itself.</w:t>
      </w:r>
    </w:p>
    <w:p>
      <w:pPr>
        <w:spacing w:before="0" w:after="80" w:line="276" w:lineRule="auto"/>
      </w:pPr>
      <w:r>
        <w:rPr>
          <w:color w:val="222222"/>
          <w:sz w:val="22"/>
        </w:rPr>
        <w:t>The Offline Root CA signs the Issuing CA's certificate, gets powered off, and stays off — possibly for 5 years. From that point the Issuing CA is the only CA anyone ever talks to. The Root CA never touches the network again.</w:t>
      </w:r>
    </w:p>
    <w:p>
      <w:pPr>
        <w:spacing w:before="180" w:after="4"/>
      </w:pPr>
      <w:r>
        <w:rPr>
          <w:b/>
          <w:color w:val="1A3A6B"/>
          <w:sz w:val="24"/>
        </w:rPr>
        <w:t xml:space="preserve">2.  </w:t>
      </w:r>
      <w:r>
        <w:rPr>
          <w:b/>
          <w:color w:val="1A3A6B"/>
          <w:sz w:val="24"/>
        </w:rPr>
        <w:t>Getting a user onto the system.</w:t>
      </w:r>
    </w:p>
    <w:p>
      <w:pPr>
        <w:spacing w:before="0" w:after="80" w:line="276" w:lineRule="auto"/>
      </w:pPr>
      <w:r>
        <w:rPr>
          <w:color w:val="222222"/>
          <w:sz w:val="22"/>
        </w:rPr>
        <w:t>A Registration Authority verifies the new hire's government-issued photo ID in person. A separate Card Issuer — a different person, enforced by the script — takes that authorization, enrolls a certificate from the Issuing CA, writes it to the smart card or YubiKey, and sets the PIN. That user now has a hardware credential tied to a verified identity.</w:t>
      </w:r>
    </w:p>
    <w:p>
      <w:pPr>
        <w:spacing w:before="180" w:after="4"/>
      </w:pPr>
      <w:r>
        <w:rPr>
          <w:b/>
          <w:color w:val="1A3A6B"/>
          <w:sz w:val="24"/>
        </w:rPr>
        <w:t xml:space="preserve">3.  </w:t>
      </w:r>
      <w:r>
        <w:rPr>
          <w:b/>
          <w:color w:val="1A3A6B"/>
          <w:sz w:val="24"/>
        </w:rPr>
        <w:t>Every login from that point forward.</w:t>
      </w:r>
    </w:p>
    <w:p>
      <w:pPr>
        <w:spacing w:before="0" w:after="80" w:line="276" w:lineRule="auto"/>
      </w:pPr>
      <w:r>
        <w:rPr>
          <w:color w:val="222222"/>
          <w:sz w:val="22"/>
        </w:rPr>
        <w:t>User inserts their card and types their PIN. Windows reads the certificate, sends a Kerberos authentication request to the domain controller. The DC validates the certificate chain back to the Root CA — which it trusts because the Root CA cert was published into Active Directory during setup. Chain valid: Kerberos ticket issued, user is in. No password ever touches the wire. Pull the card out and the screen locks in under two seconds.</w:t>
      </w:r>
    </w:p>
    <w:p>
      <w:pPr>
        <w:spacing w:before="180" w:after="4"/>
      </w:pPr>
      <w:r>
        <w:rPr>
          <w:b/>
          <w:color w:val="1A3A6B"/>
          <w:sz w:val="24"/>
        </w:rPr>
        <w:t xml:space="preserve">4.  </w:t>
      </w:r>
      <w:r>
        <w:rPr>
          <w:b/>
          <w:color w:val="1A3A6B"/>
          <w:sz w:val="24"/>
        </w:rPr>
        <w:t>VPN uses the same handshake.</w:t>
      </w:r>
    </w:p>
    <w:p>
      <w:pPr>
        <w:spacing w:before="0" w:after="80" w:line="276" w:lineRule="auto"/>
      </w:pPr>
      <w:r>
        <w:rPr>
          <w:color w:val="222222"/>
          <w:sz w:val="22"/>
        </w:rPr>
        <w:t>The WatchGuard firewall trusts the internal Root CA. When a user connects, the IKEv2 tunnel presents the same certificate from the smart card. The firewall validates the chain, checks it isn't revoked, and establishes an AES-256 encrypted tunnel. No username, no password — just the certificate.</w:t>
      </w:r>
    </w:p>
    <w:p>
      <w:pPr>
        <w:spacing w:before="180" w:after="4"/>
      </w:pPr>
      <w:r>
        <w:rPr>
          <w:b/>
          <w:color w:val="1A3A6B"/>
          <w:sz w:val="24"/>
        </w:rPr>
        <w:t xml:space="preserve">5.  </w:t>
      </w:r>
      <w:r>
        <w:rPr>
          <w:b/>
          <w:color w:val="1A3A6B"/>
          <w:sz w:val="24"/>
        </w:rPr>
        <w:t>What keeps it healthy day to day.</w:t>
      </w:r>
    </w:p>
    <w:p>
      <w:pPr>
        <w:spacing w:before="0" w:after="80" w:line="276" w:lineRule="auto"/>
      </w:pPr>
      <w:r>
        <w:rPr>
          <w:color w:val="222222"/>
          <w:sz w:val="22"/>
        </w:rPr>
        <w:t>The Issuing CA publishes a Certificate Revocation List on schedule. Every device checks the CRL before trusting a certificate. If someone loses their card, revoke the cert at the CA — within the next CRL window, that credential is dead everywhere: domain login blocked, VPN blocked, done. No password reset needed.</w:t>
      </w:r>
    </w:p>
    <w:p>
      <w:pPr>
        <w:spacing w:before="0" w:after="80" w:line="276" w:lineRule="auto"/>
      </w:pPr>
      <w:r>
        <w:rPr>
          <w:color w:val="222222"/>
          <w:sz w:val="22"/>
        </w:rPr>
        <w:t>The PKI health monitor runs as a scheduled task, watching CRL expiry, OCSP availability, and certificate validity. It sends an email alert before anything expires.</w:t>
      </w:r>
    </w:p>
    <w:p>
      <w:pPr>
        <w:spacing w:before="180" w:after="4"/>
      </w:pPr>
      <w:r>
        <w:rPr>
          <w:b/>
          <w:color w:val="1A3A6B"/>
          <w:sz w:val="24"/>
        </w:rPr>
        <w:t xml:space="preserve">6.  </w:t>
      </w:r>
      <w:r>
        <w:rPr>
          <w:b/>
          <w:color w:val="1A3A6B"/>
          <w:sz w:val="24"/>
        </w:rPr>
        <w:t>The only time the Root CA is ever needed again.</w:t>
      </w:r>
    </w:p>
    <w:p>
      <w:pPr>
        <w:spacing w:before="0" w:after="80" w:line="276" w:lineRule="auto"/>
      </w:pPr>
      <w:r>
        <w:rPr>
          <w:color w:val="222222"/>
          <w:sz w:val="22"/>
        </w:rPr>
        <w:t>Every 5 years, the Issuing CA certificate needs renewal. Power on the air-gapped Root CA VM, sign the new certificate, copy it out via PowerShell Direct, publish it to Active Directory, power the VM back off. Total exposure window: under an hour.</w:t>
      </w:r>
    </w:p>
    <w:p>
      <w:pPr>
        <w:pBdr>
          <w:bottom w:val="single" w:sz="6" w:space="1" w:color="2563A8"/>
        </w:pBdr>
        <w:spacing w:before="0" w:after="0"/>
      </w:pPr>
    </w:p>
    <w:p>
      <w:pPr>
        <w:spacing w:before="80" w:after="0"/>
      </w:pPr>
      <w:r>
        <w:rPr>
          <w:i/>
          <w:color w:val="888888"/>
          <w:sz w:val="18"/>
        </w:rPr>
        <w:t>For the full step-by-step demo sequence see Demo-Walkthrough.md. For the lab build sequence see Lab-Kit/START-HERE.md.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