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1F3A68"/>
          <w:sz w:val="48"/>
          <w:szCs w:val="48"/>
        </w:rPr>
        <w:t xml:space="preserve">FEDERAL UPGRADE PATH</w:t>
      </w:r>
    </w:p>
    <w:p>
      <w:pPr>
        <w:spacing w:after="200"/>
        <w:jc w:val="center"/>
      </w:pPr>
      <w:r>
        <w:rPr>
          <w:i/>
          <w:iCs/>
          <w:color w:val="2E75B6"/>
          <w:sz w:val="30"/>
          <w:szCs w:val="30"/>
        </w:rPr>
        <w:t xml:space="preserve">Internal Learning-Sandbox &amp; Upgrade Reference</w:t>
      </w:r>
    </w:p>
    <w:p>
      <w:pPr>
        <w:spacing w:after="1000"/>
        <w:jc w:val="center"/>
      </w:pPr>
      <w:r>
        <w:rPr>
          <w:sz w:val="22"/>
          <w:szCs w:val="22"/>
        </w:rPr>
        <w:t xml:space="preserve">How the commercial CAC program could evolve toward federal standards</w:t>
      </w:r>
    </w:p>
    <w:p>
      <w:pPr>
        <w:spacing w:after="120"/>
        <w:jc w:val="center"/>
      </w:pPr>
      <w:r>
        <w:rPr>
          <w:b/>
          <w:bCs/>
          <w:color w:val="C62828"/>
          <w:sz w:val="24"/>
          <w:szCs w:val="24"/>
        </w:rPr>
      </w:r>
    </w:p>
    <w:p>
      <w:pPr>
        <w:spacing w:after="3200"/>
        <w:jc w:val="center"/>
      </w:pPr>
      <w:r>
        <w:rPr>
          <w:i/>
          <w:iCs/>
          <w:sz w:val="20"/>
          <w:szCs w:val="20"/>
        </w:rPr>
        <w:t xml:space="preserve">Not a compliance requirement for the day-to-day program. This is a personal learning track and a future-options reference.</w:t>
      </w:r>
    </w:p>
    <w:p>
      <w:pPr>
        <w:spacing w:after="80"/>
        <w:jc w:val="center"/>
      </w:pPr>
      <w:r>
        <w:rPr>
          <w:sz w:val="22"/>
          <w:szCs w:val="22"/>
        </w:rPr>
        <w:t xml:space="preserve">Document Owner: Glenn Byron</w:t>
      </w:r>
    </w:p>
    <w:p>
      <w:pPr>
        <w:spacing w:after="80"/>
        <w:jc w:val="center"/>
      </w:pPr>
      <w:r>
        <w:rPr>
          <w:sz w:val="22"/>
          <w:szCs w:val="22"/>
        </w:rPr>
        <w:t xml:space="preserve">Version 1.0  -  May 2026</w:t>
      </w:r>
    </w:p>
    <w:p>
      <w:r>
        <w:br w:type="page"/>
      </w:r>
    </w:p>
    <w:p>
      <w:pPr>
        <w:pStyle w:val="Heading1"/>
      </w:pPr>
      <w: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Framing</w:t>
      </w:r>
    </w:p>
    <w:p>
      <w:pPr>
        <w:spacing w:after="120" w:line="300"/>
      </w:pPr>
      <w:r>
        <w:t xml:space="preserve">This is the internal, long-form companion to the public Federal-Compliance-Upgrade.md in the GitHub repository. The public version is a sanitized reference for portfolio readers. This version captures the same upgrade path plus the internal context: what our organization would actually need, rough cost and effort, what is optional, and a hands-on plan for learning the federal tools in the home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Important framing - this is NOT required for the day job</w:t>
            </w:r>
          </w:p>
          <w:p>
            <w:pPr>
              <w:spacing w:after="0"/>
            </w:pPr>
            <w:r>
              <w:t xml:space="preserve">The commercial CAC program (smart cards, AD CS PKI, certificate VPN, FIDO2) fully meets our operational needs and our Maryland SB 871 obligations on the identity/zero-trust side. Nothing in this federal upgrade path is required to run the program. It exists for two reasons: (1) a personal skills-development track to learn the DoD/federal toolchain, and (2) a documented options menu if the organization ever pursues federal contracts or a stricter posture. Treat it as a sandbox, not a mandate.</w:t>
            </w:r>
          </w:p>
        </w:tc>
      </w:tr>
    </w:tbl>
    <w:p>
      <w:pPr>
        <w:pStyle w:val="Heading1"/>
        <w:pageBreakBefore/>
      </w:pPr>
      <w:r>
        <w:t xml:space="preserve">2. The Four Federal Gaps - With Internal Context</w:t>
      </w:r>
    </w:p>
    <w:p>
      <w:pPr>
        <w:spacing w:after="120" w:line="300"/>
      </w:pPr>
      <w:r>
        <w:t xml:space="preserve">These mirror Blueprint.md Section 5, annotated with what each would mean for us specifically and a rough effort/cost sense. Figures are planning-grade only.</w:t>
      </w:r>
    </w:p>
    <w:p>
      <w:pPr>
        <w:pStyle w:val="Heading2"/>
      </w:pPr>
      <w:r>
        <w:t xml:space="preserve">2.1 HSM for CA Key Storage (FIPS 140-3 Level 3)</w:t>
      </w:r>
    </w:p>
    <w:p>
      <w:pPr>
        <w:spacing w:after="120" w:line="300"/>
      </w:pPr>
      <w:r>
        <w:t xml:space="preserve">Today the lab and the planned production CA use the Microsoft Software Key Storage Provider. Federal rules require CA private keys to live inside a validated Hardware Security Module. For us this is the single most expensive federal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Item</w:t>
            </w:r>
          </w:p>
        </w:tc>
        <w:tc>
          <w:tcPr>
            <w:tcW w:type="dxa" w:w="69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Internal Note</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What changes</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CA install uses the HSM vendor KSP string instead of the software KSP; CA keys generated on the HSM.</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Options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Network HSM (Thales Luna) for full enterprise use, or YubiHSM 2 for a low-cost lab/learning option.</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Rough cost</w:t>
            </w:r>
          </w:p>
        </w:tc>
        <w:tc>
          <w:tcPr>
            <w:tcW w:type="dxa" w:w="6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YubiHSM 2: low hundreds of dollars (good for learning). Enterprise network HSM: five figures.</w:t>
            </w:r>
          </w:p>
        </w:tc>
      </w:tr>
      <w:tr>
        <w:trPr>
          <w:tblHeader w:val="false"/>
        </w:trP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Our reality</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Not needed for commercial operation. A YubiHSM 2 is a cheap way to learn the workflow in the lab.</w:t>
            </w:r>
          </w:p>
        </w:tc>
      </w:tr>
    </w:tbl>
    <w:p>
      <w:pPr>
        <w:pStyle w:val="Heading2"/>
      </w:pPr>
      <w:r>
        <w:t xml:space="preserve">2.2 GSA APL Token &amp; Reader Procurement</w:t>
      </w:r>
    </w:p>
    <w:p>
      <w:pPr>
        <w:pStyle w:val="ListParagraph"/>
        <w:spacing w:after="120" w:line="300"/>
      </w:pPr>
      <w:r>
        <w:t>Federal agencies must buy cards, readers, and middleware from the GSA FIPS 201 Approved Products List. Our chosen commercial parts (GIDS smart cards, HIRSCH uTrust, ZOWEETEK readers) are fine commercially but would need APL-listed equivalents for a federal context.</w:t>
      </w:r>
    </w:p>
    <w:p>
      <w:pPr>
        <w:pStyle w:val="ListParagraph"/>
        <w:numPr>
          <w:ilvl w:val="0"/>
          <w:numId w:val="2"/>
        </w:numPr>
        <w:spacing w:after="60"/>
      </w:pPr>
      <w:r>
        <w:t xml:space="preserve">Internal note: this is a procurement swap, not an architecture change. The PKI, GPO, and VPN design are unchanged.</w:t>
      </w:r>
    </w:p>
    <w:p>
      <w:pPr>
        <w:pStyle w:val="ListParagraph"/>
        <w:numPr>
          <w:ilvl w:val="0"/>
          <w:numId w:val="2"/>
        </w:numPr>
        <w:spacing w:after="60"/>
      </w:pPr>
      <w:r>
        <w:t xml:space="preserve">Learning value: low - it is a purchasing exercise, not a technical skill. Skip in the lab.</w:t>
      </w:r>
    </w:p>
    <w:p>
      <w:pPr>
        <w:pStyle w:val="Heading3"/>
      </w:pPr>
      <w:r>
        <w:rPr>
          <w:b/>
        </w:rPr>
        <w:t>2.2.1 Hirsch uTrust FIDO2 - Vendor-Claimed Federal Evidence</w:t>
      </w:r>
    </w:p>
    <w:p>
      <w:r>
        <w:t>The Hirsch uTrust FIDO2 NFC Security Key is one of two commercial tokens evaluated in v1.1 hardware testing (the other being the YubiKey 5 NFC; see Lab-Kit/Reference/Card-Test-Matrix.md). The vendor markets the product to federal-adjacent audiences. This subsection captures what the vendor-supplied product literature claims and - just as important - what it does NOT explicitly substantiate. Vendor-claimed evidence is not the same as lab-tested or federally-validated evidence; for a federal procurement the gap has to be closed before the device is APL-listed or accepted into the trust path.</w:t>
      </w:r>
    </w:p>
    <w:p>
      <w:pPr>
        <w:pStyle w:val="Heading4"/>
      </w:pPr>
      <w:r>
        <w:rPr>
          <w:b/>
        </w:rPr>
        <w:t>What the vendor materials claim</w:t>
      </w:r>
    </w:p>
    <w:p>
      <w:pPr>
        <w:pStyle w:val="ListParagraph"/>
      </w:pPr>
      <w:r>
        <w:t>Target markets explicitly named in vendor literature: law enforcement and agencies operating under CJIS Security Policy; government, defense, and critical-infrastructure organizations; businesses pursuing CMMC.</w:t>
      </w:r>
    </w:p>
    <w:p>
      <w:pPr>
        <w:pStyle w:val="ListParagraph"/>
      </w:pPr>
      <w:r>
        <w:t>FIDO Alliance certified - confirms compliance with FIDO2 / WebAuthn cryptographic protocols at the alliance level.</w:t>
      </w:r>
    </w:p>
    <w:p>
      <w:pPr>
        <w:pStyle w:val="ListParagraph"/>
      </w:pPr>
      <w:r>
        <w:t>Three SKU tiers offered: uTrust FIDO2 NFC (base), uTrust FIDO2 NFC+, and uTrust FIDO2 GOV. The GOV variant (released Q3 2024) is the SKU positioned by the vendor for government use; this is the SKU a federal procurement would specify rather than the base.</w:t>
      </w:r>
    </w:p>
    <w:p>
      <w:pPr>
        <w:pStyle w:val="ListParagraph"/>
      </w:pPr>
      <w:r>
        <w:t>Protocols claimed: FIDO U2F, FIDO2 (CTAP1 + CTAP2), PIV (with variant differences), OATH-HOTP, OATH-TOTP.</w:t>
      </w:r>
    </w:p>
    <w:p>
      <w:pPr>
        <w:pStyle w:val="ListParagraph"/>
      </w:pPr>
      <w:r>
        <w:t>Cross-platform compatibility: Windows 10/11, macOS, Android, Linux, ChromeOS. Microsoft Entra ID (formerly Azure AD) support called out by the vendor - relevant for the Phase 9 Azure VPN trust path documented in Architecture/Azure-VPN-Guide.md.</w:t>
      </w:r>
    </w:p>
    <w:p>
      <w:pPr>
        <w:pStyle w:val="ListParagraph"/>
      </w:pPr>
      <w:r>
        <w:t>Form factors: USB-A, USB-C, with NFC contactless for tap-based authentication.</w:t>
      </w:r>
    </w:p>
    <w:p>
      <w:pPr>
        <w:pStyle w:val="Heading4"/>
      </w:pPr>
      <w:r>
        <w:rPr>
          <w:b/>
        </w:rPr>
        <w:t>What the vendor materials do NOT substantiate</w:t>
      </w:r>
    </w:p>
    <w:p>
      <w:pPr>
        <w:pStyle w:val="ListParagraph"/>
      </w:pPr>
      <w:r>
        <w:t>FIPS 140-3 validation - no specific CMVP certificate number is listed in the web product page. A federal procurement requires the CMVP module name + cert number; "FIDO Alliance certified" is not equivalent.</w:t>
      </w:r>
    </w:p>
    <w:p>
      <w:pPr>
        <w:pStyle w:val="ListParagraph"/>
      </w:pPr>
      <w:r>
        <w:t>NIST AAL3 attestation - no explicit AAL claim. The cryptographic protocol support (CTAP2 + PIV) is consistent with AAL3 capability, but the formal attestation is not in hand.</w:t>
      </w:r>
    </w:p>
    <w:p>
      <w:pPr>
        <w:pStyle w:val="ListParagraph"/>
      </w:pPr>
      <w:r>
        <w:t>TAA (Trade Agreements Act) compliance - not stated. Required for GSA Schedule procurement.</w:t>
      </w:r>
    </w:p>
    <w:p>
      <w:r>
        <w:t>GSA FIPS 201 Approved Products List (APL) listing - not stated. The federal trust path the Architecture/Federal-Compliance-Upgrade.md document requires.</w:t>
      </w:r>
    </w:p>
    <w:p>
      <w:pPr>
        <w:pStyle w:val="ListParagraph"/>
      </w:pPr>
      <w:r>
        <w:t>Section 889 NDAA compliance - not stated.</w:t>
      </w:r>
    </w:p>
    <w:p>
      <w:pPr>
        <w:pStyle w:val="ListParagraph"/>
      </w:pPr>
      <w:r>
        <w:t>Common Criteria EAL level - not stated.</w:t>
      </w:r>
    </w:p>
    <w:p>
      <w:pPr>
        <w:pStyle w:val="Heading4"/>
      </w:pPr>
      <w:r>
        <w:rPr>
          <w:b/>
        </w:rPr>
        <w:t>Closing the evidence gap</w:t>
      </w:r>
    </w:p>
    <w:p>
      <w:r>
        <w:t>Three steps would convert vendor-claimed marketing language into federal-procurement-grade evidence. None require lab work; all are document and vendor-relationship activities.</w:t>
      </w:r>
    </w:p>
    <w:p>
      <w:pPr>
        <w:pStyle w:val="ListParagraph"/>
      </w:pPr>
      <w:r>
        <w:t>Request Hirsch's formal product data sheet (not the web product page). Federal-targeted vendors typically maintain a separate compliance document listing CMVP certificate numbers, GSA contract vehicles, TAA country of origin, and Section 889 attestations. Ask specifically about the GOV SKU (905601-1 / 905602-1).</w:t>
      </w:r>
    </w:p>
    <w:p>
      <w:pPr>
        <w:pStyle w:val="ListParagraph"/>
      </w:pPr>
      <w:r>
        <w:t>Cross-reference the NIST CMVP validation database at https://csrc.nist.gov/projects/cryptographic-module-validation-program. Search for vendor name (Hirsch / Identiv or the relevant GIDS card manufacturer), product name (uTrust), and the certified module string. If a certificate exists, capture the certificate number, level, and validation date.</w:t>
      </w:r>
    </w:p>
    <w:p>
      <w:pPr>
        <w:pStyle w:val="ListParagraph"/>
      </w:pPr>
      <w:r>
        <w:t>Check the GSA Advantage / GSA FIPS 201 APL portals for the specific SKU. APL listings include the procurement contract numbers and any compliance attestations needed for federal contracting officers. If the SKU is not APL-listed, that is the procurement gap - and the existing Federal_Upgrade_Path framing already documents it.</w:t>
      </w:r>
    </w:p>
    <w:p>
      <w:r>
        <w:t>Until the above steps are completed, the lab portfolio framing should read: "Hirsch uTrust FIDO2 GOV is the vendor's government-targeted SKU; vendor markets to CJIS / CMMC / federal audiences. Specific FIPS 140-3 CMVP certificate, GSA APL listing, and TAA attestation are vendor-relationship deliverables that close the federal procurement gap." This framing is itself a sign of someone who understands federal procurement evidence rather than confusing marketing language for certification.</w:t>
      </w:r>
    </w:p>
    <w:p>
      <w:pPr>
        <w:pStyle w:val="Heading2"/>
      </w:pPr>
      <w:r>
        <w:t xml:space="preserve">2.3 FBCA Cross-Certification (NIST SP 800-217)</w:t>
      </w:r>
    </w:p>
    <w:p>
      <w:pPr>
        <w:spacing w:after="120" w:line="300"/>
      </w:pPr>
      <w:r>
        <w:t xml:space="preserve">Federal interoperability requires the Issuing CA to chain to the Federal Common Policy CA. This is a real technical and policy undertaking (certificate policy OIDs, cross-cert, audit).</w:t>
      </w:r>
    </w:p>
    <w:p>
      <w:pPr>
        <w:pStyle w:val="ListParagraph"/>
        <w:numPr>
          <w:ilvl w:val="0"/>
          <w:numId w:val="2"/>
        </w:numPr>
        <w:spacing w:after="60"/>
      </w:pPr>
      <w:r>
        <w:t xml:space="preserve">Internal note: only relevant if we ever needed cross-agency trust. Not applicable to a standalone water/wastewater utility.</w:t>
      </w:r>
    </w:p>
    <w:p>
      <w:pPr>
        <w:pStyle w:val="ListParagraph"/>
        <w:numPr>
          <w:ilvl w:val="0"/>
          <w:numId w:val="2"/>
        </w:numPr>
        <w:spacing w:after="60"/>
      </w:pPr>
      <w:r>
        <w:t xml:space="preserve">Learning value: high conceptually, but not reproducible in a home lab (you cannot cross-cert to the real FBCA). Document understanding only.</w:t>
      </w:r>
    </w:p>
    <w:p>
      <w:pPr>
        <w:pStyle w:val="Heading2"/>
      </w:pPr>
      <w:r>
        <w:t xml:space="preserve">2.4 Derived PIV Issuance (NIST SP 800-157)</w:t>
      </w:r>
    </w:p>
    <w:p>
      <w:pPr>
        <w:spacing w:after="120" w:line="300"/>
      </w:pPr>
      <w:r>
        <w:t xml:space="preserve">Federal derived-credential issuance uses the user's existing physical PIV card as the cryptographic voucher at an automated kiosk, rather than an RA verifying them in person.</w:t>
      </w:r>
    </w:p>
    <w:p>
      <w:pPr>
        <w:pStyle w:val="ListParagraph"/>
        <w:numPr>
          <w:ilvl w:val="0"/>
          <w:numId w:val="2"/>
        </w:numPr>
        <w:spacing w:after="60"/>
      </w:pPr>
      <w:r>
        <w:t xml:space="preserve">Internal note: our RA-based in-person issuance is appropriate for our scale. The kiosk model is for large federal populations.</w:t>
      </w:r>
    </w:p>
    <w:p>
      <w:pPr>
        <w:pStyle w:val="ListParagraph"/>
        <w:numPr>
          <w:ilvl w:val="0"/>
          <w:numId w:val="2"/>
        </w:numPr>
        <w:spacing w:after="60"/>
      </w:pPr>
      <w:r>
        <w:t xml:space="preserve">Learning value: moderate - worth understanding the derived-credential concept for interviews.</w:t>
      </w:r>
    </w:p>
    <w:p>
      <w:pPr>
        <w:pStyle w:val="Heading1"/>
        <w:pageBreakBefore/>
      </w:pPr>
      <w:r>
        <w:t xml:space="preserve">3. Home-Lab Learning Plan (Free Tools)</w:t>
      </w:r>
    </w:p>
    <w:p>
      <w:pPr>
        <w:spacing w:after="120" w:line="300"/>
      </w:pPr>
      <w:r>
        <w:t xml:space="preserve">The genuinely useful, hands-on part for skills development. All of these are free and run in the isolated lab. They map to the public testing track (FedGov-Tools-Setup-Guide.md and STIG-Hardening-Guide.md) - this section is the internal ordering and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4060"/>
        <w:gridCol w:w="1800"/>
      </w:tblGrid>
      <w:tr>
        <w:trPr>
          <w:tblHeader/>
        </w:trPr>
        <w:tc>
          <w:tcPr>
            <w:tcW w:type="dxa" w:w="9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Order</w:t>
            </w:r>
          </w:p>
        </w:tc>
        <w:tc>
          <w:tcPr>
            <w:tcW w:type="dxa" w:w="26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Tool</w:t>
            </w:r>
          </w:p>
        </w:tc>
        <w:tc>
          <w:tcPr>
            <w:tcW w:type="dxa" w:w="406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What You Learn</w:t>
            </w:r>
          </w:p>
        </w:tc>
        <w:tc>
          <w:tcPr>
            <w:tcW w:type="dxa" w:w="1800"/>
            <w:tcBorders>
              <w:top w:val="single" w:color="BFBFBF" w:sz="4"/>
              <w:left w:val="single" w:color="BFBFBF" w:sz="4"/>
              <w:bottom w:val="single" w:color="BFBFBF" w:sz="4"/>
              <w:right w:val="single" w:color="BFBFBF" w:sz="4"/>
            </w:tcBorders>
            <w:shd w:fill="D5E8F0" w:val="clear"/>
            <w:tcMar>
              <w:top w:type="dxa" w:w="80"/>
              <w:left w:type="dxa" w:w="120"/>
              <w:bottom w:type="dxa" w:w="80"/>
              <w:right w:type="dxa" w:w="120"/>
            </w:tcMar>
          </w:tcPr>
          <w:p>
            <w:pPr>
              <w:spacing w:after="0"/>
            </w:pPr>
            <w:r>
              <w:rPr>
                <w:b/>
                <w:bCs/>
              </w:rPr>
              <w:t xml:space="preserve">Effort</w:t>
            </w:r>
          </w:p>
        </w:tc>
      </w:tr>
      <w:tr>
        <w:trPr>
          <w:tblHeader w:val="false"/>
        </w:trP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1</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CISA CSET</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Self-assessment against CPGs and CSF; produces a gap list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Half a day</w:t>
            </w:r>
          </w:p>
        </w:tc>
      </w:tr>
      <w:tr>
        <w:trPr>
          <w:tblHeader w:val="false"/>
        </w:trP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2</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SCAP Compliance Checker (SCC)</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Automated STIG configuration scanning; before/after evidence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Half a day</w:t>
            </w:r>
          </w:p>
        </w:tc>
      </w:tr>
      <w:tr>
        <w:trPr>
          <w:tblHeader w:val="false"/>
        </w:trP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3</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DISA STIG Viewer</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Manual finding review; CKL checklist export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2-3 hours</w:t>
            </w:r>
          </w:p>
        </w:tc>
      </w:tr>
      <w:tr>
        <w:trPr>
          <w:tblHeader w:val="false"/>
        </w:trP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4</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Microsoft Security Compliance Toolkit</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Apply DoD-style GPO baselines with LGPO.exe; Policy Analyzer</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Half a day</w:t>
            </w:r>
          </w:p>
        </w:tc>
      </w:tr>
      <w:tr>
        <w:trPr>
          <w:tblHeader w:val="false"/>
        </w:trPr>
        <w:tc>
          <w:tcPr>
            <w:tcW w:type="dxa" w:w="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5</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Nessus Essentials (ACAS analog)</w:t>
            </w:r>
          </w:p>
        </w:tc>
        <w:tc>
          <w:tcPr>
            <w:tcW w:type="dxa" w:w="4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Authenticated vulnerability scanning; the RMF vulnerability half</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0"/>
            </w:pPr>
            <w:r>
              <w:rPr>
                <w:b w:val="false"/>
                <w:bCs w:val="false"/>
              </w:rPr>
              <w:t xml:space="preserve">Half a day</w:t>
            </w:r>
          </w:p>
        </w:tc>
      </w:tr>
      <w:tr>
        <w:trPr>
          <w:tblHeader w:val="false"/>
        </w:trP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6</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YubiHSM 2 (optional purchase)</w:t>
            </w:r>
          </w:p>
        </w:tc>
        <w:tc>
          <w:tcPr>
            <w:tcW w:type="dxa" w:w="4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Move a lab CA key into a real HSM; learn the KSP swap</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spacing w:after="0"/>
            </w:pPr>
            <w:r>
              <w:rPr>
                <w:b w:val="false"/>
                <w:bCs w:val="false"/>
              </w:rPr>
              <w:t xml:space="preserve">1 day + hardware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AF2FA" w:val="clear"/>
            <w:tcMar>
              <w:top w:type="dxa" w:w="160"/>
              <w:left w:type="dxa" w:w="200"/>
              <w:bottom w:type="dxa" w:w="160"/>
              <w:right w:type="dxa" w:w="200"/>
            </w:tcMar>
          </w:tcPr>
          <w:p>
            <w:pPr>
              <w:spacing w:after="80"/>
            </w:pPr>
            <w:r>
              <w:rPr>
                <w:b/>
                <w:bCs/>
                <w:color w:val="1F3A68"/>
              </w:rPr>
              <w:t xml:space="preserve">Recommended sequence</w:t>
            </w:r>
          </w:p>
          <w:p>
            <w:pPr>
              <w:spacing w:after="0"/>
            </w:pPr>
            <w:r>
              <w:t xml:space="preserve">Do 1 through 5 in the lab first - they are free and they directly produce the before/after compliance evidence that makes the GitHub portfolio compelling. Only buy the YubiHSM 2 (step 6) once the rest is working and you want to demonstrate the HSM key-storage upgrade hands-on.</w:t>
            </w:r>
          </w:p>
        </w:tc>
      </w:tr>
    </w:tbl>
    <w:p>
      <w:pPr>
        <w:pStyle w:val="Heading1"/>
        <w:pageBreakBefore/>
      </w:pPr>
      <w:r>
        <w:t xml:space="preserve">4. What to Capture for the Portfolio</w:t>
      </w:r>
    </w:p>
    <w:p>
      <w:pPr>
        <w:spacing w:after="120" w:line="300"/>
      </w:pPr>
      <w:r>
        <w:t xml:space="preserve">As you work the home-lab plan, capture sanitized artifacts for the public repo (run Scrub-Repo.ps1 first):</w:t>
      </w:r>
    </w:p>
    <w:p>
      <w:pPr>
        <w:pStyle w:val="ListParagraph"/>
        <w:numPr>
          <w:ilvl w:val="0"/>
          <w:numId w:val="2"/>
        </w:numPr>
        <w:spacing w:after="60"/>
      </w:pPr>
      <w:r>
        <w:t xml:space="preserve">CSET assessment summary (sanitized) - shows you can self-assess against federal frameworks.</w:t>
      </w:r>
    </w:p>
    <w:p>
      <w:pPr>
        <w:pStyle w:val="ListParagraph"/>
        <w:numPr>
          <w:ilvl w:val="0"/>
          <w:numId w:val="2"/>
        </w:numPr>
        <w:spacing w:after="60"/>
      </w:pPr>
      <w:r>
        <w:t xml:space="preserve">Before-MFA and After-MFA SCAP scores in Compliance-Reports/ - the headline before/after improvement.</w:t>
      </w:r>
    </w:p>
    <w:p>
      <w:pPr>
        <w:pStyle w:val="ListParagraph"/>
        <w:numPr>
          <w:ilvl w:val="0"/>
          <w:numId w:val="2"/>
        </w:numPr>
        <w:spacing w:after="60"/>
      </w:pPr>
      <w:r>
        <w:t xml:space="preserve">A STIG Viewer CKL export (sanitized) - shows you can produce the artifact assessors expect.</w:t>
      </w:r>
    </w:p>
    <w:p>
      <w:pPr>
        <w:pStyle w:val="ListParagraph"/>
        <w:numPr>
          <w:ilvl w:val="0"/>
          <w:numId w:val="2"/>
        </w:numPr>
        <w:spacing w:after="60"/>
      </w:pPr>
      <w:r>
        <w:t xml:space="preserve">Nessus before/after vulnerability counts - the RMF vulnerability evidence.</w:t>
      </w:r>
    </w:p>
    <w:p>
      <w:pPr>
        <w:pStyle w:val="ListParagraph"/>
        <w:numPr>
          <w:ilvl w:val="0"/>
          <w:numId w:val="2"/>
        </w:numPr>
        <w:spacing w:after="60"/>
      </w:pPr>
      <w:r>
        <w:t xml:space="preserve">If you do the YubiHSM 2 step: a short write-up of the CA KSP migration (no keys, no secrets).</w:t>
      </w:r>
    </w:p>
    <w:p>
      <w:pPr>
        <w:pStyle w:val="Heading1"/>
        <w:pageBreakBefore/>
      </w:pPr>
      <w:r>
        <w:t xml:space="preserve">5. Internal Decision Notes</w:t>
      </w:r>
    </w:p>
    <w:p>
      <w:pPr>
        <w:spacing w:after="120" w:line="300"/>
      </w:pPr>
      <w:r>
        <w:t xml:space="preserve">Space to record real decisions as you go (kept internal):</w:t>
      </w:r>
    </w:p>
    <w:p>
      <w:pPr>
        <w:pStyle w:val="ListParagraph"/>
        <w:numPr>
          <w:ilvl w:val="0"/>
          <w:numId w:val="2"/>
        </w:numPr>
        <w:spacing w:after="60"/>
      </w:pPr>
      <w:r>
        <w:t xml:space="preserve">Which federal steps, if any, leadership wants to pursue: ______________________</w:t>
      </w:r>
    </w:p>
    <w:p>
      <w:pPr>
        <w:pStyle w:val="ListParagraph"/>
        <w:numPr>
          <w:ilvl w:val="0"/>
          <w:numId w:val="2"/>
        </w:numPr>
        <w:spacing w:after="60"/>
      </w:pPr>
      <w:r>
        <w:t xml:space="preserve">Budget approved for HSM / APL hardware (if any): ______________________</w:t>
      </w:r>
    </w:p>
    <w:p>
      <w:pPr>
        <w:pStyle w:val="ListParagraph"/>
        <w:numPr>
          <w:ilvl w:val="0"/>
          <w:numId w:val="2"/>
        </w:numPr>
        <w:spacing w:after="60"/>
      </w:pPr>
      <w:r>
        <w:t xml:space="preserve">Home-lab progress: CSET ___  SCC ___  STIG Viewer ___  SCT ___  Nessus ___  YubiHSM ___</w:t>
      </w:r>
    </w:p>
    <w:p>
      <w:pPr>
        <w:pStyle w:val="ListParagraph"/>
        <w:numPr>
          <w:ilvl w:val="0"/>
          <w:numId w:val="2"/>
        </w:numPr>
        <w:spacing w:after="60"/>
      </w:pPr>
      <w:r>
        <w:t xml:space="preserve">Notes / blockers: ______________________________________________</w:t>
      </w:r>
    </w:p>
    <w:p>
      <w:r>
        <w:br w:type="page"/>
      </w:r>
    </w:p>
    <w:p>
      <w:r>
        <w:rPr>
          <w:b/>
          <w:color w:val="1F3A55"/>
          <w:sz w:val="36"/>
        </w:rPr>
        <w:t>Evidence - SCAP Compliance Snapshot (Before / After Smart Card Enforcement)</w:t>
      </w:r>
    </w:p>
    <w:p>
      <w:r>
        <w:rPr>
          <w:i w:val="0"/>
        </w:rPr>
        <w:t xml:space="preserve">Scans run with </w:t>
      </w:r>
      <w:r>
        <w:rPr>
          <w:b/>
        </w:rPr>
        <w:t>SCAP Compliance Checker (SCC) 5.10.2</w:t>
      </w:r>
      <w:r>
        <w:t xml:space="preserve"> on the lab hosts. The Before / After-MFA delta isolates the IA-2(11) authentication-pillar change. Full benchmark hardening is scoped as the next compliance phase.</w:t>
      </w:r>
    </w:p>
    <w:p/>
    <w:tbl>
      <w:tblPr>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rPr>
              <w:t>Host</w:t>
            </w:r>
          </w:p>
        </w:tc>
        <w:tc>
          <w:tcPr>
            <w:tcW w:type="dxa" w:w="1560"/>
          </w:tcPr>
          <w:p>
            <w:r>
              <w:rPr>
                <w:b/>
              </w:rPr>
              <w:t>Benchmark</w:t>
            </w:r>
          </w:p>
        </w:tc>
        <w:tc>
          <w:tcPr>
            <w:tcW w:type="dxa" w:w="1560"/>
          </w:tcPr>
          <w:p>
            <w:r>
              <w:rPr>
                <w:b/>
              </w:rPr>
              <w:t>Stage</w:t>
            </w:r>
          </w:p>
        </w:tc>
        <w:tc>
          <w:tcPr>
            <w:tcW w:type="dxa" w:w="1560"/>
          </w:tcPr>
          <w:p>
            <w:r>
              <w:rPr>
                <w:b/>
              </w:rPr>
              <w:t>Score</w:t>
            </w:r>
          </w:p>
        </w:tc>
        <w:tc>
          <w:tcPr>
            <w:tcW w:type="dxa" w:w="1560"/>
          </w:tcPr>
          <w:p>
            <w:r>
              <w:rPr>
                <w:b/>
              </w:rPr>
              <w:t>CAT I open</w:t>
            </w:r>
          </w:p>
        </w:tc>
        <w:tc>
          <w:tcPr>
            <w:tcW w:type="dxa" w:w="1560"/>
          </w:tcPr>
          <w:p>
            <w:r>
              <w:rPr>
                <w:b/>
              </w:rPr>
              <w:t>CAT II open</w:t>
            </w:r>
          </w:p>
        </w:tc>
      </w:tr>
      <w:tr>
        <w:tc>
          <w:tcPr>
            <w:tcW w:type="dxa" w:w="1560"/>
          </w:tcPr>
          <w:p>
            <w:r>
              <w:t>Lab-DC01</w:t>
            </w:r>
          </w:p>
        </w:tc>
        <w:tc>
          <w:tcPr>
            <w:tcW w:type="dxa" w:w="1560"/>
          </w:tcPr>
          <w:p>
            <w:r>
              <w:t>WS 2022 STIG 2.3.10</w:t>
            </w:r>
          </w:p>
        </w:tc>
        <w:tc>
          <w:tcPr>
            <w:tcW w:type="dxa" w:w="1560"/>
          </w:tcPr>
          <w:p>
            <w:r>
              <w:t>Before -&gt; After-MFA</w:t>
            </w:r>
          </w:p>
        </w:tc>
        <w:tc>
          <w:tcPr>
            <w:tcW w:type="dxa" w:w="1560"/>
          </w:tcPr>
          <w:p>
            <w:r>
              <w:t>44.95% -&gt; 42.66%</w:t>
            </w:r>
          </w:p>
        </w:tc>
        <w:tc>
          <w:tcPr>
            <w:tcW w:type="dxa" w:w="1560"/>
          </w:tcPr>
          <w:p>
            <w:r>
              <w:t>9</w:t>
            </w:r>
          </w:p>
        </w:tc>
        <w:tc>
          <w:tcPr>
            <w:tcW w:type="dxa" w:w="1560"/>
          </w:tcPr>
          <w:p>
            <w:r>
              <w:t>110</w:t>
            </w:r>
          </w:p>
        </w:tc>
      </w:tr>
      <w:tr>
        <w:tc>
          <w:tcPr>
            <w:tcW w:type="dxa" w:w="1560"/>
          </w:tcPr>
          <w:p>
            <w:r>
              <w:t>Lab-Workstation01</w:t>
            </w:r>
          </w:p>
        </w:tc>
        <w:tc>
          <w:tcPr>
            <w:tcW w:type="dxa" w:w="1560"/>
          </w:tcPr>
          <w:p>
            <w:r>
              <w:t>WS 2022 STIG 2.3.10</w:t>
            </w:r>
          </w:p>
        </w:tc>
        <w:tc>
          <w:tcPr>
            <w:tcW w:type="dxa" w:w="1560"/>
          </w:tcPr>
          <w:p>
            <w:r>
              <w:t>Before -&gt; After-MFA</w:t>
            </w:r>
          </w:p>
        </w:tc>
        <w:tc>
          <w:tcPr>
            <w:tcW w:type="dxa" w:w="1560"/>
          </w:tcPr>
          <w:p>
            <w:r>
              <w:t>42.20% -&gt; 42.20%</w:t>
            </w:r>
          </w:p>
        </w:tc>
        <w:tc>
          <w:tcPr>
            <w:tcW w:type="dxa" w:w="1560"/>
          </w:tcPr>
          <w:p>
            <w:r>
              <w:t>9</w:t>
            </w:r>
          </w:p>
        </w:tc>
        <w:tc>
          <w:tcPr>
            <w:tcW w:type="dxa" w:w="1560"/>
          </w:tcPr>
          <w:p>
            <w:r>
              <w:t>111</w:t>
            </w:r>
          </w:p>
        </w:tc>
      </w:tr>
      <w:tr>
        <w:tc>
          <w:tcPr>
            <w:tcW w:type="dxa" w:w="1560"/>
          </w:tcPr>
          <w:p>
            <w:r>
              <w:t>WO02 (physical laptop)</w:t>
            </w:r>
          </w:p>
        </w:tc>
        <w:tc>
          <w:tcPr>
            <w:tcW w:type="dxa" w:w="1560"/>
          </w:tcPr>
          <w:p>
            <w:r>
              <w:t>Win 11 STIG 2.3.9 (MAC-1 Classified)</w:t>
            </w:r>
          </w:p>
        </w:tc>
        <w:tc>
          <w:tcPr>
            <w:tcW w:type="dxa" w:w="1560"/>
          </w:tcPr>
          <w:p>
            <w:r>
              <w:t>After-SmartCard (baseline)</w:t>
            </w:r>
          </w:p>
        </w:tc>
        <w:tc>
          <w:tcPr>
            <w:tcW w:type="dxa" w:w="1560"/>
          </w:tcPr>
          <w:p>
            <w:r>
              <w:t>37.00%</w:t>
            </w:r>
          </w:p>
        </w:tc>
        <w:tc>
          <w:tcPr>
            <w:tcW w:type="dxa" w:w="1560"/>
          </w:tcPr>
          <w:p>
            <w:r>
              <w:t>13</w:t>
            </w:r>
          </w:p>
        </w:tc>
        <w:tc>
          <w:tcPr>
            <w:tcW w:type="dxa" w:w="1560"/>
          </w:tcPr>
          <w:p>
            <w:r>
              <w:t>122</w:t>
            </w:r>
          </w:p>
        </w:tc>
      </w:tr>
    </w:tbl>
    <w:p/>
    <w:p>
      <w:r>
        <w:rPr>
          <w:b/>
        </w:rPr>
        <w:t xml:space="preserve">Interpretation: </w:t>
      </w:r>
      <w:r>
        <w:t>Scores move only slightly between stages because the smart-card hardening phase targeted the Identity authentication pillar (NIST IA-2, IA-5) - not a full STIG hardening pass. WO02 is lower because it scored against a stricter benchmark (Windows 11 STIG, MAC-1 Classified profile, 258 rules) with only the smart card GPO applied; BitLocker, AppLocker, Defender exclusions, and broader Server-class controls are deferred to the next compliance phase.</w:t>
      </w:r>
    </w:p>
    <w:p>
      <w:r>
        <w:rPr>
          <w:b/>
        </w:rPr>
        <w:t xml:space="preserve">What the numbers prove: </w:t>
      </w:r>
      <w:r>
        <w:t>Smart-card enforcement is operational across the entire fleet. Event 4768 with Pre-Auth Type 16 (PKINIT) captured on DC01 confirms certificate-based Kerberos at the protocol level - the headline NIST IA-2(11) evidence regardless of overall STIG score.</w:t>
      </w:r>
    </w:p>
    <w:p>
      <w:r>
        <w:rPr>
          <w:b/>
        </w:rPr>
        <w:t xml:space="preserve">Source: </w:t>
      </w:r>
      <w:r>
        <w:t>Compliance-Reports/After-MFA/ (DC01 + WS01, 2026-05-28) and Compliance-Reports/Laptop/After-SmartCard/2026-06-02_104513/ (WO02). Full HTML reports, XCCDF XML, OVAL/OCIL XML, and STIG Viewer CKL checklists are staged for each scan.</w:t>
      </w:r>
    </w:p>
    <w:sectPr>
      <w:headerReference w:type="default" r:id="rId7"/>
      <w:footerReference w:type="default" r:id="rId8"/>
      <w:headerReference w:type="first" r:id="rId10"/>
      <w:footerReference w:type="first" r:id="rId11"/>
      <w:headerReference w:type="even" r:id="rId12"/>
      <w:footerReference w:type="even"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F7F7F"/>
        <w:sz w:val="18"/>
        <w:szCs w:val="18"/>
      </w:rPr>
    </w:r>
    <w:r>
      <w:rPr>
        <w:color w:val="7F7F7F"/>
        <w:sz w:val="18"/>
        <w:szCs w:val="18"/>
      </w:rPr>
      <w:t xml:space="preserve">	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color w:val="C62828"/>
        <w:sz w:val="18"/>
        <w:szCs w:val="18"/>
      </w:rPr>
      <w:t xml:space="preserve">Federal Upgrade Path - INTERNAL</w:t>
    </w:r>
    <w:r>
      <w:rPr>
        <w:color w:val="7F7F7F"/>
        <w:sz w:val="18"/>
        <w:szCs w:val="18"/>
      </w:rPr>
      <w:t xml:space="preserve">	Learning/Options Reference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60"/>
      <w:outlineLvl w:val="0"/>
    </w:pPr>
    <w:rPr>
      <w:rFonts w:ascii="Arial" w:cs="Arial" w:eastAsia="Arial" w:hAnsi="Arial"/>
      <w:b/>
      <w:bCs/>
      <w:color w:val="1F3A68"/>
      <w:sz w:val="34"/>
      <w:szCs w:val="34"/>
    </w:rPr>
  </w:style>
  <w:style w:type="paragraph" w:styleId="Heading2">
    <w:name w:val="Heading 2"/>
    <w:basedOn w:val="Normal"/>
    <w:next w:val="Normal"/>
    <w:qFormat/>
    <w:pPr>
      <w:spacing w:after="150" w:before="260"/>
      <w:outlineLvl w:val="1"/>
    </w:pPr>
    <w:rPr>
      <w:rFonts w:ascii="Arial" w:cs="Arial" w:eastAsia="Arial" w:hAnsi="Arial"/>
      <w:b/>
      <w:bCs/>
      <w:color w:val="1F3A68"/>
      <w:sz w:val="27"/>
      <w:szCs w:val="2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Upgrade Path (Internal)</dc:title>
  <dc:creator>Glenn Byron</dc:creator>
  <cp:lastModifiedBy>Un-named</cp:lastModifiedBy>
  <cp:revision>1</cp:revision>
  <dcterms:created xsi:type="dcterms:W3CDTF">2026-05-21T17:46:01.733Z</dcterms:created>
  <dcterms:modified xsi:type="dcterms:W3CDTF">2026-05-21T17:46:01.733Z</dcterms:modified>
</cp:coreProperties>
</file>

<file path=docProps/custom.xml><?xml version="1.0" encoding="utf-8"?>
<Properties xmlns="http://schemas.openxmlformats.org/officeDocument/2006/custom-properties" xmlns:vt="http://schemas.openxmlformats.org/officeDocument/2006/docPropsVTypes"/>
</file>