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0"/>
        <w:jc w:val="center"/>
      </w:pPr>
      <w:r>
        <w:rPr>
          <w:rFonts w:ascii="Arial" w:cs="Arial" w:eastAsia="Arial" w:hAnsi="Arial"/>
          <w:b/>
          <w:bCs/>
          <w:color w:val="1F3864"/>
          <w:sz w:val="56"/>
          <w:szCs w:val="56"/>
        </w:rPr>
        <w:t xml:space="preserve">PORTFOLIO SHOWCASE</w:t>
      </w:r>
    </w:p>
    <w:p>
      <w:pPr>
        <w:spacing w:after="0"/>
        <w:jc w:val="center"/>
      </w:pPr>
      <w:r>
        <w:rPr>
          <w:rFonts w:ascii="Arial" w:cs="Arial" w:eastAsia="Arial" w:hAnsi="Arial"/>
          <w:color w:val="2E4057"/>
          <w:sz w:val="36"/>
          <w:szCs w:val="36"/>
        </w:rPr>
        <w:t xml:space="preserve">Enterprise CAC/PIV Identity &amp; Access Management Program</w:t>
      </w:r>
    </w:p>
    <w:p>
      <w:r>
        <w:t xml:space="preserve"/>
      </w:r>
    </w:p>
    <w:p>
      <w:pPr>
        <w:pBdr>
          <w:bottom w:val="single" w:color="C65911" w:sz="12" w:space="1"/>
        </w:pBdr>
        <w:spacing w:after="120"/>
      </w:pPr>
      <w:r>
        <w:t xml:space="preserve"/>
      </w:r>
    </w:p>
    <w:p>
      <w:r>
        <w:t xml:space="preserve"/>
      </w:r>
    </w:p>
    <w:p>
      <w:pPr>
        <w:jc w:val="center"/>
      </w:pPr>
      <w:r>
        <w:rPr>
          <w:rFonts w:ascii="Arial" w:cs="Arial" w:eastAsia="Arial" w:hAnsi="Arial"/>
          <w:b/>
          <w:bCs/>
          <w:color w:val="C65911"/>
          <w:sz w:val="32"/>
          <w:szCs w:val="32"/>
        </w:rPr>
        <w:t xml:space="preserve">Prepared by: Glenn Byron</w:t>
      </w:r>
    </w:p>
    <w:p>
      <w:pPr>
        <w:jc w:val="center"/>
      </w:pPr>
      <w:r>
        <w:rPr>
          <w:rFonts w:ascii="Arial" w:cs="Arial" w:eastAsia="Arial" w:hAnsi="Arial"/>
          <w:color w:val="404040"/>
          <w:sz w:val="24"/>
          <w:szCs w:val="24"/>
        </w:rPr>
        <w:t xml:space="preserve">Identity &amp; Access Management Engineer | PKI Architect | Zero-Trust Implementation</w:t>
      </w:r>
    </w:p>
    <w:p>
      <w:r>
        <w:t xml:space="preserve"/>
      </w:r>
    </w:p>
    <w:p>
      <w:pPr>
        <w:jc w:val="center"/>
      </w:pPr>
      <w:r>
        <w:rPr>
          <w:rFonts w:ascii="Arial" w:cs="Arial" w:eastAsia="Arial" w:hAnsi="Arial"/>
          <w:color w:val="404040"/>
          <w:sz w:val="20"/>
          <w:szCs w:val="20"/>
        </w:rPr>
        <w:t xml:space="preserve">Document ID: SHOW-ICAM-001  |  Revision: 1.0  |  May 2026</w:t>
      </w:r>
    </w:p>
    <w:p>
      <w:r>
        <w:t xml:space="preserve"/>
      </w:r>
    </w:p>
    <w:p>
      <w:pPr>
        <w:pBdr>
          <w:bottom w:val="single" w:color="1F3864" w:sz="12" w:space="1"/>
        </w:pBdr>
        <w:spacing w:after="12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Scope: </w:t>
            </w:r>
            <w:r>
              <w:t xml:space="preserve">This document showcases a self-directed, production-ready engineering program designed to deploy hardware-backed, certificate-based multi-factor authentication at the enterprise level. All architecture, automation, documentation, and regulatory alignment work was designed and built by Glenn Byron as a portfolio demonstration. All organizational identifiers have been replaced with sanitized placeholders per published repository security policy.</w:t>
            </w:r>
          </w:p>
        </w:tc>
      </w:tr>
    </w:tbl>
    <w:p>
      <w:r>
        <w:t xml:space="preserve"/>
      </w:r>
    </w:p>
    <w:p>
      <w:r>
        <w:br w:type="page"/>
      </w:r>
    </w:p>
    <w:p>
      <w:pPr>
        <w:pStyle w:val="Heading1"/>
      </w:pPr>
      <w:r>
        <w:t xml:space="preserve">1. Program Overview</w:t>
      </w:r>
    </w:p>
    <w:p>
      <w:pPr>
        <w:pBdr>
          <w:bottom w:val="single" w:color="1F3864" w:sz="12" w:space="1"/>
        </w:pBdr>
        <w:spacing w:after="120"/>
      </w:pPr>
      <w:r>
        <w:t xml:space="preserve"/>
      </w:r>
    </w:p>
    <w:p>
      <w:r>
        <w:t xml:space="preserve">This program delivers a zero-password, hardware-backed Identity, Credential, and Access Management (ICAM) baseline that adapts the U.S. Department of Defense Common Access Card (CAC) and Federal PIV operating model into a production-ready deployment template for enterprise environments. The architecture is fully operational in a lab configuration and documented for direct organizational adoption.</w:t>
      </w:r>
    </w:p>
    <w:p>
      <w:r>
        <w:t xml:space="preserve"/>
      </w:r>
    </w:p>
    <w:p>
      <w:pPr>
        <w:pStyle w:val="Heading2"/>
      </w:pPr>
      <w:r>
        <w:t xml:space="preserve">1.1 Program Objectives</w:t>
      </w:r>
    </w:p>
    <w:p>
      <w:pPr>
        <w:pStyle w:val="ListParagraph"/>
        <w:numPr>
          <w:ilvl w:val="0"/>
          <w:numId w:val="2"/>
        </w:numPr>
      </w:pPr>
      <w:r>
        <w:t xml:space="preserve">Eliminate password-based interactive logons across all Windows endpoints and VPN tunnels</w:t>
      </w:r>
    </w:p>
    <w:p>
      <w:pPr>
        <w:pStyle w:val="ListParagraph"/>
        <w:numPr>
          <w:ilvl w:val="0"/>
          <w:numId w:val="2"/>
        </w:numPr>
      </w:pPr>
      <w:r>
        <w:t xml:space="preserve">Implement a two-tier Public Key Infrastructure (PKI) anchored by a permanently offline Root Certificate Authority</w:t>
      </w:r>
    </w:p>
    <w:p>
      <w:pPr>
        <w:pStyle w:val="ListParagraph"/>
        <w:numPr>
          <w:ilvl w:val="0"/>
          <w:numId w:val="2"/>
        </w:numPr>
      </w:pPr>
      <w:r>
        <w:t xml:space="preserve">Achieve phishing-resistant, hardware-backed MFA satisfying NIST SP 800-53 IA-2 and CISA Cross-Sector CPG 2.A</w:t>
      </w:r>
    </w:p>
    <w:p>
      <w:pPr>
        <w:pStyle w:val="ListParagraph"/>
        <w:numPr>
          <w:ilvl w:val="0"/>
          <w:numId w:val="2"/>
        </w:numPr>
      </w:pPr>
      <w:r>
        <w:t xml:space="preserve">Produce a clear upgrade roadmap bridging commercial enterprise security posture to full federal FISMA/FedRAMP authorization</w:t>
      </w:r>
    </w:p>
    <w:p>
      <w:pPr>
        <w:pStyle w:val="ListParagraph"/>
        <w:numPr>
          <w:ilvl w:val="0"/>
          <w:numId w:val="2"/>
        </w:numPr>
      </w:pPr>
      <w:r>
        <w:t xml:space="preserve">Demonstrate full compliance traceability to CISA Zero-Trust Maturity Model v2.0, NIST CSF 2.0, and Maryland Senate Bill 871</w:t>
      </w:r>
    </w:p>
    <w:p>
      <w:r>
        <w:t xml:space="preserve"/>
      </w:r>
    </w:p>
    <w:p>
      <w:pPr>
        <w:pStyle w:val="Heading2"/>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Technology</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Role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Directory Services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Microsoft Active Directory (AD)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Identity store; Kerberos PKINIT authentication backbone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Certificate Authority</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Active Directory Certificate Services (AD CS)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Two-tier PKI: Offline Root CA + Enterprise Issuing CA</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Hardware Tokens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CardLogix GIDS Smart Cards / YubiKey 5 Series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Physical MFA credential — non-exportable private key storage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VPN Gateway</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WatchGuard IKEv2 Firewall</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EAP-TLS certificate-based remote access authentication</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Cloud Identity</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Microsoft Entra ID (Azure AD)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FIDO2 WebAuthn for SaaS / M365 phishing-resistant MFA</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Physical Access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PACS Readers (FIPS 201 contactless)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Logical + physical convergence: same token, both domains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Automation</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PowerShell 5.1 / 7.x</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Environment staging, GPO deployment, compliance harvesting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Compliance Scanning</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DISA SCAP Compliance Checker, ACAS / Nessus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Before/after STIG audit trail and vulnerability baseline</w:t>
            </w:r>
          </w:p>
        </w:tc>
      </w:tr>
    </w:tbl>
    <w:p>
      <w:r>
        <w:t xml:space="preserve"/>
      </w:r>
    </w:p>
    <w:p>
      <w:r>
        <w:br w:type="page"/>
      </w:r>
    </w:p>
    <w:p>
      <w:pPr>
        <w:pStyle w:val="Heading1"/>
      </w:pPr>
      <w:r>
        <w:t xml:space="preserve">2. Technical Architecture</w:t>
      </w:r>
    </w:p>
    <w:p>
      <w:pPr>
        <w:pBdr>
          <w:bottom w:val="single" w:color="1F3864" w:sz="12" w:space="1"/>
        </w:pBdr>
        <w:spacing w:after="120"/>
      </w:pPr>
      <w:r>
        <w:t xml:space="preserve"/>
      </w:r>
    </w:p>
    <w:p>
      <w:r>
        <w:t xml:space="preserve">The architecture enforces a zero-password interactive logon topology by mapping cryptographic hardware tokens to verified organizational identities. Trust is anchored by an internally managed, two-tier PKI.</w:t>
      </w:r>
    </w:p>
    <w:p>
      <w:r>
        <w:t xml:space="preserve"/>
      </w:r>
    </w:p>
    <w:p>
      <w:pPr>
        <w:pStyle w:val="Heading2"/>
      </w:pPr>
      <w:r>
        <w:t xml:space="preserve">2.1 PKI Topology</w:t>
      </w:r>
    </w:p>
    <w:p>
      <w:pPr>
        <w:pStyle w:val="ListParagraph"/>
        <w:numPr>
          <w:ilvl w:val="0"/>
          <w:numId w:val="2"/>
        </w:numPr>
      </w:pPr>
      <w:r>
        <w:rPr>
          <w:b/>
          <w:bCs/>
        </w:rPr>
        <w:t xml:space="preserve">Tier 1 — Offline Root CA: </w:t>
      </w:r>
      <w:r>
        <w:t xml:space="preserve">Permanently powered down between signing ceremonies (every 5-10 years). RSA 4096-bit key via Microsoft Software KSP. CRL validity: 6 months. Physical machine or isolated VM on a non-domain hypervisor.</w:t>
      </w:r>
    </w:p>
    <w:p>
      <w:pPr>
        <w:pStyle w:val="ListParagraph"/>
        <w:numPr>
          <w:ilvl w:val="0"/>
          <w:numId w:val="2"/>
        </w:numPr>
      </w:pPr>
      <w:r>
        <w:rPr>
          <w:b/>
          <w:bCs/>
        </w:rPr>
        <w:t xml:space="preserve">Tier 2 — Enterprise Issuing CA: </w:t>
      </w:r>
      <w:r>
        <w:t xml:space="preserve">Domain-joined Active Directory Certificate Services instance. RSA 2048/4096-bit key. Handles automated enrollment, revocation, and high-availability HTTP CRL publishing.</w:t>
      </w:r>
    </w:p>
    <w:p>
      <w:r>
        <w:t xml:space="preserve"/>
      </w:r>
    </w:p>
    <w:p>
      <w:pPr>
        <w:pStyle w:val="Heading2"/>
      </w:pPr>
      <w:r>
        <w:t xml:space="preserve">2.2 Revocation Architecture (WAN Failure Mode Analysis)</w:t>
      </w:r>
    </w:p>
    <w:p>
      <w:r>
        <w:t xml:space="preserve">A critical engineering decision in this program is the strict mandate for HTTP-based CRL Distribution Points (CDPs) over legacy LDAP endpoints. The rationale is documented in the architectural blueprint: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WAN Failure Mode: </w:t>
            </w:r>
            <w:r>
              <w:t xml:space="preserve">Remote sites, DMZ segments, and VPN clients frequently operate under strict port restrictions that block LDAP (TCP/UDP 389). If a domain controller cannot resolve a CRL endpoint, smart card logons fail enterprise-wide. HTTP (TCP 80) CRL files cache natively at client and proxy layers, ensuring authentication survives WAN brownouts without requiring a fallback to passwords.</w:t>
            </w:r>
          </w:p>
        </w:tc>
      </w:tr>
    </w:tbl>
    <w:p>
      <w:r>
        <w:t xml:space="preserve"/>
      </w:r>
    </w:p>
    <w:p>
      <w:pPr>
        <w:pStyle w:val="Heading2"/>
      </w:pPr>
      <w:r>
        <w:t xml:space="preserve">2.3 Authentication Flow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Access Vector</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Protocol</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Credential</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Infrastructure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Windows Interactive Logon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Kerberos PKINIT</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Smart card certificate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Active Directory + AD CS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Remote VPN Tunnel</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EAP-TLS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Machine + user certificate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WatchGuard IKEv2</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Cloud / SaaS (M365)</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FIDO2 WebAuthn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FIDO2 security key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Microsoft Entra ID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Physical Door Access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PACS contactless reader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CHUID on PIV card</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Physical access control system</w:t>
            </w:r>
          </w:p>
        </w:tc>
      </w:tr>
    </w:tbl>
    <w:p>
      <w:r>
        <w:t xml:space="preserve"/>
      </w:r>
    </w:p>
    <w:p>
      <w:pPr>
        <w:pStyle w:val="Heading2"/>
      </w:pPr>
      <w:r>
        <w:t xml:space="preserve">2.4 Separation of Duties (NIST AC-5)</w:t>
      </w:r>
    </w:p>
    <w:p>
      <w:r>
        <w:t xml:space="preserve">The token enrollment cycle strictly separates two administrative roles, enforcing a dual-authorization control that cannot be bypassed:</w:t>
      </w:r>
    </w:p>
    <w:p>
      <w:pPr>
        <w:pStyle w:val="ListParagraph"/>
        <w:numPr>
          <w:ilvl w:val="0"/>
          <w:numId w:val="2"/>
        </w:numPr>
      </w:pPr>
      <w:r>
        <w:t xml:space="preserve">Registration Authority (RA): Verifies legal identity of the employee using two government-issued forms of ID. Sets the authorization flag in Active Directory. Cannot issue tokens.</w:t>
      </w:r>
    </w:p>
    <w:p>
      <w:pPr>
        <w:pStyle w:val="ListParagraph"/>
        <w:numPr>
          <w:ilvl w:val="0"/>
          <w:numId w:val="2"/>
        </w:numPr>
      </w:pPr>
      <w:r>
        <w:t xml:space="preserve">Card Issuer: Executes the technical provisioning script, initializes hardware token, and enforces mandatory PIN change upon first use. Cannot perform identity verification.</w:t>
      </w:r>
    </w:p>
    <w:p>
      <w:r>
        <w:t xml:space="preserve">An administrator is prohibited from acting as both the RA and the Issuer for the same enrollment transaction.</w:t>
      </w:r>
    </w:p>
    <w:p>
      <w:r>
        <w:t xml:space="preserve"/>
      </w:r>
    </w:p>
    <w:p>
      <w:r>
        <w:br w:type="page"/>
      </w:r>
    </w:p>
    <w:p>
      <w:pPr>
        <w:pStyle w:val="Heading1"/>
      </w:pPr>
      <w:r>
        <w:t xml:space="preserve">3. Automation Portfolio</w:t>
      </w:r>
    </w:p>
    <w:p>
      <w:pPr>
        <w:pBdr>
          <w:bottom w:val="single" w:color="1F3864" w:sz="12" w:space="1"/>
        </w:pBdr>
        <w:spacing w:after="120"/>
      </w:pPr>
      <w:r>
        <w:t xml:space="preserve"/>
      </w:r>
    </w:p>
    <w:p>
      <w:r>
        <w:t xml:space="preserve">All automation tooling was custom-engineered from the ground up. No off-the-shelf scripts were used. Each utility addresses a specific operational gap in enterprise CAC/PIV deployments.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Script</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Purpose</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Key Capabilities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Build-CAC-Lab.ps1</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Environment staging orchestrator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Provisions lab parameters on target host; verifies elevated privileges; generates isolated CRL cache file paths; stubs smart card authentication endpoints (NIST IA-2)</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Build-CA-GPO.ps1</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AD CS + GPO deployment engine</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Installs Active Directory Certificate Services as Enterprise Root CA; creates SmartCard-Pilot OU structure; deploys SEC-MFA-SmartCard-Enforcement Group Policy Object with lock-on-removal behavior (AC-11)</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Stage-Reports.ps1</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Compliance audit harvester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Interrogates default SCAP Compliance Checker output directory; isolates most recent scan execution folder; automatically copies and standardizes machine-readable XML and HTML summary files into repository compliance tracking tiers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Scrub-Repo.ps1</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Repository sanitization engine</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Loads replacement patterns from external gitignored .scrub-patterns.local.json file; performs find-and-replace pass across all repository files; supports -WhatIf dry-run preview mode before every push</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.scrub-patterns.example.json</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Sanitization pattern template</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Safe-to-commit template defining structure for proprietary identifier replacement: hostnames, IP ranges, domain names, email addresses, and organizational identifiers</w:t>
            </w:r>
          </w:p>
        </w:tc>
      </w:tr>
    </w:tbl>
    <w:p>
      <w:r>
        <w:t xml:space="preserve"/>
      </w:r>
    </w:p>
    <w:p>
      <w:pPr>
        <w:pStyle w:val="Heading2"/>
      </w:pPr>
      <w:r>
        <w:t xml:space="preserve">3.1 Security Sanitization Pipeline</w:t>
      </w:r>
    </w:p>
    <w:p>
      <w:r>
        <w:t xml:space="preserve">A key engineering challenge in publishing ICAM infrastructure code publicly is preventing accidental disclosure of organizational identifiers. This program implements a mandatory pre-push sanitization workflow: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Run Order: </w:t>
            </w:r>
            <w:r>
              <w:t xml:space="preserve">(1) Copy .scrub-patterns.example.json to .scrub-patterns.local.json and populate with real organizational identifiers. (2) Run .\Scrub-Repo.ps1 -WhatIf to preview all replacements. (3) Confirm output, then run without -WhatIf to apply. (4) Perform standard Git staging and push. The patterns file is gitignored and never enters version history.</w:t>
            </w:r>
          </w:p>
        </w:tc>
      </w:tr>
    </w:tbl>
    <w:p>
      <w:r>
        <w:t xml:space="preserve"/>
      </w:r>
    </w:p>
    <w:p>
      <w:r>
        <w:br w:type="page"/>
      </w:r>
    </w:p>
    <w:p>
      <w:pPr>
        <w:pStyle w:val="Heading1"/>
      </w:pPr>
      <w:r>
        <w:t xml:space="preserve">4. Documentation Portfolio</w:t>
      </w:r>
    </w:p>
    <w:p>
      <w:pPr>
        <w:pBdr>
          <w:bottom w:val="single" w:color="1F3864" w:sz="12" w:space="1"/>
        </w:pBdr>
        <w:spacing w:after="120"/>
      </w:pPr>
      <w:r>
        <w:t xml:space="preserve"/>
      </w:r>
    </w:p>
    <w:p>
      <w:r>
        <w:t xml:space="preserve">Every component of this program is documented to production engineering standards. Documentation was authored concurrently with implementation — not retrofitted afterward.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Document</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Document ID</w:t>
            </w:r>
          </w:p>
        </w:tc>
        <w:tc>
          <w:tcPr>
            <w:tcW w:type="dxa" w:w="4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System Architecture Blueprint</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ARCH-ICAM-001</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Defines the production PKI topology, revocation architecture, hardware token lifecycle, physical access convergence model, and federal compliance gap analysis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Regulatory Alignment Mapping</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ARCH-ICAM-003</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Maps the full CAC/PIV program to CISA ZTMM v2.0, NIST CSF 2.0 (all six functions), CISA Cross-Sector CPGs, and Maryland Senate Bill 871 incident reporting requirements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STIG Hardening Guide</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SOP-ICAM-002</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Step-by-step runbook for downloading authoritative DoD tools (SCAP SCC, ACAS/Nessus), executing before/after compliance audit cycles, and staging results into repository tracking tiers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CAC/PIV Scaling Guide (50-500 Users)</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SCALE-ICAM-001</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Full scaling analysis across three deployment tiers with itemized hardware cost breakdowns, server minimum specifications, TCO estimates, and Offline Root CA hardware repurposing guide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Lab Build Guide</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LAB-ICAM-001</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Step-by-step VM and physical server build procedures for Domain Controller, Offline Root CA, Enterprise Issuing CA, and test client endpoints with IP tables and verification checklists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Compliance-Reports README</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Internal</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Before/after compliance scoring dashboard; documents SCAP STIG scores and ACAS Critical/High vulnerability counts across audit stages</w:t>
            </w:r>
          </w:p>
        </w:tc>
      </w:tr>
    </w:tbl>
    <w:p>
      <w:r>
        <w:t xml:space="preserve"/>
      </w:r>
    </w:p>
    <w:p>
      <w:r>
        <w:br w:type="page"/>
      </w:r>
    </w:p>
    <w:p>
      <w:pPr>
        <w:pStyle w:val="Heading1"/>
      </w:pPr>
      <w:r>
        <w:t xml:space="preserve">5. Compliance &amp; Regulatory Alignment</w:t>
      </w:r>
    </w:p>
    <w:p>
      <w:pPr>
        <w:pBdr>
          <w:bottom w:val="single" w:color="1F3864" w:sz="12" w:space="1"/>
        </w:pBdr>
        <w:spacing w:after="120"/>
      </w:pPr>
      <w:r>
        <w:t xml:space="preserve"/>
      </w:r>
    </w:p>
    <w:p>
      <w:r>
        <w:t xml:space="preserve">This program was designed from day one with full regulatory traceability. Each architectural decision maps to a specific control, capability, or requirement in the frameworks below.</w:t>
      </w:r>
    </w:p>
    <w:p>
      <w:r>
        <w:t xml:space="preserve"/>
      </w:r>
    </w:p>
    <w:p>
      <w:pPr>
        <w:pStyle w:val="Heading2"/>
      </w:pPr>
      <w:r>
        <w:t xml:space="preserve">5.1 NIST SP 800-53 Rev. 5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Control ID</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Control Name</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Implementation</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IA-2</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Identification and Authentication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Hardware-backed cryptographic MFA via smart card / FIDO2 enforced across all endpoints, VPN tunnels, and cloud workloads</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IA-2(11)</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Workstation Access Using Hardware Tokens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Windows native smart card GPO blocks all password-based interactive logon enterprise-wide</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AC-11</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Session Lock</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Group Policy forces immediate interactive session lock within 2 seconds of physical token removal from reader</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AC-5</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Separation of Duties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Strict gatekeeping enforced between Registration Authority (identity verification) and Card Issuer (technical provisioning) roles</w:t>
            </w:r>
          </w:p>
        </w:tc>
      </w:tr>
    </w:tbl>
    <w:p>
      <w:r>
        <w:t xml:space="preserve"/>
      </w:r>
    </w:p>
    <w:p>
      <w:pPr>
        <w:pStyle w:val="Heading2"/>
      </w:pPr>
      <w:r>
        <w:t xml:space="preserve">5.2 CISA Zero-Trust Maturity Model — Identity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ZTMM Capability</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Implementation</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Maturity Stage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Enterprise-wide MFA</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Smart card / FIDO2 enforced via GPO for all interactive and remote logons</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Advanced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Phishing-resistant MFA</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Hardware-backed PIV/CAC certificates — not OTP, push notification, or SMS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Optimal</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Privileged identity management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Separate YubiKey administrative slot; no shared admin credentials</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Advanced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Continuous identity validation</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OCSP real-time revocation; card removal triggers immediate session lock</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Advanced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Identity governance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RA / Card Issuer separation of duties per NIST AC-5</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Advanced</w:t>
            </w:r>
          </w:p>
        </w:tc>
      </w:tr>
    </w:tbl>
    <w:p>
      <w:r>
        <w:t xml:space="preserve"/>
      </w:r>
    </w:p>
    <w:p>
      <w:pPr>
        <w:pStyle w:val="Heading2"/>
      </w:pPr>
      <w:r>
        <w:t xml:space="preserve">5.3 CISA Cross-Sector CPG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240"/>
        <w:gridCol w:w="156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CPG ID</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Goal</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Status</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2.A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Phishing-resistant MFA for all users — hardware PIV/CAC certificate, not OTP</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2.B</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Phishing-resistant MFA for remote access — EAP-TLS on WatchGuard IKEv2 VPN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2.C</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MFA for privileged accounts — separate YubiKey admin slot required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2.D</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MFA for IT systems management — all AD/PKI management requires authenticated admin token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4.A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Separation of privileges — RA / Card Issuer role separation; PKI Admin is not Domain Admin</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4.B</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Revocation capabilities — OCSP real-time revocation; delta CRL published every 1-8 hours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6.A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Incident response plan — documented in Regulatory-Alignment.md Section 4</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6.B</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Incident reporting to authorities — MD Senate Bill 871 §9-2707 reporting procedure documented</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bl>
    <w:p>
      <w:r>
        <w:t xml:space="preserve"/>
      </w:r>
    </w:p>
    <w:p>
      <w:r>
        <w:br w:type="page"/>
      </w:r>
    </w:p>
    <w:p>
      <w:pPr>
        <w:pStyle w:val="Heading1"/>
      </w:pPr>
      <w:r>
        <w:t xml:space="preserve">6. Federal Upgrade Roadmap</w:t>
      </w:r>
    </w:p>
    <w:p>
      <w:pPr>
        <w:pBdr>
          <w:bottom w:val="single" w:color="1F3864" w:sz="12" w:space="1"/>
        </w:pBdr>
        <w:spacing w:after="120"/>
      </w:pPr>
      <w:r>
        <w:t xml:space="preserve"/>
      </w:r>
    </w:p>
    <w:p>
      <w:r>
        <w:t xml:space="preserve">This program is designed with a clear two-baseline model: the Commercial Baseline delivers robust, audit-ready protection for a standard enterprise, while the Federal Upgrade Path documents the specific changes required to achieve full FISMA / FedRAMP authorization. This upgrade path is explicitly documented in the repository and represents one of the program's core differentiators.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Upgrade Area</w:t>
            </w:r>
          </w:p>
        </w:tc>
        <w:tc>
          <w:tcPr>
            <w:tcW w:type="dxa" w:w="3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Commercial Baseline (Implemented)</w:t>
            </w:r>
          </w:p>
        </w:tc>
        <w:tc>
          <w:tcPr>
            <w:tcW w:type="dxa" w:w="3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Federal Target State</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Cryptographic Storage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Software-based Key Storage Provider (KSP) on the Root and Issuing CA host machines</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FIPS 140-2/3 Level 3 validated Hardware Security Module (HSM); CA private keys must never leave the HSM physical boundary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Token Procurement</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Cost-effective commercial COTS tokens: CardLogix GIDS smart cards, HIRSCH uTrust FIDO2 NFC+ keys</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All tokens, readers, and middleware must be sourced from the GSA FIPS 201 Approved Product List (APL) under FIPS 201-3</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Root Trust Federation</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Self-contained corporate PKI tree; trust established via Active Directory NTAuth store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Internal Issuing CA must cross-certify or map to the Federal Common Policy Certificate Authority (FBCA) per NIST SP 800-217</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Derived Credential Issuance</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Secondary tokens issued via in-person RA photo-ID verification at an administrator issuance desk</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Automated self-service kiosk where the user's physical federal PIV card serves as a cryptographic voucher per NIST SP 800-157</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Physical Access</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Commercial LAK-1/LAK-2 PACS readers (card-only / card + PIN)</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GSA APL-sourced PACS readers; federal high-security areas require LAK-3 assurance (biometric + PIN + card)</w:t>
            </w:r>
          </w:p>
        </w:tc>
      </w:tr>
    </w:tbl>
    <w:p>
      <w:r>
        <w:t xml:space="preserve"/>
      </w:r>
    </w:p>
    <w:p>
      <w:r>
        <w:br w:type="page"/>
      </w:r>
    </w:p>
    <w:p>
      <w:pPr>
        <w:pStyle w:val="Heading1"/>
      </w:pPr>
      <w:r>
        <w:t xml:space="preserve">7. Skills Demonstrated</w:t>
      </w:r>
    </w:p>
    <w:p>
      <w:pPr>
        <w:pBdr>
          <w:bottom w:val="single" w:color="1F3864" w:sz="12" w:space="1"/>
        </w:pBdr>
        <w:spacing w:after="120"/>
      </w:pPr>
      <w:r>
        <w:t xml:space="preserve"/>
      </w:r>
    </w:p>
    <w:p>
      <w:r>
        <w:t xml:space="preserve">The following competencies are directly demonstrated by the artifacts in this program. Each entry maps to specific deliverables rather than claimed experience.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Competency Domain</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Demonstrated By</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PKI Design &amp; Implementation</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Two-tier CA topology; RSA 4096 root, 2048/4096 issuing CA; CRL/OCSP/AIA endpoint architecture; HTTP vs. LDAP failure mode analysis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Active Directory Engineering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AD CS installation and configuration; OU design; NTAuth store management; certificate template design for smart card logon</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Group Policy Administration</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SEC-MFA-SmartCard-Enforcement GPO; Interactive Logon: Require Smart Card policy; AC-11 lock-on-removal enforcement (2-second removal trigger)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PowerShell Automation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Build-CAC-Lab.ps1 (environment staging), Build-CA-GPO.ps1 (AD CS + GPO), Stage-Reports.ps1 (compliance harvesting), Scrub-Repo.ps1 (sanitization pipeline)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FIPS 201 / PIV Architecture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Card profile matrix (CardLogix GIDS standard / YubiKey 5 privileged); dual-slot admin separation; derived credential issuance lifecycle; CHUID / PACS integration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Federal Compliance Frameworks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NIST SP 800-53 Rev. 5 control mapping; CISA ZTMM v2.0 maturity staging; CISA CPG gap analysis; NIST CSF 2.0 function mapping; DISA STIG / SCAP audit workflow</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Regulatory Analysis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Maryland Senate Bill 871 analysis; incident reporting procedure design (1-hour / 4-hour / 24-hour / 72-hour severity tiers); FISMA / FedRAMP gap analysis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Zero-Trust Architecture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Identity and Devices pillar implementation per CISA ZTMM; phishing-resistant MFA; continuous validation via OCSP; hardware token binding with non-exportable keys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Repository Security Operations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Pre-push sanitization pipeline (.scrub-patterns.local.json + Scrub-Repo.ps1); .gitignore baseline for PKI artifacts; MIT license; SECURITY.md; AUTHORS.md; MAINTAINER-SETUP.md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Technical Writing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All documentation authored to federal SOP standards: document IDs, framework alignment headers, control citations, before/after compliance dashboards, STIG hardening runbooks</w:t>
            </w:r>
          </w:p>
        </w:tc>
      </w:tr>
    </w:tbl>
    <w:p>
      <w:r>
        <w:t xml:space="preserve"/>
      </w:r>
    </w:p>
    <w:p>
      <w:r>
        <w:br w:type="page"/>
      </w:r>
    </w:p>
    <w:p>
      <w:pPr>
        <w:pStyle w:val="Heading1"/>
      </w:pPr>
      <w:r>
        <w:t xml:space="preserve">8. Portfolio Reference</w:t>
      </w:r>
    </w:p>
    <w:p>
      <w:pPr>
        <w:pBdr>
          <w:bottom w:val="single" w:color="1F3864" w:sz="12" w:space="1"/>
        </w:pBdr>
        <w:spacing w:after="12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Author: </w:t>
            </w:r>
            <w:r>
              <w:t xml:space="preserve">Glenn Byron</w:t>
            </w:r>
          </w:p>
          <w:p>
            <w:r>
              <w:rPr>
                <w:b/>
                <w:bCs/>
                <w:color w:val="1F3864"/>
              </w:rPr>
              <w:t xml:space="preserve">GitHub Repository: </w:t>
            </w:r>
            <w:r>
              <w:t xml:space="preserve">github.com/glennbyron1/CAC-program</w:t>
            </w:r>
          </w:p>
          <w:p>
            <w:r>
              <w:rPr>
                <w:b/>
                <w:bCs/>
                <w:color w:val="1F3864"/>
              </w:rPr>
              <w:t xml:space="preserve">Repository Visibility: </w:t>
            </w:r>
            <w:r>
              <w:t xml:space="preserve">Public — fully sanitized per repository security policy (Scrub-Repo.ps1)</w:t>
            </w:r>
          </w:p>
          <w:p>
            <w:r>
              <w:rPr>
                <w:b/>
                <w:bCs/>
                <w:color w:val="1F3864"/>
              </w:rPr>
              <w:t xml:space="preserve">License: </w:t>
            </w:r>
            <w:r>
              <w:t xml:space="preserve">MIT License — see LICENSE in repository root</w:t>
            </w:r>
          </w:p>
          <w:p>
            <w:r>
              <w:rPr>
                <w:b/>
                <w:bCs/>
                <w:color w:val="1F3864"/>
              </w:rPr>
              <w:t xml:space="preserve">Document ID: </w:t>
            </w:r>
            <w:r>
              <w:t xml:space="preserve">SHOW-ICAM-001 | Revision 1.0 | May 2026</w:t>
            </w:r>
          </w:p>
        </w:tc>
      </w:tr>
    </w:tbl>
    <w:p>
      <w:r>
        <w:t xml:space="preserve"/>
      </w:r>
    </w:p>
    <w:p>
      <w:pPr>
        <w:pStyle w:val="Heading2"/>
      </w:pPr>
      <w:r>
        <w:t xml:space="preserve">8.1 Repository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Directory / File</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Contents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/Architecture/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Blueprint.md (ARCH-ICAM-001), Regulatory-Alignment.md (ARCH-ICAM-003), STIG-Hardening-Guide.md, Federal-Compliance-Upgrade.md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/Automation-Scripts/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Build-CAC-Lab.ps1, Build-CA-GPO.ps1</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/Group-Policy/</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Backed-up GPO templates for smart card enforcement and lock-on-removal behavior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/Templates/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.INF configuration baselines for standalone Root CA and Enterprise Subordinate CA</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/Compliance-Reports/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Before-MFA/ and After-MFA/ SCAP STIG reports and ACAS vulnerability scan results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Scrub-Repo.ps1</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Repository sanitization engine (run before every push)</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Stage-Reports.ps1</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SCAP compliance audit harvesting utility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.scrub-patterns.example.json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Safe-to-commit template for proprietary identifier replacement patterns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.gitignore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Excludes: *.pfx, *.pem, *.key, *.crt, *.vmdk, *.ova, .vscode/, .idea/, *.log, .scrub-patterns.local.json</w:t>
            </w:r>
          </w:p>
        </w:tc>
      </w:tr>
    </w:tbl>
    <w:p>
      <w:r>
        <w:t xml:space="preserve"/>
      </w:r>
    </w:p>
    <w:p>
      <w:pPr>
        <w:pStyle w:val="Heading2"/>
      </w:pPr>
      <w:r>
        <w:t xml:space="preserve">8.2 GitHub Repository Topic Tags</w:t>
      </w:r>
    </w:p>
    <w:p>
      <w:r>
        <w:t xml:space="preserve">identity-management, pki, smart-card, fido2, active-directory, certificate-authority, nist-800-53, fips-201, zero-trust, icam, ad-cs, watchguard, entra-id, powershell, nist-csf, cisa-cpg, regulatory-compliance</w:t>
      </w:r>
    </w:p>
    <w:p>
      <w:r>
        <w:t xml:space="preserve"/>
      </w:r>
    </w:p>
    <w:p>
      <w:pPr>
        <w:pBdr>
          <w:bottom w:val="single" w:color="C65911" w:sz="12" w:space="1"/>
        </w:pBdr>
        <w:spacing w:after="120"/>
      </w:pPr>
      <w:r>
        <w:t xml:space="preserve"/>
      </w:r>
    </w:p>
    <w:p>
      <w:pPr>
        <w:spacing w:before="120"/>
        <w:jc w:val="center"/>
      </w:pPr>
      <w:r>
        <w:t xml:space="preserve">This document is an original work by Glenn Byron. All technical content reflects personally engineered architecture, automation, and documentation. No organizational production data is included. All identifiers use generic placeholders per repository sanitization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pPr>
    <w:r>
      <w:rPr>
        <w:rFonts w:ascii="Arial" w:cs="Arial" w:eastAsia="Arial" w:hAnsi="Arial"/>
        <w:color w:val="404040"/>
        <w:sz w:val="18"/>
        <w:szCs w:val="18"/>
      </w:rPr>
      <w:t xml:space="preserve">Confidential Portfolio Document — Glenn Byron, 2026</w:t>
    </w:r>
    <w:r>
      <w:rPr>
        <w:rFonts w:ascii="Arial" w:cs="Arial" w:eastAsia="Arial" w:hAnsi="Arial"/>
      </w:rPr>
      <w:t xml:space="preserve">	</w:t>
    </w: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pPr>
    <w:r>
      <w:rPr>
        <w:rFonts w:ascii="Arial" w:cs="Arial" w:eastAsia="Arial" w:hAnsi="Arial"/>
        <w:color w:val="404040"/>
        <w:sz w:val="18"/>
        <w:szCs w:val="18"/>
      </w:rPr>
      <w:t xml:space="preserve">Glenn Byron  |  CAC/PIV Identity &amp; Access Management Portfolio</w:t>
    </w:r>
    <w:r>
      <w:rPr>
        <w:rFonts w:ascii="Arial" w:cs="Arial" w:eastAsia="Arial" w:hAnsi="Arial"/>
      </w:rPr>
      <w:t xml:space="preserve">	</w:t>
    </w:r>
    <w:r>
      <w:rPr>
        <w:rFonts w:ascii="Arial" w:cs="Arial" w:eastAsia="Arial" w:hAnsi="Arial"/>
        <w:color w:val="404040"/>
        <w:sz w:val="18"/>
        <w:szCs w:val="18"/>
      </w:rPr>
      <w:t xml:space="preserve">SHOW-ICAM-001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CAC/PIV Program Portfolio Showcase</dc:title>
  <dc:creator>Glenn Byron</dc:creator>
  <dc:description>Enterprise ICAM portfolio showcase by Glenn Byron</dc:description>
  <cp:lastModifiedBy>Un-named</cp:lastModifiedBy>
  <cp:revision>1</cp:revision>
  <dcterms:created xsi:type="dcterms:W3CDTF">2026-05-21T00:46:03.290Z</dcterms:created>
  <dcterms:modified xsi:type="dcterms:W3CDTF">2026-05-21T00:46:03.290Z</dcterms:modified>
</cp:coreProperties>
</file>

<file path=docProps/custom.xml><?xml version="1.0" encoding="utf-8"?>
<Properties xmlns="http://schemas.openxmlformats.org/officeDocument/2006/custom-properties" xmlns:vt="http://schemas.openxmlformats.org/officeDocument/2006/docPropsVTypes"/>
</file>