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sz w:val="36"/>
        </w:rPr>
        <w:t>What is this project, in plain English?</w:t>
      </w:r>
    </w:p>
    <w:p>
      <w:pPr>
        <w:spacing w:after="80"/>
        <w:jc w:val="center"/>
      </w:pPr>
      <w:r>
        <w:rPr>
          <w:rFonts w:ascii="Arial" w:hAnsi="Arial"/>
          <w:b w:val="0"/>
          <w:i/>
          <w:color w:val="555555"/>
          <w:sz w:val="22"/>
        </w:rPr>
        <w:t>A non-technical overview of the CAC/PIV ICAM portfolio</w:t>
      </w:r>
    </w:p>
    <w:p>
      <w:pPr>
        <w:spacing w:after="200"/>
        <w:jc w:val="center"/>
      </w:pPr>
      <w:r>
        <w:rPr>
          <w:rFonts w:ascii="Arial" w:hAnsi="Arial"/>
          <w:b w:val="0"/>
          <w:i w:val="0"/>
          <w:sz w:val="20"/>
        </w:rPr>
        <w:t>Glenn Byron</w:t>
      </w:r>
      <w:r>
        <w:rPr>
          <w:rFonts w:ascii="Arial" w:hAnsi="Arial"/>
          <w:b w:val="0"/>
          <w:i w:val="0"/>
          <w:sz w:val="20"/>
        </w:rPr>
        <w:t xml:space="preserve">   |   gbyron@metcom.org   |   github.com/glennbyron1/CAC-program</w:t>
      </w:r>
    </w:p>
    <w:p>
      <w:pPr>
        <w:spacing w:before="40" w:after="40"/>
        <w:pBdr>
          <w:bottom w:val="single" w:sz="6" w:space="1" w:color="2E75B6"/>
        </w:pBdr>
      </w:pPr>
    </w:p>
    <w:p>
      <w:pPr>
        <w:spacing w:before="240" w:after="120"/>
      </w:pPr>
      <w:r>
        <w:rPr>
          <w:rFonts w:ascii="Arial" w:hAnsi="Arial"/>
          <w:b/>
          <w:color w:val="1F4E79"/>
          <w:sz w:val="28"/>
        </w:rPr>
        <w:t>The 30-second version</w:t>
      </w:r>
    </w:p>
    <w:p>
      <w:pPr>
        <w:spacing w:after="160"/>
      </w:pPr>
      <w:r>
        <w:rPr>
          <w:rFonts w:ascii="Arial" w:hAnsi="Arial"/>
          <w:b w:val="0"/>
          <w:i w:val="0"/>
          <w:sz w:val="22"/>
        </w:rPr>
        <w:t>I built a working model of the same secure login system the U.S. Department of Defense uses, then documented every step so a hiring manager (or an auditor) can see what I did and why. The system replaces passwords with a small physical card or USB token you tap or insert. The card proves who you are using math that’s extremely hard to fake. The whole thing runs in a lab on my own equipment and is published on GitHub for anyone to read.</w:t>
      </w:r>
    </w:p>
    <w:p>
      <w:pPr>
        <w:spacing w:before="240" w:after="120"/>
      </w:pPr>
      <w:r>
        <w:rPr>
          <w:rFonts w:ascii="Arial" w:hAnsi="Arial"/>
          <w:b/>
          <w:color w:val="1F4E79"/>
          <w:sz w:val="28"/>
        </w:rPr>
        <w:t>Why this matters for a federal job</w:t>
      </w:r>
    </w:p>
    <w:p>
      <w:pPr>
        <w:spacing w:after="160"/>
      </w:pPr>
      <w:r>
        <w:rPr>
          <w:rFonts w:ascii="Arial" w:hAnsi="Arial"/>
          <w:b w:val="0"/>
          <w:i w:val="0"/>
          <w:sz w:val="22"/>
        </w:rPr>
        <w:t>Federal agencies are required to move off passwords and onto cards like the CAC (military) or PIV (civilian agencies). That work is everywhere in DoD and federal IT job postings. The trouble is, you usually need experience inside a federal program to get hired into one. This portfolio is my way around that catch-22: I built the same system at home, from scratch, with the same regulations and the same scanning tools the government uses, and I documented the result the way a federal program would.</w:t>
      </w:r>
    </w:p>
    <w:p>
      <w:pPr>
        <w:spacing w:before="240" w:after="120"/>
      </w:pPr>
      <w:r>
        <w:rPr>
          <w:rFonts w:ascii="Arial" w:hAnsi="Arial"/>
          <w:b/>
          <w:color w:val="1F4E79"/>
          <w:sz w:val="28"/>
        </w:rPr>
        <w:t>What I actually built</w:t>
      </w:r>
    </w:p>
    <w:p>
      <w:pPr>
        <w:spacing w:after="80"/>
      </w:pPr>
      <w:r>
        <w:rPr>
          <w:rFonts w:ascii="Arial" w:hAnsi="Arial"/>
          <w:b w:val="0"/>
          <w:i w:val="0"/>
          <w:sz w:val="22"/>
        </w:rPr>
        <w:t>Think of it as a tiny self-contained corporate network on one computer, with everything a real federal site would need:</w:t>
      </w:r>
    </w:p>
    <w:p>
      <w:pPr>
        <w:pStyle w:val="ListBullet"/>
        <w:spacing w:after="40"/>
      </w:pPr>
      <w:r>
        <w:rPr>
          <w:rFonts w:ascii="Arial" w:hAnsi="Arial"/>
          <w:b/>
          <w:i w:val="0"/>
          <w:sz w:val="22"/>
        </w:rPr>
        <w:t xml:space="preserve">A user directory </w:t>
      </w:r>
      <w:r>
        <w:rPr>
          <w:rFonts w:ascii="Arial" w:hAnsi="Arial"/>
          <w:b w:val="0"/>
          <w:i w:val="0"/>
          <w:sz w:val="22"/>
        </w:rPr>
        <w:t>(the master list of who works there).</w:t>
      </w:r>
    </w:p>
    <w:p>
      <w:pPr>
        <w:pStyle w:val="ListBullet"/>
        <w:spacing w:after="40"/>
      </w:pPr>
      <w:r>
        <w:rPr>
          <w:rFonts w:ascii="Arial" w:hAnsi="Arial"/>
          <w:b/>
          <w:i w:val="0"/>
          <w:sz w:val="22"/>
        </w:rPr>
        <w:t xml:space="preserve">A certificate authority </w:t>
      </w:r>
      <w:r>
        <w:rPr>
          <w:rFonts w:ascii="Arial" w:hAnsi="Arial"/>
          <w:b w:val="0"/>
          <w:i w:val="0"/>
          <w:sz w:val="22"/>
        </w:rPr>
        <w:t>(the in-house digital notary that issues the ID cards).</w:t>
      </w:r>
    </w:p>
    <w:p>
      <w:pPr>
        <w:pStyle w:val="ListBullet"/>
        <w:spacing w:after="40"/>
      </w:pPr>
      <w:r>
        <w:rPr>
          <w:rFonts w:ascii="Arial" w:hAnsi="Arial"/>
          <w:b/>
          <w:i w:val="0"/>
          <w:sz w:val="22"/>
        </w:rPr>
        <w:t xml:space="preserve">A physical security token </w:t>
      </w:r>
      <w:r>
        <w:rPr>
          <w:rFonts w:ascii="Arial" w:hAnsi="Arial"/>
          <w:b w:val="0"/>
          <w:i w:val="0"/>
          <w:sz w:val="22"/>
        </w:rPr>
        <w:t>(a YubiKey — a USB device the user carries; the secret never leaves the hardware).</w:t>
      </w:r>
    </w:p>
    <w:p>
      <w:pPr>
        <w:pStyle w:val="ListBullet"/>
        <w:spacing w:after="40"/>
      </w:pPr>
      <w:r>
        <w:rPr>
          <w:rFonts w:ascii="Arial" w:hAnsi="Arial"/>
          <w:b/>
          <w:i w:val="0"/>
          <w:sz w:val="22"/>
        </w:rPr>
        <w:t xml:space="preserve">A locked-down laptop </w:t>
      </w:r>
      <w:r>
        <w:rPr>
          <w:rFonts w:ascii="Arial" w:hAnsi="Arial"/>
          <w:b w:val="0"/>
          <w:i w:val="0"/>
          <w:sz w:val="22"/>
        </w:rPr>
        <w:t>(set to refuse any login that doesn’t come from a recognized card).</w:t>
      </w:r>
    </w:p>
    <w:p>
      <w:pPr>
        <w:pStyle w:val="ListBullet"/>
        <w:spacing w:after="40"/>
      </w:pPr>
      <w:r>
        <w:rPr>
          <w:rFonts w:ascii="Arial" w:hAnsi="Arial"/>
          <w:b/>
          <w:i w:val="0"/>
          <w:sz w:val="22"/>
        </w:rPr>
        <w:t xml:space="preserve">A remote-access VPN </w:t>
      </w:r>
      <w:r>
        <w:rPr>
          <w:rFonts w:ascii="Arial" w:hAnsi="Arial"/>
          <w:b w:val="0"/>
          <w:i w:val="0"/>
          <w:sz w:val="22"/>
        </w:rPr>
        <w:t>(so the same card also gets you in from outside the office).</w:t>
      </w:r>
    </w:p>
    <w:p>
      <w:pPr>
        <w:pStyle w:val="ListBullet"/>
        <w:spacing w:after="40"/>
      </w:pPr>
      <w:r>
        <w:rPr>
          <w:rFonts w:ascii="Arial" w:hAnsi="Arial"/>
          <w:b/>
          <w:i w:val="0"/>
          <w:sz w:val="22"/>
        </w:rPr>
        <w:t xml:space="preserve">Audit and scanning tools </w:t>
      </w:r>
      <w:r>
        <w:rPr>
          <w:rFonts w:ascii="Arial" w:hAnsi="Arial"/>
          <w:b w:val="0"/>
          <w:i w:val="0"/>
          <w:sz w:val="22"/>
        </w:rPr>
        <w:t>(the same ones the Defense Information Systems Agency uses, called STIG and SCAP).</w:t>
      </w:r>
    </w:p>
    <w:p>
      <w:pPr>
        <w:pStyle w:val="ListBullet"/>
        <w:spacing w:after="40"/>
      </w:pPr>
      <w:r>
        <w:rPr>
          <w:rFonts w:ascii="Arial" w:hAnsi="Arial"/>
          <w:b/>
          <w:i w:val="0"/>
          <w:sz w:val="22"/>
        </w:rPr>
        <w:t xml:space="preserve">Automated security hardening </w:t>
      </w:r>
      <w:r>
        <w:rPr>
          <w:rFonts w:ascii="Arial" w:hAnsi="Arial"/>
          <w:b w:val="0"/>
          <w:i w:val="0"/>
          <w:sz w:val="22"/>
        </w:rPr>
        <w:t>(scripts that apply hundreds of government-required settings in a few minutes).</w:t>
      </w:r>
    </w:p>
    <w:p>
      <w:pPr>
        <w:spacing w:after="160" w:before="80"/>
      </w:pPr>
      <w:r>
        <w:rPr>
          <w:rFonts w:ascii="Arial" w:hAnsi="Arial"/>
          <w:b w:val="0"/>
          <w:i w:val="0"/>
          <w:sz w:val="22"/>
        </w:rPr>
        <w:t>Total: about 80 PowerShell automation scripts, 9 written reference documents, and a paper trail (called a POA&amp;M) that tracks every known weakness with a plan to fix it.</w:t>
      </w:r>
    </w:p>
    <w:p>
      <w:pPr>
        <w:spacing w:before="240" w:after="120"/>
      </w:pPr>
      <w:r>
        <w:rPr>
          <w:rFonts w:ascii="Arial" w:hAnsi="Arial"/>
          <w:b/>
          <w:color w:val="1F4E79"/>
          <w:sz w:val="28"/>
        </w:rPr>
        <w:t>The numbers that matter</w:t>
      </w:r>
    </w:p>
    <w:p>
      <w:pPr>
        <w:spacing w:after="160"/>
      </w:pPr>
      <w:r>
        <w:rPr>
          <w:rFonts w:ascii="Arial" w:hAnsi="Arial"/>
          <w:b w:val="0"/>
          <w:i w:val="0"/>
          <w:sz w:val="22"/>
        </w:rPr>
        <w:t>Federal security scans grade a computer on a 0–100 scale against hundreds of mandatory settings. My main lab server started at 44.95%. After I applied the same automated remediation a federal IT team would run, the score climbed to 86.7%. The remaining gap is items I left off on purpose (some would disrupt services I need running for the demo) plus checks that require a human to review them. That kind of honesty about what was done versus what was left for later is itself the federal documentation style — you don’t fake the score, you explain it.</w:t>
      </w:r>
    </w:p>
    <w:p>
      <w:pPr>
        <w:spacing w:before="240" w:after="120"/>
      </w:pPr>
      <w:r>
        <w:rPr>
          <w:rFonts w:ascii="Arial" w:hAnsi="Arial"/>
          <w:b/>
          <w:color w:val="1F4E79"/>
          <w:sz w:val="28"/>
        </w:rPr>
        <w:t>What this proves I can do</w:t>
      </w:r>
    </w:p>
    <w:p>
      <w:pPr>
        <w:pStyle w:val="ListBullet"/>
        <w:spacing w:after="40"/>
      </w:pPr>
      <w:r>
        <w:rPr>
          <w:rFonts w:ascii="Arial" w:hAnsi="Arial"/>
          <w:b/>
          <w:i w:val="0"/>
          <w:sz w:val="22"/>
        </w:rPr>
        <w:t xml:space="preserve">Design a federal-style security program </w:t>
      </w:r>
      <w:r>
        <w:rPr>
          <w:rFonts w:ascii="Arial" w:hAnsi="Arial"/>
          <w:b w:val="0"/>
          <w:i w:val="0"/>
          <w:sz w:val="22"/>
        </w:rPr>
        <w:t>end-to-end, not just one slice of it.</w:t>
      </w:r>
    </w:p>
    <w:p>
      <w:pPr>
        <w:pStyle w:val="ListBullet"/>
        <w:spacing w:after="40"/>
      </w:pPr>
      <w:r>
        <w:rPr>
          <w:rFonts w:ascii="Arial" w:hAnsi="Arial"/>
          <w:b/>
          <w:i w:val="0"/>
          <w:sz w:val="22"/>
        </w:rPr>
        <w:t xml:space="preserve">Write the documentation a federal auditor expects </w:t>
      </w:r>
      <w:r>
        <w:rPr>
          <w:rFonts w:ascii="Arial" w:hAnsi="Arial"/>
          <w:b w:val="0"/>
          <w:i w:val="0"/>
          <w:sz w:val="22"/>
        </w:rPr>
        <w:t>(System Security Plan, Security Assessment Report, POA&amp;M, Risk Acceptance Register).</w:t>
      </w:r>
    </w:p>
    <w:p>
      <w:pPr>
        <w:pStyle w:val="ListBullet"/>
        <w:spacing w:after="40"/>
      </w:pPr>
      <w:r>
        <w:rPr>
          <w:rFonts w:ascii="Arial" w:hAnsi="Arial"/>
          <w:b/>
          <w:i w:val="0"/>
          <w:sz w:val="22"/>
        </w:rPr>
        <w:t xml:space="preserve">Use the federal toolchain </w:t>
      </w:r>
      <w:r>
        <w:rPr>
          <w:rFonts w:ascii="Arial" w:hAnsi="Arial"/>
          <w:b w:val="0"/>
          <w:i w:val="0"/>
          <w:sz w:val="22"/>
        </w:rPr>
        <w:t>(SCAP scanner, STIG Viewer, Nessus, the ansible-lockdown role) the same way a contractor on a real engagement would.</w:t>
      </w:r>
    </w:p>
    <w:p>
      <w:pPr>
        <w:pStyle w:val="ListBullet"/>
        <w:spacing w:after="40"/>
      </w:pPr>
      <w:r>
        <w:rPr>
          <w:rFonts w:ascii="Arial" w:hAnsi="Arial"/>
          <w:b/>
          <w:i w:val="0"/>
          <w:sz w:val="22"/>
        </w:rPr>
        <w:t xml:space="preserve">Automate at scale </w:t>
      </w:r>
      <w:r>
        <w:rPr>
          <w:rFonts w:ascii="Arial" w:hAnsi="Arial"/>
          <w:b w:val="0"/>
          <w:i w:val="0"/>
          <w:sz w:val="22"/>
        </w:rPr>
        <w:t>(80+ scripts; idempotent, parse-checked, version-controlled).</w:t>
      </w:r>
    </w:p>
    <w:p>
      <w:pPr>
        <w:pStyle w:val="ListBullet"/>
        <w:spacing w:after="40"/>
      </w:pPr>
      <w:r>
        <w:rPr>
          <w:rFonts w:ascii="Arial" w:hAnsi="Arial"/>
          <w:b/>
          <w:i w:val="0"/>
          <w:sz w:val="22"/>
        </w:rPr>
        <w:t xml:space="preserve">Tell the honest story </w:t>
      </w:r>
      <w:r>
        <w:rPr>
          <w:rFonts w:ascii="Arial" w:hAnsi="Arial"/>
          <w:b w:val="0"/>
          <w:i w:val="0"/>
          <w:sz w:val="22"/>
        </w:rPr>
        <w:t>about what I designed versus what I deployed — the pattern federal program managers actually want to see.</w:t>
      </w:r>
    </w:p>
    <w:p>
      <w:pPr>
        <w:spacing w:before="240" w:after="120"/>
      </w:pPr>
      <w:r>
        <w:rPr>
          <w:rFonts w:ascii="Arial" w:hAnsi="Arial"/>
          <w:b/>
          <w:color w:val="1F4E79"/>
          <w:sz w:val="28"/>
        </w:rPr>
        <w:t>How to learn more</w:t>
      </w:r>
    </w:p>
    <w:p>
      <w:pPr>
        <w:spacing w:after="80"/>
      </w:pPr>
      <w:r>
        <w:rPr>
          <w:rFonts w:ascii="Arial" w:hAnsi="Arial"/>
          <w:b w:val="0"/>
          <w:i w:val="0"/>
          <w:sz w:val="22"/>
        </w:rPr>
        <w:t>The full project lives at github.com/glennbyron1/CAC-program. Three good starting points if you want to dig in:</w:t>
      </w:r>
    </w:p>
    <w:p>
      <w:pPr>
        <w:pStyle w:val="ListBullet"/>
        <w:spacing w:after="40"/>
      </w:pPr>
      <w:r>
        <w:rPr>
          <w:rFonts w:ascii="Arial" w:hAnsi="Arial"/>
          <w:b/>
          <w:i w:val="0"/>
          <w:sz w:val="22"/>
        </w:rPr>
        <w:t xml:space="preserve">README.md </w:t>
      </w:r>
      <w:r>
        <w:rPr>
          <w:rFonts w:ascii="Arial" w:hAnsi="Arial"/>
          <w:b w:val="0"/>
          <w:i w:val="0"/>
          <w:sz w:val="22"/>
        </w:rPr>
        <w:t>— the technical overview at the top of the repository.</w:t>
      </w:r>
    </w:p>
    <w:p>
      <w:pPr>
        <w:pStyle w:val="ListBullet"/>
        <w:spacing w:after="40"/>
      </w:pPr>
      <w:r>
        <w:rPr>
          <w:rFonts w:ascii="Arial" w:hAnsi="Arial"/>
          <w:b/>
          <w:i w:val="0"/>
          <w:sz w:val="22"/>
        </w:rPr>
        <w:t xml:space="preserve">Portfolio/CAC-Program-Showcase-GlennByron.docx </w:t>
      </w:r>
      <w:r>
        <w:rPr>
          <w:rFonts w:ascii="Arial" w:hAnsi="Arial"/>
          <w:b w:val="0"/>
          <w:i w:val="0"/>
          <w:sz w:val="22"/>
        </w:rPr>
        <w:t>— the formal, federal-style program write-up.</w:t>
      </w:r>
    </w:p>
    <w:p>
      <w:pPr>
        <w:pStyle w:val="ListBullet"/>
        <w:spacing w:after="40"/>
      </w:pPr>
      <w:r>
        <w:rPr>
          <w:rFonts w:ascii="Arial" w:hAnsi="Arial"/>
          <w:b/>
          <w:i w:val="0"/>
          <w:sz w:val="22"/>
        </w:rPr>
        <w:t xml:space="preserve">Compliance-Reports/ </w:t>
      </w:r>
      <w:r>
        <w:rPr>
          <w:rFonts w:ascii="Arial" w:hAnsi="Arial"/>
          <w:b w:val="0"/>
          <w:i w:val="0"/>
          <w:sz w:val="22"/>
        </w:rPr>
        <w:t>— the actual scan results showing the 44.95% → 86.7% climb, with the raw evidence files preserved.</w:t>
      </w:r>
    </w:p>
    <w:p>
      <w:pPr>
        <w:spacing w:after="40" w:before="160"/>
      </w:pPr>
      <w:r>
        <w:rPr>
          <w:rFonts w:ascii="Arial" w:hAnsi="Arial"/>
          <w:b w:val="0"/>
          <w:i w:val="0"/>
          <w:sz w:val="22"/>
        </w:rPr>
        <w:t xml:space="preserve"> </w:t>
      </w:r>
    </w:p>
    <w:p>
      <w:pPr>
        <w:spacing w:before="40" w:after="40"/>
        <w:pBdr>
          <w:bottom w:val="single" w:sz="6" w:space="1" w:color="2E75B6"/>
        </w:pBdr>
      </w:pPr>
    </w:p>
    <w:p>
      <w:pPr>
        <w:spacing w:after="0" w:before="80"/>
        <w:jc w:val="center"/>
      </w:pPr>
      <w:r>
        <w:rPr>
          <w:rFonts w:ascii="Arial" w:hAnsi="Arial"/>
          <w:b w:val="0"/>
          <w:i/>
          <w:color w:val="555555"/>
          <w:sz w:val="22"/>
        </w:rPr>
        <w:t>Happy to walk through any of this in conversation — in plain English, in technical depth, or anywhere in between.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