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i w:val="0"/>
          <w:color w:val="1B355E"/>
          <w:sz w:val="56"/>
        </w:rPr>
        <w:t>Zero Trust Architecture</w:t>
      </w:r>
    </w:p>
    <w:p>
      <w:pPr>
        <w:spacing w:after="40"/>
      </w:pPr>
      <w:r>
        <w:rPr>
          <w:b w:val="0"/>
          <w:i w:val="0"/>
          <w:color w:val="606070"/>
          <w:sz w:val="26"/>
        </w:rPr>
        <w:t>A Four-Paper Reference Series for Defense IT Practitioners</w:t>
      </w:r>
    </w:p>
    <w:p>
      <w:r>
        <w:rPr>
          <w:b w:val="0"/>
          <w:i/>
          <w:color w:val="606070"/>
          <w:sz w:val="18"/>
        </w:rPr>
        <w:t>Author: Glenn Byron   |   NIST SP 800-207 · DoD ZT Strategy · CISA ZTMM v2.0</w:t>
      </w:r>
    </w:p>
    <w:p>
      <w:pPr>
        <w:spacing w:before="0" w:after="0"/>
        <w:pBdr>
          <w:bottom w:val="single" w:sz="6" w:space="1" w:color="1B355E"/>
        </w:pBdr>
      </w:pPr>
    </w:p>
    <w:p>
      <w:pPr>
        <w:spacing w:before="160" w:after="240"/>
      </w:pPr>
      <w:r>
        <w:rPr>
          <w:b w:val="0"/>
          <w:i w:val="0"/>
          <w:sz w:val="21"/>
        </w:rPr>
        <w:t>This document compiles four papers on Zero Trust Architecture written as a practitioner reference for defense IT environments — particularly those supporting DoD programs where NIST SP 800-207, the DoD Zero Trust Strategy (FY2027 mandate), and CISA ZTMM v2.0 govern security architecture. It concludes with a gap analysis of the CAC/PIV smart-card program against full Zero Trust requirements.</w:t>
      </w:r>
    </w:p>
    <w:p>
      <w:pPr>
        <w:spacing w:before="0" w:after="0"/>
        <w:pBdr>
          <w:bottom w:val="single" w:sz="6" w:space="1" w:color="1B355E"/>
        </w:pBdr>
      </w:pPr>
    </w:p>
    <w:p>
      <w:pPr>
        <w:spacing w:before="280" w:after="80"/>
      </w:pPr>
      <w:r>
        <w:rPr>
          <w:b/>
          <w:i w:val="0"/>
          <w:color w:val="1B355E"/>
          <w:sz w:val="32"/>
        </w:rPr>
        <w:t>Paper 1 — Foundations</w:t>
      </w:r>
    </w:p>
    <w:p>
      <w:pPr>
        <w:spacing w:before="160" w:after="80"/>
      </w:pPr>
      <w:r>
        <w:rPr>
          <w:b/>
          <w:i w:val="0"/>
          <w:color w:val="1B355E"/>
          <w:sz w:val="26"/>
        </w:rPr>
        <w:t>The shift away from the perimeter</w:t>
      </w:r>
    </w:p>
    <w:p>
      <w:pPr>
        <w:spacing w:before="0" w:after="120"/>
      </w:pPr>
      <w:r>
        <w:rPr>
          <w:b w:val="0"/>
          <w:i w:val="0"/>
          <w:sz w:val="21"/>
        </w:rPr>
        <w:t>Traditional network security granted implicit trust to everything inside the perimeter. Zero Trust discards that model. Its governing assumption: the network is already breached. No actor — human or machine, internal or external — should be trusted by default. Foundational standard: NIST SP 800-207 (2020). Principle: never trust, always verify.</w:t>
      </w:r>
    </w:p>
    <w:p>
      <w:pPr>
        <w:spacing w:before="160" w:after="80"/>
      </w:pPr>
      <w:r>
        <w:rPr>
          <w:b/>
          <w:i w:val="0"/>
          <w:color w:val="1B355E"/>
          <w:sz w:val="26"/>
        </w:rPr>
        <w:t>The core decision flow</w:t>
      </w:r>
    </w:p>
    <w:p>
      <w:pPr>
        <w:spacing w:before="0" w:after="120"/>
      </w:pPr>
      <w:r>
        <w:rPr>
          <w:b w:val="0"/>
          <w:i w:val="0"/>
          <w:sz w:val="21"/>
        </w:rPr>
        <w:t>Every request passes through the same pipeline regardless of whether the subject is a user, workstation, server, or service:</w:t>
      </w:r>
    </w:p>
    <w:p>
      <w:pPr>
        <w:spacing w:before="0" w:after="120"/>
      </w:pPr>
      <w:r>
        <w:rPr>
          <w:b w:val="0"/>
          <w:i w:val="0"/>
          <w:sz w:val="21"/>
        </w:rPr>
        <w:t>SUBJECT → request → POLICY ENFORCEMENT POINT (PEP) → Policy Decision Point (PDP) → allow/deny/step-up → RESOURCE</w:t>
      </w:r>
    </w:p>
    <w:p>
      <w:pPr>
        <w:spacing w:before="0" w:after="120"/>
      </w:pPr>
      <w:r>
        <w:rPr>
          <w:b w:val="0"/>
          <w:i w:val="0"/>
          <w:sz w:val="21"/>
        </w:rPr>
        <w:t>The PDP = Policy Engine (decision logic) + Policy Administrator (executes decisions, issues tokens, instructs the PEP). There are no exceptions for "internal" traffic. Every server-to-server connection must also pass through this pipeline.</w:t>
      </w:r>
    </w:p>
    <w:p>
      <w:pPr>
        <w:spacing w:before="160" w:after="80"/>
      </w:pPr>
      <w:r>
        <w:rPr>
          <w:b/>
          <w:i w:val="0"/>
          <w:color w:val="1B355E"/>
          <w:sz w:val="26"/>
        </w:rPr>
        <w:t>The seven NIST tenets</w:t>
      </w:r>
    </w:p>
    <w:p>
      <w:pPr>
        <w:spacing w:before="0" w:after="120"/>
      </w:pPr>
      <w:r>
        <w:rPr>
          <w:b w:val="0"/>
          <w:i w:val="0"/>
          <w:sz w:val="21"/>
        </w:rPr>
        <w:t>(1) All data sources and computing services are resources. (2) All communication is secured regardless of network location. (3) Access to individual resources is granted per session. (4) Access is determined by dynamic policy. (5) The enterprise monitors and measures the integrity and security posture of all assets. (6) All resource authentication and authorization are dynamic and strictly enforced before access. (7) The enterprise collects as much data as possible about asset, network, and communication state.</w:t>
      </w:r>
    </w:p>
    <w:p>
      <w:pPr>
        <w:spacing w:before="160" w:after="80"/>
      </w:pPr>
      <w:r>
        <w:rPr>
          <w:b/>
          <w:i w:val="0"/>
          <w:color w:val="1B355E"/>
          <w:sz w:val="26"/>
        </w:rPr>
        <w:t>The pillars</w:t>
      </w:r>
    </w:p>
    <w:p>
      <w:pPr>
        <w:spacing w:before="0" w:after="120"/>
      </w:pPr>
      <w:r>
        <w:rPr>
          <w:b w:val="0"/>
          <w:i w:val="0"/>
          <w:sz w:val="21"/>
        </w:rPr>
        <w:t>DoD Zero Trust Strategy — 7 pillars (User, Device, Applications &amp; Workloads, Data, Network &amp; Environment, Automation &amp; Orchestration, Visibility &amp; Analytics). 152 activities; 91 Target Level required by FY2027.</w:t>
      </w:r>
    </w:p>
    <w:p>
      <w:pPr>
        <w:spacing w:before="0" w:after="120"/>
      </w:pPr>
      <w:r>
        <w:rPr>
          <w:b w:val="0"/>
          <w:i w:val="0"/>
          <w:sz w:val="21"/>
        </w:rPr>
        <w:t>CISA ZTMM — 5 pillars + 3 cross-cutting capabilities. Four maturity stages: Traditional → Initial → Advanced → Optimal.</w:t>
      </w:r>
    </w:p>
    <w:p>
      <w:pPr>
        <w:spacing w:before="0" w:after="0"/>
        <w:pBdr>
          <w:bottom w:val="single" w:sz="6" w:space="1" w:color="0E6E6B"/>
        </w:pBdr>
      </w:pPr>
    </w:p>
    <w:p>
      <w:pPr>
        <w:spacing w:before="280" w:after="80"/>
      </w:pPr>
      <w:r>
        <w:rPr>
          <w:b/>
          <w:i w:val="0"/>
          <w:color w:val="0E6E6B"/>
          <w:sz w:val="32"/>
        </w:rPr>
        <w:t>Paper 2 — Technical Deep Dive</w:t>
      </w:r>
    </w:p>
    <w:p>
      <w:pPr>
        <w:spacing w:before="160" w:after="80"/>
      </w:pPr>
      <w:r>
        <w:rPr>
          <w:b/>
          <w:i w:val="0"/>
          <w:color w:val="0E6E6B"/>
          <w:sz w:val="26"/>
        </w:rPr>
        <w:t>NIST logical components</w:t>
      </w:r>
    </w:p>
    <w:p>
      <w:pPr>
        <w:spacing w:before="0" w:after="120"/>
      </w:pPr>
      <w:r>
        <w:rPr>
          <w:b w:val="0"/>
          <w:i w:val="0"/>
          <w:sz w:val="21"/>
        </w:rPr>
        <w:t>Policy Engine: runs the trust algorithm, produces grant/deny/revoke. Policy Administrator: executes decisions, issues tokens, instructs the PEP. Policy Enforcement Point: sits in the data path in front of each resource; enables, monitors, and terminates connections. Data sources feeding the PE: ICAM/IdP, enterprise PKI, CDM (device posture), threat intel, telemetry, SIEM, data access policy.</w:t>
      </w:r>
    </w:p>
    <w:p>
      <w:pPr>
        <w:spacing w:before="160" w:after="80"/>
      </w:pPr>
      <w:r>
        <w:rPr>
          <w:b/>
          <w:i w:val="0"/>
          <w:color w:val="0E6E6B"/>
          <w:sz w:val="26"/>
        </w:rPr>
        <w:t>The trust algorithm</w:t>
      </w:r>
    </w:p>
    <w:p>
      <w:pPr>
        <w:spacing w:before="0" w:after="120"/>
      </w:pPr>
      <w:r>
        <w:rPr>
          <w:b w:val="0"/>
          <w:i w:val="0"/>
          <w:sz w:val="21"/>
        </w:rPr>
        <w:t>Criteria-based: fixed qualifications must be met — predictable, easier to audit. Score-based: weighted signals produce a confidence/risk score — more adaptive, supports step-up. Singular: each request judged in isolation. Contextual: the engine considers history and behavior — enables true continuous, behavior-aware authorization. Mature implementations are score-based and contextual.</w:t>
      </w:r>
    </w:p>
    <w:p>
      <w:pPr>
        <w:spacing w:before="160" w:after="80"/>
      </w:pPr>
      <w:r>
        <w:rPr>
          <w:b/>
          <w:i w:val="0"/>
          <w:color w:val="0E6E6B"/>
          <w:sz w:val="26"/>
        </w:rPr>
        <w:t>Microsegmentation and east-west traffic</w:t>
      </w:r>
    </w:p>
    <w:p>
      <w:pPr>
        <w:spacing w:before="0" w:after="120"/>
      </w:pPr>
      <w:r>
        <w:rPr>
          <w:b w:val="0"/>
          <w:i w:val="0"/>
          <w:sz w:val="21"/>
        </w:rPr>
        <w:t>Microsegmentation isolates individual workloads so each can only talk to the specific peers it legitimately needs — policy expressed by identity and workload, not IP/subnet. The payoff: lateral movement becomes impossible by default. A compromised host can only reach its narrowly defined neighbors, and every connection still demands authentication.</w:t>
      </w:r>
    </w:p>
    <w:p>
      <w:pPr>
        <w:spacing w:before="160" w:after="80"/>
      </w:pPr>
      <w:r>
        <w:rPr>
          <w:b/>
          <w:i w:val="0"/>
          <w:color w:val="0E6E6B"/>
          <w:sz w:val="26"/>
        </w:rPr>
        <w:t>Workload identity (server-to-server)</w:t>
      </w:r>
    </w:p>
    <w:p>
      <w:pPr>
        <w:spacing w:before="0" w:after="120"/>
      </w:pPr>
      <w:r>
        <w:rPr>
          <w:b w:val="0"/>
          <w:i w:val="0"/>
          <w:sz w:val="21"/>
        </w:rPr>
        <w:t>Mutual TLS (mTLS): both ends present and verify certificates — every east-west call authenticated and encrypted. SPIFFE/SPIRE: open framework issuing short-lived SVID certificates so services authenticate by who they are, not where they run. Service mesh: enforces mTLS and policy transparently. Short-lived credentials: issued for minutes/hours and auto-rotated.</w:t>
      </w:r>
    </w:p>
    <w:p>
      <w:pPr>
        <w:spacing w:before="0" w:after="0"/>
        <w:pBdr>
          <w:bottom w:val="single" w:sz="6" w:space="1" w:color="1B355E"/>
        </w:pBdr>
      </w:pPr>
    </w:p>
    <w:p>
      <w:pPr>
        <w:spacing w:before="280" w:after="80"/>
      </w:pPr>
      <w:r>
        <w:rPr>
          <w:b/>
          <w:i w:val="0"/>
          <w:color w:val="1B355E"/>
          <w:sz w:val="32"/>
        </w:rPr>
        <w:t>Paper 3 — Implementation Checklist</w:t>
      </w:r>
    </w:p>
    <w:p>
      <w:pPr>
        <w:spacing w:before="160" w:after="80"/>
      </w:pPr>
      <w:r>
        <w:rPr>
          <w:b/>
          <w:i w:val="0"/>
          <w:color w:val="1B355E"/>
          <w:sz w:val="26"/>
        </w:rPr>
        <w:t>Foundation</w:t>
      </w:r>
    </w:p>
    <w:p>
      <w:pPr>
        <w:spacing w:before="0" w:after="120"/>
      </w:pPr>
      <w:r>
        <w:rPr>
          <w:b w:val="0"/>
          <w:i w:val="0"/>
          <w:sz w:val="21"/>
        </w:rPr>
        <w:t>Inventory everything. Find the protect surface. Map transaction flows. Pick a reference framework (NIST 800-207, CISA ZTMM, DoD ZT Strategy). Run a maturity assessment per pillar. Build a phased roadmap (DoD: Target Level by FY2027). Establish governance and define metrics.</w:t>
      </w:r>
    </w:p>
    <w:p>
      <w:pPr>
        <w:spacing w:before="160" w:after="80"/>
      </w:pPr>
      <w:r>
        <w:rPr>
          <w:b/>
          <w:i w:val="0"/>
          <w:color w:val="1B355E"/>
          <w:sz w:val="26"/>
        </w:rPr>
        <w:t>Identity / User</w:t>
      </w:r>
    </w:p>
    <w:p>
      <w:pPr>
        <w:spacing w:before="0" w:after="120"/>
      </w:pPr>
      <w:r>
        <w:rPr>
          <w:b w:val="0"/>
          <w:i w:val="0"/>
          <w:sz w:val="21"/>
        </w:rPr>
        <w:t>Centralize to an authoritative IdP. Enforce phishing-resistant MFA (PKI/CAC or FIDO2 — not SMS). Eliminate shared/local accounts. Implement RBAC/ABAC with least privilege. Bring NPEs under management. Deploy PAM: no standing admin, JIT elevation, session recording. Enable conditional access. Add UEBA risk scoring. Implement continuous authentication.</w:t>
      </w:r>
    </w:p>
    <w:p>
      <w:pPr>
        <w:spacing w:before="160" w:after="80"/>
      </w:pPr>
      <w:r>
        <w:rPr>
          <w:b/>
          <w:i w:val="0"/>
          <w:color w:val="1B355E"/>
          <w:sz w:val="26"/>
        </w:rPr>
        <w:t>Devices, Networks, Apps, Data</w:t>
      </w:r>
    </w:p>
    <w:p>
      <w:pPr>
        <w:spacing w:before="0" w:after="120"/>
      </w:pPr>
      <w:r>
        <w:rPr>
          <w:b w:val="0"/>
          <w:i w:val="0"/>
          <w:sz w:val="21"/>
        </w:rPr>
        <w:t>Devices: authoritative inventory; TPM-backed device identity; MDM + EDR; comply-to-connect posture checks.</w:t>
      </w:r>
    </w:p>
    <w:p>
      <w:pPr>
        <w:spacing w:before="0" w:after="120"/>
      </w:pPr>
      <w:r>
        <w:rPr>
          <w:b w:val="0"/>
          <w:i w:val="0"/>
          <w:sz w:val="21"/>
        </w:rPr>
        <w:t>Networks: encrypt all traffic including east-west; microsegment down to the workload; adopt ZTNA (replace broad VPN with per-application identity-aware access); PEP in front of everything; default-deny.</w:t>
      </w:r>
    </w:p>
    <w:p>
      <w:pPr>
        <w:spacing w:before="0" w:after="120"/>
      </w:pPr>
      <w:r>
        <w:rPr>
          <w:b w:val="0"/>
          <w:i w:val="0"/>
          <w:sz w:val="21"/>
        </w:rPr>
        <w:t>Applications: issue workload identities; enforce mTLS; integrate DevSecOps (SAST/DAST, SBOM, signed artifacts); kill long-lived secrets.</w:t>
      </w:r>
    </w:p>
    <w:p>
      <w:pPr>
        <w:spacing w:before="0" w:after="120"/>
      </w:pPr>
      <w:r>
        <w:rPr>
          <w:b w:val="0"/>
          <w:i w:val="0"/>
          <w:sz w:val="21"/>
        </w:rPr>
        <w:t>Data: discover and classify; encrypt at rest and in transit; tie access to dynamic policy at the data-object level; deploy DLP.</w:t>
      </w:r>
    </w:p>
    <w:p>
      <w:pPr>
        <w:spacing w:before="0" w:after="0"/>
        <w:pBdr>
          <w:bottom w:val="single" w:sz="6" w:space="1" w:color="0E6E6B"/>
        </w:pBdr>
      </w:pPr>
    </w:p>
    <w:p>
      <w:pPr>
        <w:spacing w:before="280" w:after="80"/>
      </w:pPr>
      <w:r>
        <w:rPr>
          <w:b/>
          <w:i w:val="0"/>
          <w:color w:val="0E6E6B"/>
          <w:sz w:val="32"/>
        </w:rPr>
        <w:t>Paper 4 — Detailed Guidance</w:t>
      </w:r>
    </w:p>
    <w:p>
      <w:pPr>
        <w:spacing w:before="160" w:after="80"/>
      </w:pPr>
      <w:r>
        <w:rPr>
          <w:b/>
          <w:i w:val="0"/>
          <w:color w:val="0E6E6B"/>
          <w:sz w:val="26"/>
        </w:rPr>
        <w:t>Identity — what good looks like</w:t>
      </w:r>
    </w:p>
    <w:p>
      <w:pPr>
        <w:spacing w:before="0" w:after="120"/>
      </w:pPr>
      <w:r>
        <w:rPr>
          <w:b w:val="0"/>
          <w:i w:val="0"/>
          <w:sz w:val="21"/>
        </w:rPr>
        <w:t>Initial: MFA deployed, central IdP. Advanced: least privilege enforced, PAM in place, conditional access with device context. Optimal: continuous behavior-aware authentication, automated real-time revocation, NPEs fully managed with short-lived credentials.</w:t>
      </w:r>
    </w:p>
    <w:p>
      <w:pPr>
        <w:spacing w:before="0" w:after="120"/>
      </w:pPr>
      <w:r>
        <w:rPr>
          <w:b w:val="0"/>
          <w:i w:val="0"/>
          <w:sz w:val="21"/>
        </w:rPr>
        <w:t>Common pitfalls: MFA exceptions that become the norm; orphaned accounts after offboarding; service accounts with domain-admin rights and a years-old password.</w:t>
      </w:r>
    </w:p>
    <w:p>
      <w:pPr>
        <w:spacing w:before="160" w:after="80"/>
      </w:pPr>
      <w:r>
        <w:rPr>
          <w:b/>
          <w:i w:val="0"/>
          <w:color w:val="0E6E6B"/>
          <w:sz w:val="26"/>
        </w:rPr>
        <w:t>Devices and Networks — what good looks like</w:t>
      </w:r>
    </w:p>
    <w:p>
      <w:pPr>
        <w:spacing w:before="0" w:after="120"/>
      </w:pPr>
      <w:r>
        <w:rPr>
          <w:b w:val="0"/>
          <w:i w:val="0"/>
          <w:sz w:val="21"/>
        </w:rPr>
        <w:t>Devices — Initial: MDM and EDR deployed, basic inventory. Advanced: posture checks gate access, device identity is cryptographic. Optimal: continuous posture feeds dynamic policy; non-compliant devices isolated automatically.</w:t>
      </w:r>
    </w:p>
    <w:p>
      <w:pPr>
        <w:spacing w:before="0" w:after="120"/>
      </w:pPr>
      <w:r>
        <w:rPr>
          <w:b w:val="0"/>
          <w:i w:val="0"/>
          <w:sz w:val="21"/>
        </w:rPr>
        <w:t>Networks — Initial: macrosegmentation, encrypted external traffic. Advanced: microsegmentation around protect surfaces, ZTNA replacing VPN, east-west encryption. Optimal: dynamic identity-based segmentation everywhere with automated policy.</w:t>
      </w:r>
    </w:p>
    <w:p>
      <w:pPr>
        <w:spacing w:before="160" w:after="80"/>
      </w:pPr>
      <w:r>
        <w:rPr>
          <w:b/>
          <w:i w:val="0"/>
          <w:color w:val="0E6E6B"/>
          <w:sz w:val="26"/>
        </w:rPr>
        <w:t>The closing principle</w:t>
      </w:r>
    </w:p>
    <w:p>
      <w:pPr>
        <w:spacing w:before="0" w:after="120"/>
      </w:pPr>
      <w:r>
        <w:rPr>
          <w:b w:val="0"/>
          <w:i w:val="0"/>
          <w:sz w:val="21"/>
        </w:rPr>
        <w:t>Every actor is an untrusted subject. Every resource sits behind an enforcement point. Every request is decided dynamically by a Policy Engine fed by identity, device, network, application, and data signals. Access is least-privilege and per-session. The whole loop is continuously monitored and automated.</w:t>
      </w:r>
    </w:p>
    <w:p>
      <w:pPr>
        <w:spacing w:before="0" w:after="120"/>
      </w:pPr>
      <w:r>
        <w:rPr>
          <w:b w:val="0"/>
          <w:i w:val="0"/>
          <w:sz w:val="21"/>
        </w:rPr>
        <w:t>A weakness in any single pillar undermines the entire architecture. Start with one high-value protect surface, take it to your target maturity end-to-end, prove the model, and expand.</w:t>
      </w:r>
    </w:p>
    <w:p>
      <w:pPr>
        <w:spacing w:before="0" w:after="0"/>
        <w:pBdr>
          <w:bottom w:val="single" w:sz="6" w:space="1" w:color="1B355E"/>
        </w:pBdr>
      </w:pPr>
    </w:p>
    <w:p>
      <w:pPr>
        <w:spacing w:before="280" w:after="80"/>
      </w:pPr>
      <w:r>
        <w:rPr>
          <w:b/>
          <w:i w:val="0"/>
          <w:color w:val="1B355E"/>
          <w:sz w:val="32"/>
        </w:rPr>
        <w:t>CAC/PIV Program — Zero Trust Gap Analysis</w:t>
      </w:r>
    </w:p>
    <w:p>
      <w:pPr>
        <w:spacing w:before="0" w:after="120"/>
      </w:pPr>
      <w:r>
        <w:rPr>
          <w:b w:val="0"/>
          <w:i w:val="0"/>
          <w:sz w:val="21"/>
        </w:rPr>
        <w:t>This program is an Advanced-to-Optimal implementation of the authentication leg of the Identity pillar: in-person proofing, hardware-bound certificates, password eliminated, offline root CA, SOD enrollment, OCSP/CRL on every auth, RMF governance. That satisfies the phishing-resistant MFA mandate at the center of EO 14028 and OMB M-22-09.</w:t>
      </w:r>
    </w:p>
    <w:p>
      <w:pPr>
        <w:spacing w:before="0" w:after="120"/>
      </w:pPr>
      <w:r>
        <w:rPr>
          <w:b w:val="0"/>
          <w:i w:val="0"/>
          <w:sz w:val="21"/>
        </w:rPr>
        <w:t>The gaps: Zero Trust also requires controlling what that proven identity can reach, on what device, and whether that is still true a minute later.</w:t>
      </w:r>
    </w:p>
    <w:p>
      <w:pPr>
        <w:spacing w:before="160" w:after="80"/>
      </w:pPr>
      <w:r>
        <w:rPr>
          <w:b/>
          <w:i w:val="0"/>
          <w:color w:val="1B355E"/>
          <w:sz w:val="26"/>
        </w:rPr>
        <w:t>Gaps to close</w:t>
      </w:r>
    </w:p>
    <w:p>
      <w:pPr>
        <w:pStyle w:val="ListBullet"/>
        <w:spacing w:after="60"/>
        <w:ind w:left="576"/>
      </w:pPr>
      <w:r>
        <w:rPr>
          <w:b w:val="0"/>
          <w:i w:val="0"/>
          <w:sz w:val="20"/>
        </w:rPr>
        <w:t>A — Authorization: add tiered-admin model, RBAC/ABAC, and a Policy Enforcement Point so access is per-resource, not broad-LAN.</w:t>
      </w:r>
    </w:p>
    <w:p>
      <w:pPr>
        <w:pStyle w:val="ListBullet"/>
        <w:spacing w:after="60"/>
        <w:ind w:left="576"/>
      </w:pPr>
      <w:r>
        <w:rPr>
          <w:b w:val="0"/>
          <w:i w:val="0"/>
          <w:sz w:val="20"/>
        </w:rPr>
        <w:t>B — Device trust: issue machine certificates; add posture checks (patch, encryption, EDR) as an access signal.</w:t>
      </w:r>
    </w:p>
    <w:p>
      <w:pPr>
        <w:pStyle w:val="ListBullet"/>
        <w:spacing w:after="60"/>
        <w:ind w:left="576"/>
      </w:pPr>
      <w:r>
        <w:rPr>
          <w:b w:val="0"/>
          <w:i w:val="0"/>
          <w:sz w:val="20"/>
        </w:rPr>
        <w:t>C — Continuous re-evaluation: shorten Kerberos TGT lifetimes; implement Continuous Access Evaluation.</w:t>
      </w:r>
    </w:p>
    <w:p>
      <w:pPr>
        <w:pStyle w:val="ListBullet"/>
        <w:spacing w:after="60"/>
        <w:ind w:left="576"/>
      </w:pPr>
      <w:r>
        <w:rPr>
          <w:b w:val="0"/>
          <w:i w:val="0"/>
          <w:sz w:val="20"/>
        </w:rPr>
        <w:t>D — Policy Engine: add conditional access (Entra ID / AD FS + PIV federation) combining identity + device + context + risk.</w:t>
      </w:r>
    </w:p>
    <w:p>
      <w:pPr>
        <w:pStyle w:val="ListBullet"/>
        <w:spacing w:after="60"/>
        <w:ind w:left="576"/>
      </w:pPr>
      <w:r>
        <w:rPr>
          <w:b w:val="0"/>
          <w:i w:val="0"/>
          <w:sz w:val="20"/>
        </w:rPr>
        <w:t>E — Workload identity (optional): short-lived service certificates; mTLS; gMSA for service accounts.</w:t>
      </w:r>
    </w:p>
    <w:p>
      <w:pPr>
        <w:pStyle w:val="ListBullet"/>
        <w:spacing w:after="60"/>
        <w:ind w:left="576"/>
      </w:pPr>
      <w:r>
        <w:rPr>
          <w:b w:val="0"/>
          <w:i w:val="0"/>
          <w:sz w:val="20"/>
        </w:rPr>
        <w:t>F — Network segmentation: microsegment east-west; convert VPN to per-application access (ZTNA-style).</w:t>
      </w:r>
    </w:p>
    <w:p>
      <w:pPr>
        <w:pStyle w:val="ListBullet"/>
        <w:spacing w:after="60"/>
        <w:ind w:left="576"/>
      </w:pPr>
      <w:r>
        <w:rPr>
          <w:b w:val="0"/>
          <w:i w:val="0"/>
          <w:sz w:val="20"/>
        </w:rPr>
        <w:t>G — Analytics → decisioning: SIEM with behavioral analytics / risk scoring feeding back into the Policy Engine.</w:t>
      </w:r>
    </w:p>
    <w:p>
      <w:pPr>
        <w:spacing w:before="160" w:after="80"/>
      </w:pPr>
      <w:r>
        <w:rPr>
          <w:b/>
          <w:i w:val="0"/>
          <w:color w:val="1B355E"/>
          <w:sz w:val="26"/>
        </w:rPr>
        <w:t>CISA maturity snapshot</w:t>
      </w:r>
    </w:p>
    <w:tbl>
      <w:tblPr>
        <w:tblStyle w:val="TableGrid"/>
        <w:tblW w:type="auto" w:w="0"/>
        <w:tblLook w:firstColumn="1" w:firstRow="1" w:lastColumn="0" w:lastRow="0" w:noHBand="0" w:noVBand="1" w:val="04A0"/>
      </w:tblPr>
      <w:tblGrid>
        <w:gridCol w:w="4320"/>
        <w:gridCol w:w="6048"/>
      </w:tblGrid>
      <w:tr>
        <w:tc>
          <w:tcPr>
            <w:tcW w:type="dxa" w:w="4680"/>
          </w:tcPr>
          <w:p/>
        </w:tc>
        <w:tc>
          <w:tcPr>
            <w:tcW w:type="dxa" w:w="4680"/>
          </w:tcPr>
          <w:p/>
        </w:tc>
      </w:tr>
      <w:tr>
        <w:tc>
          <w:tcPr>
            <w:tcW w:type="dxa" w:w="4320"/>
          </w:tcPr>
          <w:p>
            <w:pPr>
              <w:spacing w:before="60" w:after="60"/>
            </w:pPr>
            <w:r>
              <w:rPr>
                <w:b/>
                <w:i w:val="0"/>
                <w:color w:val="1B355E"/>
                <w:sz w:val="19"/>
              </w:rPr>
              <w:t>Zero Trust function</w:t>
            </w:r>
          </w:p>
        </w:tc>
        <w:tc>
          <w:tcPr>
            <w:tcW w:type="dxa" w:w="6048"/>
          </w:tcPr>
          <w:p>
            <w:pPr>
              <w:spacing w:before="60" w:after="60"/>
            </w:pPr>
            <w:r>
              <w:rPr>
                <w:b/>
                <w:i w:val="0"/>
                <w:color w:val="1B355E"/>
                <w:sz w:val="19"/>
              </w:rPr>
              <w:t>Where this program sits</w:t>
            </w:r>
          </w:p>
        </w:tc>
      </w:tr>
      <w:tr>
        <w:tc>
          <w:tcPr>
            <w:tcW w:type="dxa" w:w="4320"/>
          </w:tcPr>
          <w:p>
            <w:pPr>
              <w:spacing w:before="60" w:after="60"/>
            </w:pPr>
            <w:r>
              <w:rPr>
                <w:b w:val="0"/>
                <w:i w:val="0"/>
                <w:sz w:val="19"/>
              </w:rPr>
              <w:t>Identity — authentication</w:t>
            </w:r>
          </w:p>
        </w:tc>
        <w:tc>
          <w:tcPr>
            <w:tcW w:type="dxa" w:w="6048"/>
          </w:tcPr>
          <w:p>
            <w:pPr>
              <w:spacing w:before="60" w:after="60"/>
            </w:pPr>
            <w:r>
              <w:rPr>
                <w:b w:val="0"/>
                <w:i w:val="0"/>
                <w:sz w:val="19"/>
              </w:rPr>
              <w:t>Advanced / Optimal ✅</w:t>
            </w:r>
          </w:p>
        </w:tc>
      </w:tr>
      <w:tr>
        <w:tc>
          <w:tcPr>
            <w:tcW w:type="dxa" w:w="4320"/>
          </w:tcPr>
          <w:p>
            <w:pPr>
              <w:spacing w:before="60" w:after="60"/>
            </w:pPr>
            <w:r>
              <w:rPr>
                <w:b w:val="0"/>
                <w:i w:val="0"/>
                <w:sz w:val="19"/>
              </w:rPr>
              <w:t>Identity — authorization / least privilege</w:t>
            </w:r>
          </w:p>
        </w:tc>
        <w:tc>
          <w:tcPr>
            <w:tcW w:type="dxa" w:w="6048"/>
          </w:tcPr>
          <w:p>
            <w:pPr>
              <w:spacing w:before="60" w:after="60"/>
            </w:pPr>
            <w:r>
              <w:rPr>
                <w:b w:val="0"/>
                <w:i w:val="0"/>
                <w:sz w:val="19"/>
              </w:rPr>
              <w:t>Traditional / Initial ⬜ (Gap A)</w:t>
            </w:r>
          </w:p>
        </w:tc>
      </w:tr>
      <w:tr>
        <w:tc>
          <w:tcPr>
            <w:tcW w:type="dxa" w:w="4320"/>
          </w:tcPr>
          <w:p>
            <w:pPr>
              <w:spacing w:before="60" w:after="60"/>
            </w:pPr>
            <w:r>
              <w:rPr>
                <w:b w:val="0"/>
                <w:i w:val="0"/>
                <w:sz w:val="19"/>
              </w:rPr>
              <w:t>Devices</w:t>
            </w:r>
          </w:p>
        </w:tc>
        <w:tc>
          <w:tcPr>
            <w:tcW w:type="dxa" w:w="6048"/>
          </w:tcPr>
          <w:p>
            <w:pPr>
              <w:spacing w:before="60" w:after="60"/>
            </w:pPr>
            <w:r>
              <w:rPr>
                <w:b w:val="0"/>
                <w:i w:val="0"/>
                <w:sz w:val="19"/>
              </w:rPr>
              <w:t>Traditional / Initial ⬜ (Gap B)</w:t>
            </w:r>
          </w:p>
        </w:tc>
      </w:tr>
      <w:tr>
        <w:tc>
          <w:tcPr>
            <w:tcW w:type="dxa" w:w="4320"/>
          </w:tcPr>
          <w:p>
            <w:pPr>
              <w:spacing w:before="60" w:after="60"/>
            </w:pPr>
            <w:r>
              <w:rPr>
                <w:b w:val="0"/>
                <w:i w:val="0"/>
                <w:sz w:val="19"/>
              </w:rPr>
              <w:t>Networks</w:t>
            </w:r>
          </w:p>
        </w:tc>
        <w:tc>
          <w:tcPr>
            <w:tcW w:type="dxa" w:w="6048"/>
          </w:tcPr>
          <w:p>
            <w:pPr>
              <w:spacing w:before="60" w:after="60"/>
            </w:pPr>
            <w:r>
              <w:rPr>
                <w:b w:val="0"/>
                <w:i w:val="0"/>
                <w:sz w:val="19"/>
              </w:rPr>
              <w:t>Initial ◑ — cert VPN; no microsegmentation (Gap F)</w:t>
            </w:r>
          </w:p>
        </w:tc>
      </w:tr>
      <w:tr>
        <w:tc>
          <w:tcPr>
            <w:tcW w:type="dxa" w:w="4320"/>
          </w:tcPr>
          <w:p>
            <w:pPr>
              <w:spacing w:before="60" w:after="60"/>
            </w:pPr>
            <w:r>
              <w:rPr>
                <w:b w:val="0"/>
                <w:i w:val="0"/>
                <w:sz w:val="19"/>
              </w:rPr>
              <w:t>Visibility &amp; Analytics</w:t>
            </w:r>
          </w:p>
        </w:tc>
        <w:tc>
          <w:tcPr>
            <w:tcW w:type="dxa" w:w="6048"/>
          </w:tcPr>
          <w:p>
            <w:pPr>
              <w:spacing w:before="60" w:after="60"/>
            </w:pPr>
            <w:r>
              <w:rPr>
                <w:b w:val="0"/>
                <w:i w:val="0"/>
                <w:sz w:val="19"/>
              </w:rPr>
              <w:t>Initial → Advanced ◑ (Gap G)</w:t>
            </w:r>
          </w:p>
        </w:tc>
      </w:tr>
      <w:tr>
        <w:tc>
          <w:tcPr>
            <w:tcW w:type="dxa" w:w="4320"/>
          </w:tcPr>
          <w:p>
            <w:pPr>
              <w:spacing w:before="60" w:after="60"/>
            </w:pPr>
            <w:r>
              <w:rPr>
                <w:b w:val="0"/>
                <w:i w:val="0"/>
                <w:sz w:val="19"/>
              </w:rPr>
              <w:t>Automation &amp; Orchestration</w:t>
            </w:r>
          </w:p>
        </w:tc>
        <w:tc>
          <w:tcPr>
            <w:tcW w:type="dxa" w:w="6048"/>
          </w:tcPr>
          <w:p>
            <w:pPr>
              <w:spacing w:before="60" w:after="60"/>
            </w:pPr>
            <w:r>
              <w:rPr>
                <w:b w:val="0"/>
                <w:i w:val="0"/>
                <w:sz w:val="19"/>
              </w:rPr>
              <w:t>Advanced ◑ — IaC + CI; no automated response yet</w:t>
            </w:r>
          </w:p>
        </w:tc>
      </w:tr>
      <w:tr>
        <w:tc>
          <w:tcPr>
            <w:tcW w:type="dxa" w:w="4320"/>
          </w:tcPr>
          <w:p>
            <w:pPr>
              <w:spacing w:before="60" w:after="60"/>
            </w:pPr>
            <w:r>
              <w:rPr>
                <w:b w:val="0"/>
                <w:i w:val="0"/>
                <w:sz w:val="19"/>
              </w:rPr>
              <w:t>Governance</w:t>
            </w:r>
          </w:p>
        </w:tc>
        <w:tc>
          <w:tcPr>
            <w:tcW w:type="dxa" w:w="6048"/>
          </w:tcPr>
          <w:p>
            <w:pPr>
              <w:spacing w:before="60" w:after="60"/>
            </w:pPr>
            <w:r>
              <w:rPr>
                <w:b w:val="0"/>
                <w:i w:val="0"/>
                <w:sz w:val="19"/>
              </w:rPr>
              <w:t>Advanced ✅ — RMF / 800-53 / STIG / SCAP</w:t>
            </w:r>
          </w:p>
        </w:tc>
      </w:tr>
    </w:tbl>
    <w:p>
      <w:pPr>
        <w:spacing w:before="160" w:after="80"/>
      </w:pPr>
      <w:r>
        <w:rPr>
          <w:b/>
          <w:i w:val="0"/>
          <w:color w:val="1B355E"/>
          <w:sz w:val="26"/>
        </w:rPr>
        <w:t>Phase 8 roadmap</w:t>
      </w:r>
    </w:p>
    <w:p>
      <w:pPr>
        <w:spacing w:before="0" w:after="120"/>
      </w:pPr>
      <w:r>
        <w:rPr>
          <w:b w:val="0"/>
          <w:i w:val="0"/>
          <w:sz w:val="21"/>
        </w:rPr>
        <w:t>Phase 8 closes gaps A-G through seven sub-phases of scripted PowerShell automation in the same style as Phases 1-7. Design is complete; scripts are the next build phase. See Lab-Kit/Phase-8-Zero-Trust-Extension.md for the full script list and NIST SP 800-53 control family mapping.</w:t>
      </w:r>
    </w:p>
    <w:p>
      <w:pPr>
        <w:spacing w:before="0" w:after="0"/>
        <w:pBdr>
          <w:bottom w:val="single" w:sz="6" w:space="1" w:color="606070"/>
        </w:pBdr>
      </w:pPr>
    </w:p>
    <w:p>
      <w:pPr>
        <w:spacing w:before="120"/>
      </w:pPr>
      <w:r>
        <w:rPr>
          <w:b w:val="0"/>
          <w:i/>
          <w:color w:val="606070"/>
          <w:sz w:val="18"/>
        </w:rPr>
        <w:t>CAC/PIV ICAM Portfolio by Glenn Byron — MIT License — free to use with attribution.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