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33"/>
          <w:sz w:val="40"/>
          <w:szCs w:val="40"/>
        </w:rPr>
        <w:t xml:space="preserve">EmploiMatch Congo</w:t>
      </w:r>
    </w:p>
    <w:p>
      <w:pPr>
        <w:spacing w:after="40"/>
        <w:jc w:val="center"/>
      </w:pPr>
      <w:r>
        <w:rPr>
          <w:sz w:val="24"/>
          <w:szCs w:val="24"/>
        </w:rPr>
        <w:t xml:space="preserve">Système intelligent d'appariement entre demandeurs d'emploi et offres d'emploi</w:t>
      </w:r>
    </w:p>
    <w:p>
      <w:pPr>
        <w:spacing w:after="240"/>
        <w:jc w:val="center"/>
      </w:pPr>
      <w:r>
        <w:rPr>
          <w:i/>
          <w:iCs/>
          <w:color w:val="555555"/>
          <w:sz w:val="20"/>
          <w:szCs w:val="20"/>
        </w:rPr>
        <w:t xml:space="preserve">Rapport technique — Hackathon IndabaX Congo 2026 × ACPE — Glenn Matondo — juillet 2026</w:t>
      </w:r>
    </w:p>
    <w:p>
      <w:pPr>
        <w:pStyle w:val="Heading1"/>
      </w:pPr>
      <w:r>
        <w:t xml:space="preserve">1. Contexte et problématique</w:t>
      </w:r>
    </w:p>
    <w:p>
      <w:pPr>
        <w:spacing w:after="120"/>
        <w:jc w:val="both"/>
      </w:pPr>
      <w:r>
        <w:t xml:space="preserve">L'Agence Congolaise pour l'Emploi (ACPE) met en relation demandeurs d'emploi et entreprises, mais l'identification des meilleures correspondances reste un processus manuel et chronophage. Ce projet propose un moteur d'appariement automatique fondé sur le NLP et le Machine Learning, capable de produire pour chaque candidat un score de compatibilité explicable avec chaque offre, un classement Top-5/Top-10, une analyse des écarts de compétences, ainsi qu'un tableau de bord décisionnel destiné aux conseillers de l'ACPE.</w:t>
      </w:r>
    </w:p>
    <w:p>
      <w:pPr>
        <w:pStyle w:val="Heading1"/>
      </w:pPr>
      <w:r>
        <w:t xml:space="preserve">2. Données et préparation</w:t>
      </w:r>
    </w:p>
    <w:p>
      <w:pPr>
        <w:pStyle w:val="Heading2"/>
      </w:pPr>
      <w:r>
        <w:t xml:space="preserve">2.1 Dataset officiel</w:t>
      </w:r>
    </w:p>
    <w:p>
      <w:pPr>
        <w:spacing w:after="120"/>
        <w:jc w:val="both"/>
      </w:pPr>
      <w:r>
        <w:t xml:space="preserve">Quatre fichiers fournis ont été exploités. Offres_ACPE.xlsx contient 2 535 offres (référence, intitulé, secteur, entreprise, lieu, type de contrat, date de publication). Offres_ACPE_Extensions.xlsx enrichit 143 offres avec une description, un profil recherché et des compétences. Demandeurs.xlsx décrit 41 298 profils. Appariement_Demandeurs_Offres.xlsx constitue la vérité terrain : 41 285 demandeurs associés chacun à 3 offres pertinentes.</w:t>
      </w:r>
    </w:p>
    <w:p>
      <w:pPr>
        <w:pStyle w:val="Heading2"/>
      </w:pPr>
      <w:r>
        <w:t xml:space="preserve">2.2 Traitements des offres (src/prepare_data.py)</w:t>
      </w:r>
    </w:p>
    <w:p>
      <w:pPr>
        <w:pStyle w:val="ListParagraph"/>
        <w:numPr>
          <w:ilvl w:val="0"/>
          <w:numId w:val="2"/>
        </w:numPr>
        <w:spacing w:after="60"/>
      </w:pPr>
      <w:r>
        <w:t xml:space="preserve">Déduplication des offres (4 doublons de référence supprimés, 2 531 offres finales) et fusion des deux fichiers d'offres en une table unique.</w:t>
      </w:r>
    </w:p>
    <w:p>
      <w:pPr>
        <w:pStyle w:val="ListParagraph"/>
        <w:numPr>
          <w:ilvl w:val="0"/>
          <w:numId w:val="2"/>
        </w:numPr>
        <w:spacing w:after="60"/>
      </w:pPr>
      <w:r>
        <w:t xml:space="preserve">Normalisation des localités (casse et espaces hétérogènes : « BRAZZAVILLE », « NKAYI », « Bouenza »…).</w:t>
      </w:r>
    </w:p>
    <w:p>
      <w:pPr>
        <w:pStyle w:val="ListParagraph"/>
        <w:numPr>
          <w:ilvl w:val="0"/>
          <w:numId w:val="2"/>
        </w:numPr>
        <w:spacing w:after="60"/>
      </w:pPr>
      <w:r>
        <w:t xml:space="preserve">Extraction par expressions régulières du niveau d'études minimal (« Bac+2/3 » → BAC+2) et de l'expérience minimale (« 2 à 5 ans » → 2 ans) depuis le champ Profil, disponibles pour les offres enrichies.</w:t>
      </w:r>
    </w:p>
    <w:p>
      <w:pPr>
        <w:pStyle w:val="ListParagraph"/>
        <w:numPr>
          <w:ilvl w:val="0"/>
          <w:numId w:val="2"/>
        </w:numPr>
        <w:spacing w:after="60"/>
      </w:pPr>
      <w:r>
        <w:t xml:space="preserve">Construction d'un référentiel de 137 compétences couvrant 12 secteurs du marché congolais, puis extraction automatique (insensible aux accents) des compétences dans le texte de chaque offre : 1 350 offres sur 2 531 obtiennent des compétences structurées.</w:t>
      </w:r>
    </w:p>
    <w:p>
      <w:pPr>
        <w:pStyle w:val="Heading2"/>
      </w:pPr>
      <w:r>
        <w:t xml:space="preserve">2.3 Profils demandeurs (Demandeurs.xlsx)</w:t>
      </w:r>
    </w:p>
    <w:p>
      <w:pPr>
        <w:spacing w:after="120"/>
        <w:jc w:val="both"/>
      </w:pPr>
      <w:r>
        <w:t xml:space="preserve">Les 41 298 profils réels (41 285 après déduplication) ont été convertis au schéma du moteur : le département de résidence est décodé depuis le préfixe du matricule (PPBZV → Brazzaville, PPPNR → Pointe-Noire, etc.), les niveaux d'études textuels sont projetés sur une échelle ordonnée (« Bac +3 » → Licence, « Secondaire 1 » → BEPC…), et un texte de profil est composé à partir du métier visé, de la qualification, de la filière, des secteurs et du diplôme, en ignorant les champs « Non déclaré ». L'extraction par référentiel détecte des compétences structurées pour 29 620 profils (72 %).</w:t>
      </w:r>
    </w:p>
    <w:p>
      <w:pPr>
        <w:pStyle w:val="Heading1"/>
      </w:pPr>
      <w:r>
        <w:t xml:space="preserve">3. Moteur d'appariement hybride</w:t>
      </w:r>
    </w:p>
    <w:p>
      <w:pPr>
        <w:spacing w:after="120"/>
        <w:jc w:val="both"/>
      </w:pPr>
      <w:r>
        <w:t xml:space="preserve">Le score de compatibilité combine quatre signaux complémentaires, choisis pour équilibrer performance et explicabilité — exigence centrale du cahier des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850"/>
        <w:gridCol w:w="3576"/>
        <w:gridCol w:w="3000"/>
      </w:tblGrid>
      <w:tr>
        <w:tc>
          <w:tcPr>
            <w:tcW w:type="dxa" w:w="1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20"/>
                <w:szCs w:val="20"/>
              </w:rPr>
              <w:t xml:space="preserve">Composante</w:t>
            </w:r>
          </w:p>
        </w:tc>
        <w:tc>
          <w:tcPr>
            <w:tcW w:type="dxa" w:w="85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20"/>
                <w:szCs w:val="20"/>
              </w:rPr>
              <w:t xml:space="preserve">Poids</w:t>
            </w:r>
          </w:p>
        </w:tc>
        <w:tc>
          <w:tcPr>
            <w:tcW w:type="dxa" w:w="357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20"/>
                <w:szCs w:val="20"/>
              </w:rPr>
              <w:t xml:space="preserve">Technique</w:t>
            </w:r>
          </w:p>
        </w:tc>
        <w:tc>
          <w:tcPr>
            <w:tcW w:type="dxa" w:w="3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20"/>
                <w:szCs w:val="20"/>
              </w:rPr>
              <w:t xml:space="preserve">Rôle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Compétences</w:t>
            </w:r>
          </w:p>
        </w:tc>
        <w:tc>
          <w:tcPr>
            <w:tcW w:type="dxa" w:w="8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40 %</w:t>
            </w:r>
          </w:p>
        </w:tc>
        <w:tc>
          <w:tcPr>
            <w:tcW w:type="dxa" w:w="357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Couverture des compétences requises de l'offre par le candidat (référentiel)</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Signal le plus explicable : compétences communes et manquantes affichées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Similarité lexicale</w:t>
            </w:r>
          </w:p>
        </w:tc>
        <w:tc>
          <w:tcPr>
            <w:tcW w:type="dxa" w:w="8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20 %</w:t>
            </w:r>
          </w:p>
        </w:tc>
        <w:tc>
          <w:tcPr>
            <w:tcW w:type="dxa" w:w="357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TF-IDF sublinéaire (unigrammes + bigrammes, texte normalisé sans accents) + similarité cosinus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Vocabulaire partagé entre profil et offre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Similarité sémantique</w:t>
            </w:r>
          </w:p>
        </w:tc>
        <w:tc>
          <w:tcPr>
            <w:tcW w:type="dxa" w:w="8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25 %</w:t>
            </w:r>
          </w:p>
        </w:tc>
        <w:tc>
          <w:tcPr>
            <w:tcW w:type="dxa" w:w="357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Embeddings multilingues paraphrase-multilingual-MiniLM-L12-v2 (Sentence Transformers)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Rapproche des formulations différentes de même sens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Critères structurés</w:t>
            </w:r>
          </w:p>
        </w:tc>
        <w:tc>
          <w:tcPr>
            <w:tcW w:type="dxa" w:w="8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15 %</w:t>
            </w:r>
          </w:p>
        </w:tc>
        <w:tc>
          <w:tcPr>
            <w:tcW w:type="dxa" w:w="357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Règles : localisation, expérience minimale, niveau d'études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Faisabilité pratique du placement</w:t>
            </w:r>
          </w:p>
        </w:tc>
      </w:tr>
    </w:tbl>
    <w:p>
      <w:pPr>
        <w:spacing w:after="60"/>
        <w:jc w:val="both"/>
      </w:pPr>
      <w:r>
        <w:t xml:space="preserve"/>
      </w:r>
    </w:p>
    <w:p>
      <w:pPr>
        <w:spacing w:after="120"/>
        <w:jc w:val="both"/>
      </w:pPr>
      <w:r>
        <w:t xml:space="preserve">Le score final est la somme pondérée de ces composantes, ramenée à un pourcentage de compatibilité. Lorsqu'une offre ne précise pas l'expérience ou le niveau d'études requis, le critère correspondant est neutre plutôt que pénalisant. En l'absence de la bibliothèque d'embeddings (machine sans GPU ni connexion), le moteur bascule automatiquement sur une pondération dégradée, ce qui garantit un prototype exécutable partout.</w:t>
      </w:r>
    </w:p>
    <w:p>
      <w:pPr>
        <w:spacing w:after="120"/>
        <w:jc w:val="both"/>
      </w:pPr>
      <w:r>
        <w:t xml:space="preserve">Deux profils de pondération sont fournis. Le profil « conseiller » (tableau ci-dessus) maximise l'explicabilité pour l'interface interactive. Le profil « classement », utilisé pour produire les recommandations officielles, a été calibré par validation sur un échantillon de 4 000 demandeurs contre la vérité terrain : la similarité TF-IDF sublinéaire (pondération logarithmique des fréquences, bigrammes, min_df = 2) s'est révélée dominante (Recall@10 de 0,80 sur l'échantillon contre 0,47 pour la pondération uniforme initiale), les autres composantes restant utilisées pour l'explication des recommandations et l'analyse des écarts de compétences.</w:t>
      </w:r>
    </w:p>
    <w:p>
      <w:pPr>
        <w:pStyle w:val="Heading1"/>
      </w:pPr>
      <w:r>
        <w:t xml:space="preserve">4. Recommandations Top-K et évaluation</w:t>
      </w:r>
    </w:p>
    <w:p>
      <w:pPr>
        <w:pStyle w:val="Heading2"/>
      </w:pPr>
      <w:r>
        <w:t xml:space="preserve">4.1 Génération (src/recommend.py)</w:t>
      </w:r>
    </w:p>
    <w:p>
      <w:pPr>
        <w:spacing w:after="120"/>
        <w:jc w:val="both"/>
      </w:pPr>
      <w:r>
        <w:t xml:space="preserve">Le calcul est entièrement vectorisé (matrices creuses scikit-learn, algèbre NumPy, traitement par lots) : les recommandations Top-10 des 41 285 demandeurs contre les 2 531 offres sont produites en environ 36 secondes sur un ordinateur portable, sans GPU. Les résultats sont au format exigé : candidate_id, rank, job_id, score, pour K = 5 et K = 10.</w:t>
      </w:r>
    </w:p>
    <w:p>
      <w:pPr>
        <w:pStyle w:val="Heading2"/>
      </w:pPr>
      <w:r>
        <w:t xml:space="preserve">4.2 Résultats officiels (src/evaluate.py)</w:t>
      </w:r>
    </w:p>
    <w:p>
      <w:pPr>
        <w:spacing w:after="120"/>
        <w:jc w:val="both"/>
      </w:pPr>
      <w:r>
        <w:t xml:space="preserve">Les métriques du guide sont implémentées et validées sur des cas contrôlés aux valeurs théoriques connues, puis calculées sur l'intégralité des 41 285 demandeurs réels contre le fichier d'appariement de référence (pertinence binaire, 3 offres pertinentes par demandeur)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c>
          <w:tcPr>
            <w:tcW w:type="dxa" w:w="502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20"/>
                <w:szCs w:val="20"/>
              </w:rPr>
              <w:t xml:space="preserve">Métrique</w:t>
            </w:r>
          </w:p>
        </w:tc>
        <w:tc>
          <w:tcPr>
            <w:tcW w:type="dxa" w:w="2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20"/>
                <w:szCs w:val="20"/>
              </w:rPr>
              <w:t xml:space="preserve">@5</w:t>
            </w:r>
          </w:p>
        </w:tc>
        <w:tc>
          <w:tcPr>
            <w:tcW w:type="dxa" w:w="2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20"/>
                <w:szCs w:val="20"/>
              </w:rPr>
              <w:t xml:space="preserve">@10</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Precision (max. théorique : 0,60 @5 / 0,30 @10)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0,366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0,230</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Recall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0,610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0,768</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NDCG</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0,597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0,669</w:t>
            </w:r>
          </w:p>
        </w:tc>
      </w:tr>
    </w:tbl>
    <w:p>
      <w:pPr>
        <w:spacing w:after="60"/>
        <w:jc w:val="both"/>
      </w:pPr>
      <w:r>
        <w:t xml:space="preserve"/>
      </w:r>
    </w:p>
    <w:p>
      <w:pPr>
        <w:spacing w:after="120"/>
        <w:jc w:val="both"/>
      </w:pPr>
      <w:r>
        <w:t xml:space="preserve">En d'autres termes, près de 77 % des offres jugées pertinentes par l'ACPE figurent dans le Top-10 du moteur, et 61 % dès le Top-5.</w:t>
      </w:r>
    </w:p>
    <w:p>
      <w:pPr>
        <w:pStyle w:val="Heading2"/>
      </w:pPr>
      <w:r>
        <w:t xml:space="preserve">4.3 Résultats qualitatifs</w:t>
      </w:r>
    </w:p>
    <w:p>
      <w:pPr>
        <w:spacing w:after="120"/>
        <w:jc w:val="both"/>
      </w:pPr>
      <w:r>
        <w:t xml:space="preserve">Au-delà des métriques, le moteur produit des classements cohérents. Exemple : un profil « technicien de maintenance industrielle, expérience en électromécanique, HSE, Bac+2, Pointe-Noire » obtient en tête Électromécanicien, Chargé de maintenance et Technicien HSE, tous à Pointe-Noire — avec l'affichage des compétences communes ayant contribué au score. Un profil « caissière, vente, service client, Brazzaville » remonte Personnel de vente et de service client puis Hôte de caisse.</w:t>
      </w:r>
    </w:p>
    <w:p>
      <w:pPr>
        <w:pStyle w:val="Heading1"/>
      </w:pPr>
      <w:r>
        <w:t xml:space="preserve">5. Prototype et tableau de bord</w:t>
      </w:r>
    </w:p>
    <w:p>
      <w:pPr>
        <w:spacing w:after="120"/>
        <w:jc w:val="both"/>
      </w:pPr>
      <w:r>
        <w:t xml:space="preserve">L'application Streamlit (app.py), en français, comporte trois onglets. « Je cherche un emploi » : le candidat colle son CV en texte libre ; les compétences sont détectées automatiquement et les meilleures offres sont classées avec leurs sous-scores. « Je recrute » : le conseiller ou l'employeur sélectionne une offre et obtient le classement des candidats. « Tableau de bord » : indicateurs exigés par le cahier des charges (nombre de candidats et d'offres, secteurs les plus représentés, métiers les plus demandés, taux moyen de compatibilité, répartition géographique, statistiques des recommandations générées).</w:t>
      </w:r>
    </w:p>
    <w:p>
      <w:pPr>
        <w:pStyle w:val="Heading2"/>
      </w:pPr>
      <w:r>
        <w:t xml:space="preserve">Défis bonus couverts</w:t>
      </w:r>
    </w:p>
    <w:p>
      <w:pPr>
        <w:pStyle w:val="ListParagraph"/>
        <w:numPr>
          <w:ilvl w:val="0"/>
          <w:numId w:val="2"/>
        </w:numPr>
        <w:spacing w:after="60"/>
      </w:pPr>
      <w:r>
        <w:t xml:space="preserve">Bonus 1 — Recherche intelligente : l'entrée en langage naturel (« Je recherche un développeur Python à Brazzaville ») est nativement supportée, la similarité lexicale et sémantique retrouvant les offres pertinentes sans correspondance exacte des mots-clés.</w:t>
      </w:r>
    </w:p>
    <w:p>
      <w:pPr>
        <w:pStyle w:val="ListParagraph"/>
        <w:numPr>
          <w:ilvl w:val="0"/>
          <w:numId w:val="2"/>
        </w:numPr>
        <w:spacing w:after="60"/>
      </w:pPr>
      <w:r>
        <w:t xml:space="preserve">Bonus 2 — Écarts de compétences : chaque recommandation affiche les compétences manquantes du candidat par rapport à l'offre, orientant ainsi les demandeurs vers les formations à suivre.</w:t>
      </w:r>
    </w:p>
    <w:p>
      <w:pPr>
        <w:pStyle w:val="Heading1"/>
      </w:pPr>
      <w:r>
        <w:t xml:space="preserve">6. Limites et perspectives</w:t>
      </w:r>
    </w:p>
    <w:p>
      <w:pPr>
        <w:pStyle w:val="ListParagraph"/>
        <w:numPr>
          <w:ilvl w:val="0"/>
          <w:numId w:val="2"/>
        </w:numPr>
        <w:spacing w:after="60"/>
      </w:pPr>
      <w:r>
        <w:t xml:space="preserve">Ni l'expérience professionnelle ni la ville précise de résidence ne figurent dans les profils demandeurs ; leur ajout par l'ACPE affinerait les critères structurés.</w:t>
      </w:r>
    </w:p>
    <w:p>
      <w:pPr>
        <w:pStyle w:val="ListParagraph"/>
        <w:numPr>
          <w:ilvl w:val="0"/>
          <w:numId w:val="2"/>
        </w:numPr>
        <w:spacing w:after="60"/>
      </w:pPr>
      <w:r>
        <w:t xml:space="preserve">Seules 143 offres sur 2 531 disposent d'une description riche ; l'enrichissement des offres côté ACPE améliorerait directement la qualité de l'appariement.</w:t>
      </w:r>
    </w:p>
    <w:p>
      <w:pPr>
        <w:pStyle w:val="ListParagraph"/>
        <w:numPr>
          <w:ilvl w:val="0"/>
          <w:numId w:val="2"/>
        </w:numPr>
        <w:spacing w:after="60"/>
      </w:pPr>
      <w:r>
        <w:t xml:space="preserve">Apprentissage complet des poids (learning-to-rank) à partir des placements réussis, extraction de CV PDF (OCR), prise en compte du lingala et du kituba, et exposition du moteur en API REST pour intégration au système d'information de l'ACPE.</w:t>
      </w:r>
    </w:p>
    <w:p>
      <w:pPr>
        <w:pStyle w:val="Heading1"/>
      </w:pPr>
      <w:r>
        <w:t xml:space="preserve">7. Conclusion</w:t>
      </w:r>
    </w:p>
    <w:p>
      <w:pPr>
        <w:spacing w:after="120"/>
        <w:jc w:val="both"/>
      </w:pPr>
      <w:r>
        <w:t xml:space="preserve">EmploiMatch Congo répond à l'ensemble du cahier des charges : préparation documentée des quatre fichiers officiels, moteur d'appariement hybride explicable, scores de compatibilité justifiés, recommandations Top-5/Top-10 au format demandé produites pour la totalité des demandeurs, évaluation complète (77 % de rappel au Top-10), interface de démonstration et tableau de bord décisionnel, ainsi que les deux défis bonus. Sa conception modulaire permet un passage direct en production sur les données réelles de l'ACPE.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EmploiMatch Congo — Hackathon IndabaX Congo 2026 × ACPE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60"/>
      <w:outlineLvl w:val="0"/>
    </w:pPr>
    <w:rPr>
      <w:rFonts w:ascii="Arial" w:cs="Arial" w:eastAsia="Arial" w:hAnsi="Arial"/>
      <w:b/>
      <w:bCs/>
      <w:color w:val="1F4E33"/>
      <w:sz w:val="28"/>
      <w:szCs w:val="28"/>
    </w:rPr>
  </w:style>
  <w:style w:type="paragraph" w:styleId="Heading2">
    <w:name w:val="Heading 2"/>
    <w:basedOn w:val="Normal"/>
    <w:next w:val="Normal"/>
    <w:pPr>
      <w:spacing w:after="120" w:before="200"/>
      <w:outlineLvl w:val="1"/>
    </w:pPr>
    <w:rPr>
      <w:rFonts w:ascii="Arial" w:cs="Arial" w:eastAsia="Arial" w:hAnsi="Arial"/>
      <w:b/>
      <w:bCs/>
      <w:color w:val="2E6B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2026-07-04T17:19:15.857Z</dcterms:created>
  <dcterms:modified xsi:type="dcterms:W3CDTF">2026-07-04T17:19:15.858Z</dcterms:modified>
</cp:coreProperties>
</file>

<file path=docProps/custom.xml><?xml version="1.0" encoding="utf-8"?>
<Properties xmlns="http://schemas.openxmlformats.org/officeDocument/2006/custom-properties" xmlns:vt="http://schemas.openxmlformats.org/officeDocument/2006/docPropsVTypes"/>
</file>