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sz w:val="34"/>
        </w:rPr>
        <w:t>TYCHE R2-T1</w:t>
        <w:br/>
        <w:t>SM6.3B Munk-Multhopp Fuselage Stability Correction</w:t>
      </w:r>
    </w:p>
    <w:p>
      <w:pPr>
        <w:jc w:val="center"/>
      </w:pPr>
      <w:r>
        <w:rPr>
          <w:b/>
          <w:sz w:val="22"/>
        </w:rPr>
        <w:t>Station-by-station analytical correction to the validated thin lifting-system neutral point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Headline quantity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Result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SM6.3B disposition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PASS as an analytical calculation / FAIL against current aft-CG 10% MAC gate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Fuselage Cₘα correction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+0.3403 rad⁻¹  (+0.005939 deg⁻¹)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Corrected Cₘα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-0.8332 rad⁻¹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Fuselage-corrected neutral point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FS 4.0289 m = 52.04% MAC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Static margin at FS 3.600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22.80% MAC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Static margin at FS 3.900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6.85% MAC — FAIL vs 10% floor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Aft-CG station for exactly 10% MAC</w:t>
            </w:r>
          </w:p>
        </w:tc>
        <w:tc>
          <w:tcPr>
            <w:tcW w:type="dxa" w:w="64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FS 3.8408 m = 42.04% MAC</w:t>
            </w:r>
          </w:p>
        </w:tc>
      </w:tr>
    </w:tbl>
    <w:p>
      <w:r>
        <w:rPr>
          <w:b/>
        </w:rPr>
        <w:t xml:space="preserve">Engineering conclusion. </w:t>
      </w:r>
      <w:r>
        <w:t>The Munk-Multhopp fuselage correction moves the stick-fixed neutral point forward by 0.1139 m (6.06% MAC), from FS 4.1429 m to FS 4.0289 m. The current design aft-CG boundary at FS 3.900 m consequently retains only 6.85% MAC static margin and does not meet the present 10% MAC conceptual gate. This conclusion is robust to the 11–20-region discretization sensitivity performed below.</w:t>
      </w:r>
    </w:p>
    <w:p>
      <w:pPr>
        <w:pStyle w:val="Heading1"/>
        <w:keepNext/>
      </w:pPr>
      <w:r>
        <w:t>1. Scope and controlled analysis basis</w:t>
      </w:r>
    </w:p>
    <w:p>
      <w:r>
        <w:t>SM6.3B applies an analytical Munk-Multhopp fuselage pitching-moment-slope correction to the VSPAERO thin lifting-system result. It does not reintroduce the rejected mixed thin/thick VSPAERO body solution. The output is therefore a conceptual analytical correction, not CFD, wind-tunnel, or flight-test validation.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40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Controlled quantity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Value</w:t>
            </w:r>
          </w:p>
        </w:tc>
        <w:tc>
          <w:tcPr>
            <w:tcW w:type="dxa" w:w="24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Source</w:t>
            </w:r>
          </w:p>
        </w:tc>
      </w:tr>
      <w:tr>
        <w:tc>
          <w:tcPr>
            <w:tcW w:type="dxa" w:w="40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Wing reference area, S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30.000 m²</w:t>
            </w:r>
          </w:p>
        </w:tc>
        <w:tc>
          <w:tcPr>
            <w:tcW w:type="dxa" w:w="24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G5 / SM6.1</w:t>
            </w:r>
          </w:p>
        </w:tc>
      </w:tr>
      <w:tr>
        <w:tc>
          <w:tcPr>
            <w:tcW w:type="dxa" w:w="40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Reference chord, c̄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1.881 m</w:t>
            </w:r>
          </w:p>
        </w:tc>
        <w:tc>
          <w:tcPr>
            <w:tcW w:type="dxa" w:w="24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G5 / SM6.1</w:t>
            </w:r>
          </w:p>
        </w:tc>
      </w:tr>
      <w:tr>
        <w:tc>
          <w:tcPr>
            <w:tcW w:type="dxa" w:w="40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Wing span, b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16.400 m</w:t>
            </w:r>
          </w:p>
        </w:tc>
        <w:tc>
          <w:tcPr>
            <w:tcW w:type="dxa" w:w="24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G1.3</w:t>
            </w:r>
          </w:p>
        </w:tc>
      </w:tr>
      <w:tr>
        <w:tc>
          <w:tcPr>
            <w:tcW w:type="dxa" w:w="40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Aspect ratio, AR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8.96533</w:t>
            </w:r>
          </w:p>
        </w:tc>
        <w:tc>
          <w:tcPr>
            <w:tcW w:type="dxa" w:w="24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Derived</w:t>
            </w:r>
          </w:p>
        </w:tc>
      </w:tr>
      <w:tr>
        <w:tc>
          <w:tcPr>
            <w:tcW w:type="dxa" w:w="40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Moment reference, Xref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FS 3.750 m</w:t>
            </w:r>
          </w:p>
        </w:tc>
        <w:tc>
          <w:tcPr>
            <w:tcW w:type="dxa" w:w="24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SM6.1</w:t>
            </w:r>
          </w:p>
        </w:tc>
      </w:tr>
      <w:tr>
        <w:tc>
          <w:tcPr>
            <w:tcW w:type="dxa" w:w="40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MAC leading edge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FS 3.050 m</w:t>
            </w:r>
          </w:p>
        </w:tc>
        <w:tc>
          <w:tcPr>
            <w:tcW w:type="dxa" w:w="24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G1.3</w:t>
            </w:r>
          </w:p>
        </w:tc>
      </w:tr>
      <w:tr>
        <w:tc>
          <w:tcPr>
            <w:tcW w:type="dxa" w:w="40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Wing root LE / TE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FS 2.930079 / 5.290425 m</w:t>
            </w:r>
          </w:p>
        </w:tc>
        <w:tc>
          <w:tcPr>
            <w:tcW w:type="dxa" w:w="24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G1.3</w:t>
            </w:r>
          </w:p>
        </w:tc>
      </w:tr>
      <w:tr>
        <w:tc>
          <w:tcPr>
            <w:tcW w:type="dxa" w:w="40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HT aerodynamic centre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FS 9.420166 m</w:t>
            </w:r>
          </w:p>
        </w:tc>
        <w:tc>
          <w:tcPr>
            <w:tcW w:type="dxa" w:w="24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G1.3</w:t>
            </w:r>
          </w:p>
        </w:tc>
      </w:tr>
      <w:tr>
        <w:tc>
          <w:tcPr>
            <w:tcW w:type="dxa" w:w="40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TE-to-HT AC distance, lₕ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4.129741 m</w:t>
            </w:r>
          </w:p>
        </w:tc>
        <w:tc>
          <w:tcPr>
            <w:tcW w:type="dxa" w:w="24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Derived</w:t>
            </w:r>
          </w:p>
        </w:tc>
      </w:tr>
      <w:tr>
        <w:tc>
          <w:tcPr>
            <w:tcW w:type="dxa" w:w="40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MainWing-only C_Lα,w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4.88866 rad⁻¹</w:t>
            </w:r>
          </w:p>
        </w:tc>
        <w:tc>
          <w:tcPr>
            <w:tcW w:type="dxa" w:w="24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SM6.3A</w:t>
            </w:r>
          </w:p>
        </w:tc>
      </w:tr>
      <w:tr>
        <w:tc>
          <w:tcPr>
            <w:tcW w:type="dxa" w:w="40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Lifting-system C_Lα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5.61880 rad⁻¹</w:t>
            </w:r>
          </w:p>
        </w:tc>
        <w:tc>
          <w:tcPr>
            <w:tcW w:type="dxa" w:w="24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SM6.1</w:t>
            </w:r>
          </w:p>
        </w:tc>
      </w:tr>
      <w:tr>
        <w:tc>
          <w:tcPr>
            <w:tcW w:type="dxa" w:w="40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Lifting-system Cₘα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-1.17352 rad⁻¹</w:t>
            </w:r>
          </w:p>
        </w:tc>
        <w:tc>
          <w:tcPr>
            <w:tcW w:type="dxa" w:w="24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SM6.1</w:t>
            </w:r>
          </w:p>
        </w:tc>
      </w:tr>
      <w:tr>
        <w:tc>
          <w:tcPr>
            <w:tcW w:type="dxa" w:w="403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Validated lifting-system NP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FS 4.14286 m</w:t>
            </w:r>
          </w:p>
        </w:tc>
        <w:tc>
          <w:tcPr>
            <w:tcW w:type="dxa" w:w="24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SM6.1 / SM6.2</w:t>
            </w:r>
          </w:p>
        </w:tc>
      </w:tr>
    </w:tbl>
    <w:p>
      <w:pPr>
        <w:pStyle w:val="Heading1"/>
        <w:keepNext/>
      </w:pPr>
      <w:r>
        <w:t>2. Analytical method</w:t>
      </w:r>
    </w:p>
    <w:p>
      <w:r>
        <w:t>Gudmundsson identifies Munk-Multhopp as a conceptual-design method for estimating the destabilising pitching-moment-slope contribution of fuselages and nacelles. For the angle-of-attack-dependent term, the discrete form uses the local fuselage width, local upwash/downwash gradient and segment length. The wing-covered fuselage interval is assigned zero contribution in this implementation.</w:t>
      </w:r>
    </w:p>
    <w:p>
      <w:pPr>
        <w:pStyle w:val="Equation"/>
        <w:jc w:val="center"/>
      </w:pPr>
      <w:r>
        <w:rPr>
          <w:rFonts w:ascii="Cambria Math" w:hAnsi="Cambria Math"/>
          <w:sz w:val="22"/>
        </w:rPr>
        <w:t>Cₘα,FUS = [1 / (36.5 S c̄)] Σ [ w_f,i² (∂β/∂α)_i Δx_i ]</w:t>
      </w:r>
      <w:r>
        <w:rPr>
          <w:rFonts w:ascii="Arial" w:hAnsi="Arial"/>
          <w:sz w:val="20"/>
        </w:rPr>
        <w:t xml:space="preserve">    (SM6.3B-1)</w:t>
      </w:r>
    </w:p>
    <w:p>
      <w:r>
        <w:t>Equation (SM6.3B-1) returns Cₘα,FUS per degree because the factor 36.5 is the degree-form constant in the cited formulation. Conversion to radian⁻¹ is made by multiplying by 180/π.</w:t>
      </w:r>
    </w:p>
    <w:p>
      <w:pPr>
        <w:pStyle w:val="Equation"/>
        <w:jc w:val="center"/>
      </w:pPr>
      <w:r>
        <w:rPr>
          <w:rFonts w:ascii="Cambria Math" w:hAnsi="Cambria Math"/>
          <w:sz w:val="22"/>
        </w:rPr>
        <w:t>(dε/dα)_w = 2 C_Lα,w / (π AR)</w:t>
      </w:r>
      <w:r>
        <w:rPr>
          <w:rFonts w:ascii="Arial" w:hAnsi="Arial"/>
          <w:sz w:val="20"/>
        </w:rPr>
        <w:t xml:space="preserve">    (SM6.3B-2)</w:t>
      </w:r>
    </w:p>
    <w:p>
      <w:pPr>
        <w:pStyle w:val="Equation"/>
        <w:jc w:val="center"/>
      </w:pPr>
      <w:r>
        <w:rPr>
          <w:rFonts w:ascii="Cambria Math" w:hAnsi="Cambria Math"/>
          <w:sz w:val="22"/>
        </w:rPr>
        <w:t>(dε/dα)_w = 2(4.88866)/[π(8.96533)] = 0.34714</w:t>
      </w:r>
      <w:r>
        <w:rPr>
          <w:rFonts w:ascii="Arial" w:hAnsi="Arial"/>
          <w:sz w:val="20"/>
        </w:rPr>
        <w:t xml:space="preserve">    (SM6.3B-3)</w:t>
      </w:r>
    </w:p>
    <w:p>
      <w:r>
        <w:t>For forward fuselage segments, x is the distance from the wing root leading edge to the segment centre. Upwash Curve 1 is used for x/c̄ ≥ 1 and Curve 2 for x/c̄ &lt; 1, following the method’s application map.</w:t>
      </w:r>
    </w:p>
    <w:p>
      <w:pPr>
        <w:pStyle w:val="Equation"/>
        <w:jc w:val="center"/>
      </w:pPr>
      <w:r>
        <w:rPr>
          <w:rFonts w:ascii="Cambria Math" w:hAnsi="Cambria Math"/>
          <w:sz w:val="22"/>
        </w:rPr>
        <w:t>(∂β/∂α)₁ = 1.4758 − 0.40485(x/c̄) + 0.09107(x/c̄)²</w:t>
      </w:r>
      <w:r>
        <w:rPr>
          <w:rFonts w:ascii="Arial" w:hAnsi="Arial"/>
          <w:sz w:val="20"/>
        </w:rPr>
        <w:t xml:space="preserve">    (SM6.3B-4)</w:t>
      </w:r>
    </w:p>
    <w:p>
      <w:pPr>
        <w:pStyle w:val="Equation"/>
        <w:jc w:val="center"/>
      </w:pPr>
      <w:r>
        <w:rPr>
          <w:rFonts w:ascii="Cambria Math" w:hAnsi="Cambria Math"/>
          <w:sz w:val="22"/>
        </w:rPr>
        <w:t>(∂β/∂α)₂ = 1.74611(x/c̄)⁻⁰·⁴²⁵⁴</w:t>
      </w:r>
      <w:r>
        <w:rPr>
          <w:rFonts w:ascii="Arial" w:hAnsi="Arial"/>
          <w:sz w:val="20"/>
        </w:rPr>
        <w:t xml:space="preserve">    (SM6.3B-5)</w:t>
      </w:r>
    </w:p>
    <w:p>
      <w:r>
        <w:t>For aft-body segments, x_i is measured aft from the wing root trailing edge and lₕ is the distance from that trailing edge to the horizontal-tail aerodynamic centre.</w:t>
      </w:r>
    </w:p>
    <w:p>
      <w:pPr>
        <w:pStyle w:val="Equation"/>
        <w:jc w:val="center"/>
      </w:pPr>
      <w:r>
        <w:rPr>
          <w:rFonts w:ascii="Cambria Math" w:hAnsi="Cambria Math"/>
          <w:sz w:val="22"/>
        </w:rPr>
        <w:t>(∂β/∂α)_i = (x_i/lₕ)[1 − dε/dα]</w:t>
      </w:r>
      <w:r>
        <w:rPr>
          <w:rFonts w:ascii="Arial" w:hAnsi="Arial"/>
          <w:sz w:val="20"/>
        </w:rPr>
        <w:t xml:space="preserve">    (SM6.3B-6)</w:t>
      </w:r>
    </w:p>
    <w:p>
      <w:r>
        <w:t>The neutral-point correction is applied additively to the VSPAERO lifting-system pitching-moment slope. No separate fuselage lift-curve-slope correction is introduced in this conceptual method.</w:t>
      </w:r>
    </w:p>
    <w:p>
      <w:pPr>
        <w:pStyle w:val="Equation"/>
        <w:jc w:val="center"/>
      </w:pPr>
      <w:r>
        <w:rPr>
          <w:rFonts w:ascii="Cambria Math" w:hAnsi="Cambria Math"/>
          <w:sz w:val="22"/>
        </w:rPr>
        <w:t>x_NP,corr = x_ref − c̄ [ (Cₘα,LS + Cₘα,FUS) / C_Lα,LS ]</w:t>
      </w:r>
      <w:r>
        <w:rPr>
          <w:rFonts w:ascii="Arial" w:hAnsi="Arial"/>
          <w:sz w:val="20"/>
        </w:rPr>
        <w:t xml:space="preserve">    (SM6.3B-7)</w:t>
      </w:r>
    </w:p>
    <w:p>
      <w:pPr>
        <w:pStyle w:val="Heading1"/>
        <w:keepNext/>
      </w:pPr>
      <w:r>
        <w:t>3. Frozen G1.3 fuselage geometry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G1.3 station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FS x (m)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Width (m)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20"/>
              </w:rPr>
              <w:t>Height (m)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Nose point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0.0000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0.000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0.000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Nose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0.5375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0.800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0.900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Cabin front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2.3650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1.550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1.700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Cabin rear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5.3750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1.550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1.700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Upsweep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7.0950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1.250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1.340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Tail boom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9.1375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0.780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0.800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Tail point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10.7500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0.000</w:t>
            </w:r>
          </w:p>
        </w:tc>
        <w:tc>
          <w:tcPr>
            <w:tcW w:type="dxa" w:w="201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0.000</w:t>
            </w:r>
          </w:p>
        </w:tc>
      </w:tr>
    </w:tbl>
    <w:p>
      <w:r>
        <w:t>The station set is the frozen 10.750 m, seven-section rounded-rectangle G1.3 fuselage. The root-wing covered interval is FS 2.930079–5.290425 m. Widths between G1.3 stations are linearly interpolated for the numerical integration; the segment average width is the mean of the endpoint widths.</w:t>
      </w:r>
    </w:p>
    <w:p>
      <w:pPr>
        <w:pStyle w:val="Heading1"/>
        <w:keepNext/>
      </w:pPr>
      <w:r>
        <w:t>4. Station-by-station Munk-Multhopp integration</w:t>
      </w:r>
    </w:p>
    <w:p>
      <w:r>
        <w:t>The baseline discretisation uses 14 regions: five forward-body segments, one wing-covered interval, and eight aft-body segments. Segment boundaries are aligned with the frozen G1.3 body stations wherever practical and subdivided only where needed to remain within the recommended 10–20-segment conceptual range.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blHeader w:val="true"/>
        </w:trPr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  <w:t>Region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  <w:t>x₀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  <w:t>x₁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  <w:t>Δx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  <w:t>w_f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  <w:t>x/c or x/lₕ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  <w:t>∂β/∂α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  <w:t>w_f²(∂β/∂α)Δx</w:t>
            </w:r>
          </w:p>
        </w:tc>
      </w:tr>
      <w:tr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F1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Forward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0.0000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0.5375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0.5375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0.4000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1.4148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1.0853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0.09334</w:t>
            </w:r>
          </w:p>
        </w:tc>
      </w:tr>
      <w:tr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F2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Forward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0.5375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1.1467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0.6092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0.9250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1.1100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1.1386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0.59347</w:t>
            </w:r>
          </w:p>
        </w:tc>
      </w:tr>
      <w:tr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F3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Forward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1.1467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1.7558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0.6092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1.1750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0.7862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1.9343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1.62677</w:t>
            </w:r>
          </w:p>
        </w:tc>
      </w:tr>
      <w:tr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F4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Forward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1.7558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2.3650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0.6092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1.4250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0.4623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2.4244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2.99890</w:t>
            </w:r>
          </w:p>
        </w:tc>
      </w:tr>
      <w:tr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F5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Forward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2.3650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2.9301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0.5651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1.5500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0.1502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3.9112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5.30982</w:t>
            </w:r>
          </w:p>
        </w:tc>
      </w:tr>
      <w:tr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W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Wing-covered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2.9301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5.2904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2.3603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1.5500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0.0000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0.00000</w:t>
            </w:r>
          </w:p>
        </w:tc>
      </w:tr>
      <w:tr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A1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Aft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5.2904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5.3750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0.0846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1.5500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0.0102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0.0067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0.00136</w:t>
            </w:r>
          </w:p>
        </w:tc>
      </w:tr>
      <w:tr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A2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Aft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5.3750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6.2350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0.8600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1.4750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0.1246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0.0813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0.15221</w:t>
            </w:r>
          </w:p>
        </w:tc>
      </w:tr>
      <w:tr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A3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Aft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6.2350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7.0950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0.8600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1.3250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0.3328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0.2173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0.32809</w:t>
            </w:r>
          </w:p>
        </w:tc>
      </w:tr>
      <w:tr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A4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Aft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7.0950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8.1163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1.0213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1.1325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0.5606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0.3660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0.47940</w:t>
            </w:r>
          </w:p>
        </w:tc>
      </w:tr>
      <w:tr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A5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Aft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8.1163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9.1375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1.0212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0.8975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0.8079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0.5275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0.43389</w:t>
            </w:r>
          </w:p>
        </w:tc>
      </w:tr>
      <w:tr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A6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Aft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9.1375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9.6750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0.5375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0.6500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0.9966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0.6507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0.14776</w:t>
            </w:r>
          </w:p>
        </w:tc>
      </w:tr>
      <w:tr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A7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Aft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9.6750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10.2125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0.5375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0.3900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1.1268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0.7356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0.06014</w:t>
            </w:r>
          </w:p>
        </w:tc>
      </w:tr>
      <w:tr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A8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Aft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10.2125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10.7500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0.5375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0.1300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1.2569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0.8206</w:t>
            </w:r>
          </w:p>
        </w:tc>
        <w:tc>
          <w:tcPr>
            <w:tcW w:type="dxa" w:w="11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0.00745</w:t>
            </w:r>
          </w:p>
        </w:tc>
      </w:tr>
    </w:tbl>
    <w:p>
      <w:r>
        <w:rPr>
          <w:b/>
        </w:rPr>
        <w:t xml:space="preserve">Integration totals: </w:t>
      </w:r>
      <w:r>
        <w:t>forward body = 10.622298 m³; aft body = 1.610302 m³; total = 12.232600 m³. The forward body supplies 86.8% of the total destabilising integral and the aft body 13.2%.</w:t>
      </w:r>
    </w:p>
    <w:p>
      <w:pPr>
        <w:pStyle w:val="Heading1"/>
        <w:keepNext/>
      </w:pPr>
      <w:r>
        <w:t>5. Fuselage pitching-moment-slope result</w:t>
      </w:r>
    </w:p>
    <w:p>
      <w:pPr>
        <w:pStyle w:val="Equation"/>
        <w:jc w:val="center"/>
      </w:pPr>
      <w:r>
        <w:rPr>
          <w:rFonts w:ascii="Cambria Math" w:hAnsi="Cambria Math"/>
          <w:sz w:val="22"/>
        </w:rPr>
        <w:t>Cₘα,FUS = 12.232600/[36.5(30.000)(1.881)] = +0.005939 deg⁻¹</w:t>
      </w:r>
      <w:r>
        <w:rPr>
          <w:rFonts w:ascii="Arial" w:hAnsi="Arial"/>
          <w:sz w:val="20"/>
        </w:rPr>
        <w:t xml:space="preserve">    (SM6.3B-8)</w:t>
      </w:r>
    </w:p>
    <w:p>
      <w:pPr>
        <w:pStyle w:val="Equation"/>
        <w:jc w:val="center"/>
      </w:pPr>
      <w:r>
        <w:rPr>
          <w:rFonts w:ascii="Cambria Math" w:hAnsi="Cambria Math"/>
          <w:sz w:val="22"/>
        </w:rPr>
        <w:t>Cₘα,FUS = +0.34028 rad⁻¹</w:t>
      </w:r>
      <w:r>
        <w:rPr>
          <w:rFonts w:ascii="Arial" w:hAnsi="Arial"/>
          <w:sz w:val="20"/>
        </w:rPr>
        <w:t xml:space="preserve">    (SM6.3B-9)</w:t>
      </w:r>
    </w:p>
    <w:p>
      <w:r>
        <w:t>The correction is positive and therefore destabilising. It is about 29.0% of the magnitude of the original lifting-system Cₘα. It also exceeds the previously established +0.1636 rad⁻¹ destabilising budget for retaining 10% MAC at FS 3.900 by a factor of 2.08.</w:t>
      </w:r>
    </w:p>
    <w:p>
      <w:pPr>
        <w:pStyle w:val="Heading1"/>
        <w:keepNext/>
      </w:pPr>
      <w:r>
        <w:t>6. Corrected neutral point and static-margin gate</w:t>
      </w:r>
    </w:p>
    <w:p>
      <w:pPr>
        <w:pStyle w:val="Equation"/>
        <w:jc w:val="center"/>
      </w:pPr>
      <w:r>
        <w:rPr>
          <w:rFonts w:ascii="Cambria Math" w:hAnsi="Cambria Math"/>
          <w:sz w:val="22"/>
        </w:rPr>
        <w:t>Cₘα,corr = -1.17352 + 0.34028 = -0.83324 rad⁻¹</w:t>
      </w:r>
      <w:r>
        <w:rPr>
          <w:rFonts w:ascii="Arial" w:hAnsi="Arial"/>
          <w:sz w:val="20"/>
        </w:rPr>
        <w:t xml:space="preserve">    (SM6.3B-10)</w:t>
      </w:r>
    </w:p>
    <w:p>
      <w:pPr>
        <w:pStyle w:val="Equation"/>
        <w:jc w:val="center"/>
      </w:pPr>
      <w:r>
        <w:rPr>
          <w:rFonts w:ascii="Cambria Math" w:hAnsi="Cambria Math"/>
          <w:sz w:val="22"/>
        </w:rPr>
        <w:t>x_NP,corr = 3.750 − 1.881[-0.83324/5.61880] = 4.02894 m</w:t>
      </w:r>
      <w:r>
        <w:rPr>
          <w:rFonts w:ascii="Arial" w:hAnsi="Arial"/>
          <w:sz w:val="20"/>
        </w:rPr>
        <w:t xml:space="preserve">    (SM6.3B-11)</w:t>
      </w:r>
    </w:p>
    <w:p>
      <w:pPr>
        <w:pStyle w:val="Equation"/>
        <w:jc w:val="center"/>
      </w:pPr>
      <w:r>
        <w:rPr>
          <w:rFonts w:ascii="Cambria Math" w:hAnsi="Cambria Math"/>
          <w:sz w:val="22"/>
        </w:rPr>
        <w:t>h_N,corr = (4.02894 − 3.050)/1.881 = 0.52044 = 52.04% MAC</w:t>
      </w:r>
      <w:r>
        <w:rPr>
          <w:rFonts w:ascii="Arial" w:hAnsi="Arial"/>
          <w:sz w:val="20"/>
        </w:rPr>
        <w:t xml:space="preserve">    (SM6.3B-12)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Item</w:t>
            </w:r>
          </w:p>
        </w:tc>
        <w:tc>
          <w:tcPr>
            <w:tcW w:type="dxa" w:w="17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FS x (m)</w:t>
            </w:r>
          </w:p>
        </w:tc>
        <w:tc>
          <w:tcPr>
            <w:tcW w:type="dxa" w:w="17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% MAC</w:t>
            </w:r>
          </w:p>
        </w:tc>
        <w:tc>
          <w:tcPr>
            <w:tcW w:type="dxa" w:w="34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Assessment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Lifting-system NP (before body correction)</w:t>
            </w:r>
          </w:p>
        </w:tc>
        <w:tc>
          <w:tcPr>
            <w:tcW w:type="dxa" w:w="17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4.14286</w:t>
            </w:r>
          </w:p>
        </w:tc>
        <w:tc>
          <w:tcPr>
            <w:tcW w:type="dxa" w:w="17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58.10%</w:t>
            </w:r>
          </w:p>
        </w:tc>
        <w:tc>
          <w:tcPr>
            <w:tcW w:type="dxa" w:w="34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Reference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Fuselage-corrected NP</w:t>
            </w:r>
          </w:p>
        </w:tc>
        <w:tc>
          <w:tcPr>
            <w:tcW w:type="dxa" w:w="17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4.02894</w:t>
            </w:r>
          </w:p>
        </w:tc>
        <w:tc>
          <w:tcPr>
            <w:tcW w:type="dxa" w:w="17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52.04%</w:t>
            </w:r>
          </w:p>
        </w:tc>
        <w:tc>
          <w:tcPr>
            <w:tcW w:type="dxa" w:w="34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Accepted SM6.3B estimate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Forward design CG</w:t>
            </w:r>
          </w:p>
        </w:tc>
        <w:tc>
          <w:tcPr>
            <w:tcW w:type="dxa" w:w="17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3.600</w:t>
            </w:r>
          </w:p>
        </w:tc>
        <w:tc>
          <w:tcPr>
            <w:tcW w:type="dxa" w:w="17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29.24%</w:t>
            </w:r>
          </w:p>
        </w:tc>
        <w:tc>
          <w:tcPr>
            <w:tcW w:type="dxa" w:w="34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SM = 22.80% MAC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Aft design CG</w:t>
            </w:r>
          </w:p>
        </w:tc>
        <w:tc>
          <w:tcPr>
            <w:tcW w:type="dxa" w:w="17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3.900</w:t>
            </w:r>
          </w:p>
        </w:tc>
        <w:tc>
          <w:tcPr>
            <w:tcW w:type="dxa" w:w="17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45.19%</w:t>
            </w:r>
          </w:p>
        </w:tc>
        <w:tc>
          <w:tcPr>
            <w:tcW w:type="dxa" w:w="34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SM = 6.85% MAC — FAIL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NP required for 10% at aft CG</w:t>
            </w:r>
          </w:p>
        </w:tc>
        <w:tc>
          <w:tcPr>
            <w:tcW w:type="dxa" w:w="17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4.0881</w:t>
            </w:r>
          </w:p>
        </w:tc>
        <w:tc>
          <w:tcPr>
            <w:tcW w:type="dxa" w:w="17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55.19%</w:t>
            </w:r>
          </w:p>
        </w:tc>
        <w:tc>
          <w:tcPr>
            <w:tcW w:type="dxa" w:w="34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Required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Aft CG allowed for 10% with corrected NP</w:t>
            </w:r>
          </w:p>
        </w:tc>
        <w:tc>
          <w:tcPr>
            <w:tcW w:type="dxa" w:w="17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3.8408</w:t>
            </w:r>
          </w:p>
        </w:tc>
        <w:tc>
          <w:tcPr>
            <w:tcW w:type="dxa" w:w="17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42.04%</w:t>
            </w:r>
          </w:p>
        </w:tc>
        <w:tc>
          <w:tcPr>
            <w:tcW w:type="dxa" w:w="345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Provisional aft limit</w:t>
            </w:r>
          </w:p>
        </w:tc>
      </w:tr>
    </w:tbl>
    <w:p>
      <w:r>
        <w:rPr>
          <w:b/>
        </w:rPr>
        <w:t xml:space="preserve">10% MAC gate decision: FAIL. </w:t>
      </w:r>
      <w:r>
        <w:t>At FS 3.900 m, the fuselage-corrected static margin is 6.85% MAC, 3.15 percentage points below the 10% target. Equivalently, the corrected neutral point is 0.0592 m forward of the FS 4.0881 m neutral-point location required to retain 10% MAC at the current aft-CG boundary. Holding the corrected neutral point fixed would require the aft-CG design boundary to move forward to about FS 3.8408 m (42.04% MAC).</w:t>
      </w:r>
    </w:p>
    <w:p>
      <w:pPr>
        <w:pStyle w:val="Heading1"/>
        <w:keepNext/>
      </w:pPr>
      <w:r>
        <w:t>7. Discretisation sensitivity and robustness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Mesh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Total regions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Forward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Aft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Cₘα,FUS (rad⁻¹)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x_NP (m)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SM @ FS3.90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Coarse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0.33104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4.03204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7.02%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Baseline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0.34028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4.02894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6.85%</w:t>
            </w:r>
          </w:p>
        </w:tc>
      </w:tr>
      <w:tr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Fine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0.35815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4.02296</w:t>
            </w:r>
          </w:p>
        </w:tc>
        <w:tc>
          <w:tcPr>
            <w:tcW w:type="dxa" w:w="14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6.54%</w:t>
            </w:r>
          </w:p>
        </w:tc>
      </w:tr>
    </w:tbl>
    <w:p>
      <w:r>
        <w:t>All three integrations remain inside the method’s 10–20-region conceptual range. The resulting aft-CG static margin spans only about 6.54–7.02% MAC and therefore remains below 10% for every tested discretisation. The pass/fail conclusion is not a segmentation artefact.</w:t>
      </w:r>
    </w:p>
    <w:p>
      <w:pPr>
        <w:pStyle w:val="Heading1"/>
        <w:keepNext/>
      </w:pPr>
      <w:r>
        <w:t>8. SM6.3B disposition and handoff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Gate / quantity</w:t>
            </w:r>
          </w:p>
        </w:tc>
        <w:tc>
          <w:tcPr>
            <w:tcW w:type="dxa" w:w="36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Result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Disposition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Frozen 10.75 m G1.3 fuselage stations used</w:t>
            </w:r>
          </w:p>
        </w:tc>
        <w:tc>
          <w:tcPr>
            <w:tcW w:type="dxa" w:w="36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Yes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PASS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SM6.3A wing-only C_Lα,w used</w:t>
            </w:r>
          </w:p>
        </w:tc>
        <w:tc>
          <w:tcPr>
            <w:tcW w:type="dxa" w:w="36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4.88866 rad⁻¹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PASS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Wing downwash scale</w:t>
            </w:r>
          </w:p>
        </w:tc>
        <w:tc>
          <w:tcPr>
            <w:tcW w:type="dxa" w:w="36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0.34714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PASS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14-region station-based integration</w:t>
            </w:r>
          </w:p>
        </w:tc>
        <w:tc>
          <w:tcPr>
            <w:tcW w:type="dxa" w:w="36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Completed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PASS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Cₘα,FUS sign</w:t>
            </w:r>
          </w:p>
        </w:tc>
        <w:tc>
          <w:tcPr>
            <w:tcW w:type="dxa" w:w="36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Positive / destabilising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Physically expected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Cₘα,FUS</w:t>
            </w:r>
          </w:p>
        </w:tc>
        <w:tc>
          <w:tcPr>
            <w:tcW w:type="dxa" w:w="36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+0.34028 rad⁻¹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ACCEPT analytical estimate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Corrected x_NP</w:t>
            </w:r>
          </w:p>
        </w:tc>
        <w:tc>
          <w:tcPr>
            <w:tcW w:type="dxa" w:w="36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FS 4.02894 m / 52.04% MAC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ACCEPT fuselage-corrected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Forward-CG static margin</w:t>
            </w:r>
          </w:p>
        </w:tc>
        <w:tc>
          <w:tcPr>
            <w:tcW w:type="dxa" w:w="36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22.80% MAC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PASS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Aft-CG static margin</w:t>
            </w:r>
          </w:p>
        </w:tc>
        <w:tc>
          <w:tcPr>
            <w:tcW w:type="dxa" w:w="36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6.85% MAC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FAIL vs 10% floor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Discretisation sensitivity</w:t>
            </w:r>
          </w:p>
        </w:tc>
        <w:tc>
          <w:tcPr>
            <w:tcW w:type="dxa" w:w="36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6.54–7.02% MAC aft SM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FAIL robust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Overall SM6.3B</w:t>
            </w:r>
          </w:p>
        </w:tc>
        <w:tc>
          <w:tcPr>
            <w:tcW w:type="dxa" w:w="360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Calculation complete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CLOSED / FAIL current aft-CG gate</w:t>
            </w:r>
          </w:p>
        </w:tc>
      </w:tr>
    </w:tbl>
    <w:p>
      <w:r>
        <w:rPr>
          <w:b/>
        </w:rPr>
        <w:t xml:space="preserve">Closure statement. </w:t>
      </w:r>
      <w:r>
        <w:t>SM6.3B is CLOSED as a completed conceptual analytical correction. Using the frozen 10.75 m G1.3 fuselage and the measured MainWing-only C_Lα,w = 4.88866 rad⁻¹, the station-based Munk-Multhopp integration gives Cₘα,FUS = +0.3403 rad⁻¹. Applied to the validated lifting-system slopes, this moves the stick-fixed neutral point from FS 4.1429 m (58.10% MAC) to FS 4.0289 m (52.04% MAC). Static margin becomes 22.80% MAC at FS 3.600 and only 6.85% MAC at FS 3.900. Therefore the current FS 3.900 aft-CG boundary fails the 10% MAC conceptual stability gate. The next step is SM6.4: compare this corrected stability boundary with the actual R2-T1 mass/loading CG cloud and either prove that operational loading remains forward of approximately FS 3.841 m or reopen the aft-CG/tail-sizing design gate.</w:t>
      </w:r>
    </w:p>
    <w:p>
      <w:r>
        <w:rPr>
          <w:b/>
        </w:rPr>
        <w:t xml:space="preserve">Scope boundary. </w:t>
      </w:r>
      <w:r>
        <w:t>The numerical correction above is for the fuselage only. Nacelle and powered-propeller normal-force contributions are not included in SM6.3B. Consequently, the quoted neutral point is explicitly the fuselage-corrected lifting-system neutral point, not a final certification-level complete-aircraft neutral point. These omitted effects should remain traceable in the final stability uncertainty register.</w:t>
      </w:r>
    </w:p>
    <w:p>
      <w:pPr>
        <w:pStyle w:val="Heading1"/>
        <w:keepNext/>
      </w:pPr>
      <w:r>
        <w:t>References and evidence</w:t>
      </w:r>
    </w:p>
    <w:p>
      <w:pPr>
        <w:ind w:left="216" w:hanging="216"/>
      </w:pPr>
      <w:r>
        <w:t>[1] S. Gudmundsson, General Aviation Aircraft Design: Applied Methods and Procedures, 1st ed., Butterworth-Heinemann/Elsevier, 2014, Chapter 11 and Appendix C1.6.3, “Contribution of Fuselage and Nacelles.”</w:t>
      </w:r>
    </w:p>
    <w:p>
      <w:pPr>
        <w:ind w:left="216" w:hanging="216"/>
      </w:pPr>
      <w:r>
        <w:t>[2] Tyche R2-T1 G1.3 analysis-ready geometry script, Tyche_R2T1_G1_3_Analysis.vspscript, frozen 10.750 m seven-station fuselage and 5.90 m c/4-to-c/4 tail-arm definition.</w:t>
      </w:r>
    </w:p>
    <w:p>
      <w:pPr>
        <w:ind w:left="216" w:hanging="216"/>
      </w:pPr>
      <w:r>
        <w:t>[3] G5_CGSM_ALPHA_M2_P2(1).csv, SM6.1 five-point local static-stability sweep: C_Lα = 5.61880 rad⁻¹, Cₘα = −1.17352 rad⁻¹, x_NP,LS = 4.14286 m.</w:t>
      </w:r>
    </w:p>
    <w:p>
      <w:pPr>
        <w:ind w:left="216" w:hanging="216"/>
      </w:pPr>
      <w:r>
        <w:t>[4] G5_CGSM_XREF390_CHECK.csv, SM6.2 moment-reference invariance audit.</w:t>
      </w:r>
    </w:p>
    <w:p>
      <w:pPr>
        <w:ind w:left="216" w:hanging="216"/>
      </w:pPr>
      <w:r>
        <w:t>[5] G5_SM63_WING_ONLY_ALPHA_M2_P2.csv, SM6.3A MainWing-only support run: C_Lα,w = 4.88866 rad⁻¹.</w:t>
      </w:r>
    </w:p>
    <w:p>
      <w:pPr>
        <w:ind w:left="216" w:hanging="216"/>
      </w:pPr>
      <w:r>
        <w:t>[6] Tyche R2-T1 04_Clean_Aero G1.4–G1.6 analysis closure: production stability work retains the converged thin lifting-system model and applies a separate analytical fuselage correction rather than importing the rejected mixed thin/thick-body solution.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Munk-Multhopp fuselage correction | Analysis record | 21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6"/>
      </w:rPr>
      <w:t>TYCHE R2-T1 | 05_Stability / 06_CG_Static_Margin | SM6.3B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spacing w:before="60" w:after="60"/>
    </w:pPr>
    <w:rPr>
      <w:rFonts w:ascii="Cambria Math" w:hAnsi="Cambria Math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Tyche R2-T1 SM6.3B Munk-Multhopp Fuselage Stability Correction</dc:title>
  <dc:subject>05_Stability/06_CG_Static_Margin analytical fuselage correction</dc:subject>
  <dc:creator>Tyche Design Team</dc:creator>
  <cp:keywords>Tyche R2-T1, stability, static margin, neutral point, Munk-Multhopp, fuselage, VSPAERO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