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jc w:val="center"/>
        <w:rPr>
          <w:color w:val="000000"/>
        </w:rPr>
      </w:pPr>
      <w:r>
        <w:rPr>
          <w:rFonts w:eastAsia="Arial" w:cs="Arial" w:ascii="Arial" w:hAnsi="Arial"/>
          <w:b/>
          <w:color w:val="000000"/>
          <w:sz w:val="44"/>
        </w:rPr>
        <w:t>TYCHE R2-T1</w:t>
      </w:r>
    </w:p>
    <w:p>
      <w:pPr>
        <w:pStyle w:val="Subtitle"/>
        <w:widowControl/>
        <w:jc w:val="center"/>
        <w:rPr>
          <w:color w:val="000000"/>
        </w:rPr>
      </w:pPr>
      <w:r>
        <w:rPr>
          <w:rFonts w:eastAsia="Arial" w:cs="Arial"/>
          <w:color w:val="000000"/>
          <w:sz w:val="30"/>
        </w:rPr>
        <w:t>SM6.3B Verification and Integrated SM6.4 Mass-Properties / CG-Envelope Closure</w:t>
      </w:r>
    </w:p>
    <w:p>
      <w:pPr>
        <w:pStyle w:val="Author"/>
        <w:widowControl/>
        <w:jc w:val="center"/>
        <w:rPr>
          <w:color w:val="000000"/>
        </w:rPr>
      </w:pPr>
      <w:r>
        <w:rPr>
          <w:rFonts w:eastAsia="Arial" w:cs="Arial"/>
          <w:color w:val="000000"/>
          <w:sz w:val="24"/>
        </w:rPr>
        <w:t>Tyche Design Team</w:t>
      </w:r>
    </w:p>
    <w:p>
      <w:pPr>
        <w:pStyle w:val="Date"/>
        <w:widowControl/>
        <w:jc w:val="center"/>
        <w:rPr>
          <w:color w:val="000000"/>
        </w:rPr>
      </w:pPr>
      <w:r>
        <w:rPr>
          <w:rFonts w:eastAsia="Arial" w:cs="Arial"/>
          <w:color w:val="000000"/>
          <w:sz w:val="24"/>
        </w:rPr>
        <w:t>21 August 2026</w:t>
      </w:r>
    </w:p>
    <w:p>
      <w:pPr>
        <w:pStyle w:val="FirstParagraph"/>
        <w:widowControl/>
        <w:rPr/>
      </w:pPr>
      <w:r>
        <w:rPr>
          <w:rFonts w:eastAsia="Arial" w:cs="Arial"/>
          <w:b/>
          <w:bCs/>
          <w:color w:val="000000"/>
          <w:sz w:val="24"/>
        </w:rPr>
        <w:t>Analysis release:</w:t>
      </w:r>
      <w:r>
        <w:rPr>
          <w:rFonts w:eastAsia="Arial" w:cs="Arial"/>
          <w:color w:val="000000"/>
          <w:sz w:val="24"/>
        </w:rPr>
        <w:t xml:space="preserve"> SM6.3B + SM6.4A-C</w:t>
        <w:br/>
      </w:r>
      <w:r>
        <w:rPr>
          <w:rFonts w:eastAsia="Arial" w:cs="Arial"/>
          <w:b/>
          <w:bCs/>
          <w:color w:val="000000"/>
          <w:sz w:val="24"/>
        </w:rPr>
        <w:t>Configuration:</w:t>
      </w:r>
      <w:r>
        <w:rPr>
          <w:rFonts w:eastAsia="Arial" w:cs="Arial"/>
          <w:color w:val="000000"/>
          <w:sz w:val="24"/>
        </w:rPr>
        <w:t xml:space="preserve"> Frozen 10.750 m G1.3 fuselage / G5 lifting-system stability model</w:t>
        <w:br/>
      </w:r>
      <w:r>
        <w:rPr>
          <w:rFonts w:eastAsia="Arial" w:cs="Arial"/>
          <w:b/>
          <w:bCs/>
          <w:color w:val="000000"/>
          <w:sz w:val="24"/>
        </w:rPr>
        <w:t>Purpose:</w:t>
      </w:r>
      <w:r>
        <w:rPr>
          <w:rFonts w:eastAsia="Arial" w:cs="Arial"/>
          <w:color w:val="000000"/>
          <w:sz w:val="24"/>
        </w:rPr>
        <w:t xml:space="preserve"> Final integrated longitudinal static-stability and loading-envelope record before </w:t>
      </w:r>
      <w:r>
        <w:rPr>
          <w:rStyle w:val="VerbatimChar"/>
          <w:rFonts w:eastAsia="Arial" w:cs="Arial"/>
          <w:color w:val="000000"/>
          <w:sz w:val="24"/>
        </w:rPr>
        <w:t>07_VMC_Control_Closure</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3455"/>
        <w:gridCol w:w="6913"/>
      </w:tblGrid>
      <w:tr>
        <w:trPr>
          <w:tblHeader w:val="true"/>
          <w:cantSplit/>
        </w:trPr>
        <w:tc>
          <w:tcPr>
            <w:tcW w:w="3455"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Headline quantity</w:t>
            </w:r>
          </w:p>
        </w:tc>
        <w:tc>
          <w:tcPr>
            <w:tcW w:w="691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Integrated result</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SM6.3B equation and central arithmetic</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 - independently reproduced</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Fuselage correction, </w:t>
            </w:r>
            <w:r>
              <w:rPr>
                <w:color w:val="000000"/>
                <w:kern w:val="0"/>
                <w:szCs w:val="24"/>
                <w:lang w:val="en-US" w:eastAsia="en-US" w:bidi="ar-SA"/>
              </w:rPr>
            </w:r>
            <m:oMath xmlns:m="http://schemas.openxmlformats.org/officeDocument/2006/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sub>
              </m:sSub>
            </m:oMath>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r>
                  <m:rPr>
                    <m:lit/>
                    <m:nor/>
                  </m:rPr>
                  <w:rPr>
                    <w:rFonts w:ascii="Cambria Math" w:hAnsi="Cambria Math"/>
                  </w:rPr>
                  <m:t xml:space="preserve">+</m:t>
                </m:r>
                <m:r>
                  <w:rPr>
                    <w:rFonts w:ascii="Cambria Math" w:hAnsi="Cambria Math"/>
                  </w:rPr>
                  <m:t xml:space="preserve">0.34028</m:t>
                </m:r>
                <m:r>
                  <w:rPr>
                    <w:rFonts w:ascii="Cambria Math" w:hAnsi="Cambria Math"/>
                  </w:rPr>
                  <m:t xml:space="preserve">r</m:t>
                </m:r>
                <m:r>
                  <w:rPr>
                    <w:rFonts w:ascii="Cambria Math" w:hAnsi="Cambria Math"/>
                  </w:rPr>
                  <m:t xml:space="preserve">a</m:t>
                </m:r>
                <m:sSup>
                  <m:e>
                    <m:r>
                      <w:rPr>
                        <w:rFonts w:ascii="Cambria Math" w:hAnsi="Cambria Math"/>
                      </w:rPr>
                      <m:t xml:space="preserve">d</m:t>
                    </m:r>
                  </m:e>
                  <m:sup>
                    <m:r>
                      <w:rPr>
                        <w:rFonts w:ascii="Cambria Math" w:hAnsi="Cambria Math"/>
                      </w:rPr>
                      <m:t xml:space="preserve">−</m:t>
                    </m:r>
                    <m:r>
                      <w:rPr>
                        <w:rFonts w:ascii="Cambria Math" w:hAnsi="Cambria Math"/>
                      </w:rPr>
                      <m:t xml:space="preserve">1</m:t>
                    </m:r>
                  </m:sup>
                </m:sSup>
              </m:oMath>
            </m:oMathPara>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Fuselage-corrected neutral point</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4.02894 m = 52.04% MAC</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U20 screening neutral point / 10% aft limit</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4.02588 m / FS 3.83778 m</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Geometry-based OEW CG</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3.42993 m = 20.20% MAC</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Nominal loading-cloud extent</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3.34618-3.70312 m</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 aft nominal U20 static margin</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17.16% MAC - PASS</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Independent-uniform 95% aft screen</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 xml:space="preserve">FS 3.76080 m; </w:t>
            </w:r>
            <w:r>
              <w:rPr>
                <w:rFonts w:eastAsia="Arial" w:cs="Arial"/>
                <w:b/>
                <w:bCs/>
                <w:color w:val="000000"/>
                <w:kern w:val="0"/>
                <w:sz w:val="24"/>
                <w:szCs w:val="24"/>
                <w:lang w:val="en-US" w:eastAsia="en-US" w:bidi="ar-SA"/>
              </w:rPr>
              <w:t>14.09% MAC - PASS</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All-at-bounds deterministic aft screen</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 xml:space="preserve">FS 3.91324 m; </w:t>
            </w:r>
            <w:r>
              <w:rPr>
                <w:rFonts w:eastAsia="Arial" w:cs="Arial"/>
                <w:b/>
                <w:bCs/>
                <w:color w:val="000000"/>
                <w:kern w:val="0"/>
                <w:sz w:val="24"/>
                <w:szCs w:val="24"/>
                <w:lang w:val="en-US" w:eastAsia="en-US" w:bidi="ar-SA"/>
              </w:rPr>
              <w:t>5.99% MAC - HOLD / FAIL release</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Previous FS 3.600 forward boundary</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Not contained; forward-control / gear gate reopened</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kern w:val="0"/>
                <w:szCs w:val="24"/>
                <w:lang w:val="en-US" w:eastAsia="en-US" w:bidi="ar-SA"/>
              </w:rPr>
            </w:pPr>
            <w:r>
              <w:rPr>
                <w:rFonts w:eastAsia="Arial" w:cs="Arial"/>
                <w:color w:val="000000"/>
                <w:kern w:val="0"/>
                <w:sz w:val="24"/>
                <w:szCs w:val="24"/>
                <w:lang w:val="en-US" w:eastAsia="en-US" w:bidi="ar-SA"/>
              </w:rPr>
              <w:t xml:space="preserve">Overall </w:t>
            </w:r>
            <w:r>
              <w:rPr>
                <w:rStyle w:val="VerbatimChar"/>
                <w:rFonts w:eastAsia="Arial" w:cs="Arial"/>
                <w:color w:val="000000"/>
                <w:kern w:val="0"/>
                <w:sz w:val="24"/>
                <w:szCs w:val="24"/>
                <w:lang w:val="en-US" w:eastAsia="en-US" w:bidi="ar-SA"/>
              </w:rPr>
              <w:t>06_CG_Static_Margin</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Conditional analysis PASS; operational release HOLD</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Handoff</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kern w:val="0"/>
                <w:szCs w:val="24"/>
                <w:lang w:val="en-US" w:eastAsia="en-US" w:bidi="ar-SA"/>
              </w:rPr>
            </w:pPr>
            <w:r>
              <w:rPr>
                <w:rFonts w:eastAsia="Arial" w:cs="Arial"/>
                <w:b/>
                <w:bCs/>
                <w:color w:val="000000"/>
                <w:kern w:val="0"/>
                <w:sz w:val="24"/>
                <w:szCs w:val="24"/>
                <w:lang w:val="en-US" w:eastAsia="en-US" w:bidi="ar-SA"/>
              </w:rPr>
              <w:t xml:space="preserve">Proceed to </w:t>
            </w:r>
            <w:r>
              <w:rPr>
                <w:rStyle w:val="VerbatimChar"/>
                <w:rFonts w:eastAsia="Arial" w:cs="Arial"/>
                <w:b/>
                <w:bCs/>
                <w:color w:val="000000"/>
                <w:kern w:val="0"/>
                <w:sz w:val="24"/>
                <w:szCs w:val="24"/>
                <w:lang w:val="en-US" w:eastAsia="en-US" w:bidi="ar-SA"/>
              </w:rPr>
              <w:t>07_VMC_Control_Closure</w:t>
            </w:r>
            <w:r>
              <w:rPr>
                <w:rFonts w:eastAsia="Arial" w:cs="Arial"/>
                <w:b/>
                <w:bCs/>
                <w:color w:val="000000"/>
                <w:kern w:val="0"/>
                <w:sz w:val="24"/>
                <w:szCs w:val="24"/>
                <w:lang w:val="en-US" w:eastAsia="en-US" w:bidi="ar-SA"/>
              </w:rPr>
              <w:t xml:space="preserve"> with the controlled cases in Section 11</w:t>
            </w:r>
          </w:p>
        </w:tc>
      </w:tr>
    </w:tbl>
    <w:p>
      <w:pPr>
        <w:pStyle w:val="BodyText"/>
        <w:widowControl/>
        <w:rPr>
          <w:color w:val="000000"/>
        </w:rPr>
      </w:pPr>
      <w:r>
        <w:rPr>
          <w:rFonts w:eastAsia="Arial" w:cs="Arial"/>
          <w:b/>
          <w:bCs/>
          <w:color w:val="000000"/>
          <w:sz w:val="24"/>
        </w:rPr>
        <w:t>Engineering conclusion.</w:t>
      </w:r>
      <w:r>
        <w:rPr>
          <w:rFonts w:eastAsia="Arial" w:cs="Arial"/>
          <w:color w:val="000000"/>
          <w:sz w:val="24"/>
        </w:rPr>
        <w:t xml:space="preserve"> The verified correction invalidates FS 3.900 m, but the geometry-based nominal cloud ends at FS 3.70312 m with 17.16% MAC static margin on U20; a tail resize is not indicated. Operational release remains on HOLD because several arms are not CAD centroids and the all-at-bounds screen fails. Valid light/front-row states reach FS 3.34618 m and about 26.7% nose load, making forward controllability and gear reaction the next longitudinal gate.</w:t>
      </w:r>
    </w:p>
    <w:p>
      <w:pPr>
        <w:pStyle w:val="Heading1"/>
        <w:widowControl/>
        <w:rPr>
          <w:color w:val="000000"/>
        </w:rPr>
      </w:pPr>
      <w:r>
        <w:rPr>
          <w:rFonts w:eastAsia="Arial" w:cs="Arial" w:ascii="Arial" w:hAnsi="Arial"/>
          <w:b/>
          <w:color w:val="000000"/>
          <w:sz w:val="30"/>
        </w:rPr>
        <w:t>1. Verification scope and controlled evidence</w:t>
      </w:r>
    </w:p>
    <w:p>
      <w:pPr>
        <w:pStyle w:val="FirstParagraph"/>
        <w:widowControl/>
        <w:rPr>
          <w:color w:val="000000"/>
        </w:rPr>
      </w:pPr>
      <w:r>
        <w:rPr>
          <w:rFonts w:eastAsia="Arial" w:cs="Arial"/>
          <w:color w:val="000000"/>
          <w:sz w:val="24"/>
        </w:rPr>
        <w:t>This record combines the verified SM6.3B fuselage correction with a completed conceptual SM6.4 mass-arm and loading-cloud calculation. The SM6.3B audit is retained so that the loading result remains connected to the exact neutral-point basis. The new SM6.4 work uses the 30-line operating-empty-mass statement in the design report, the frozen G1.3 stations, the cabin and propulsion geometry recorded in the report and analysis chat, and explicit engineering arm bounds. No mass is deleted and no credit is counted twice.</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2592"/>
        <w:gridCol w:w="5112"/>
        <w:gridCol w:w="2664"/>
      </w:tblGrid>
      <w:tr>
        <w:trPr>
          <w:tblHeader w:val="true"/>
          <w:cantSplit/>
        </w:trPr>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Audit item</w:t>
            </w:r>
          </w:p>
        </w:tc>
        <w:tc>
          <w:tcPr>
            <w:tcW w:w="51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Finding</w:t>
            </w:r>
          </w:p>
        </w:tc>
        <w:tc>
          <w:tcPr>
            <w:tcW w:w="266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Disposition</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Governing Munk-Multhopp strip integral</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Matches Gudmundsson Appendix C1 discrete form</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Degree/radian conversion</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36.5 equation returns per degree; </w:t>
            </w:r>
            <w:r>
              <w:rPr>
                <w:color w:val="000000"/>
                <w:kern w:val="0"/>
                <w:szCs w:val="24"/>
                <w:lang w:val="en-US" w:eastAsia="en-US" w:bidi="ar-SA"/>
              </w:rPr>
            </w:r>
            <m:oMath xmlns:m="http://schemas.openxmlformats.org/officeDocument/2006/math">
              <m:r>
                <w:rPr>
                  <w:rFonts w:ascii="Cambria Math" w:hAnsi="Cambria Math"/>
                </w:rPr>
                <m:t xml:space="preserve">180</m:t>
              </m:r>
              <m:r>
                <m:rPr>
                  <m:lit/>
                  <m:nor/>
                </m:rPr>
                <w:rPr>
                  <w:rFonts w:ascii="Cambria Math" w:hAnsi="Cambria Math"/>
                </w:rPr>
                <m:t xml:space="preserve">/</m:t>
              </m:r>
              <m:r>
                <w:rPr>
                  <w:rFonts w:ascii="Cambria Math" w:hAnsi="Cambria Math"/>
                </w:rPr>
                <m:t xml:space="preserve">π</m:t>
              </m:r>
            </m:oMath>
            <w:r>
              <w:rPr>
                <w:rFonts w:eastAsia="Arial" w:cs="Arial"/>
                <w:color w:val="000000"/>
                <w:kern w:val="0"/>
                <w:sz w:val="24"/>
                <w:szCs w:val="24"/>
                <w:lang w:val="en-US" w:eastAsia="en-US" w:bidi="ar-SA"/>
              </w:rPr>
              <w:t xml:space="preserve"> applied</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Frozen fuselage interpolation</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Piecewise-linear width; endpoint-average strip width</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14-region station arithmetic</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Independently reproduced</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Alternative discretisations</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U11, U14 and U20 boundaries explicitly defined</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OEW mass total</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30-line ledger sums to 1,327.0 kg</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OEW arm model</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Geometry-based and source-graded; not measured CAD centroids</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CONCEPTUAL</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Loading cloud</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All passenger subsets and endpoint cargo/fuel states enumerated</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Complete-aircraft aerodynamic model</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Nacelle, powered-propeller and body-lift corrections remain open</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HOLD</w:t>
            </w:r>
          </w:p>
        </w:tc>
      </w:tr>
    </w:tbl>
    <w:p>
      <w:pPr>
        <w:pStyle w:val="Heading2"/>
        <w:widowControl/>
        <w:rPr>
          <w:color w:val="000000"/>
        </w:rPr>
      </w:pPr>
      <w:r>
        <w:rPr>
          <w:rFonts w:eastAsia="Arial" w:cs="Arial" w:ascii="Arial" w:hAnsi="Arial"/>
          <w:b/>
          <w:color w:val="000000"/>
          <w:sz w:val="26"/>
        </w:rPr>
        <w:t>1.1 Controlled aerodynamic quantities</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2592"/>
        <w:gridCol w:w="5112"/>
        <w:gridCol w:w="2664"/>
      </w:tblGrid>
      <w:tr>
        <w:trPr>
          <w:tblHeader w:val="true"/>
          <w:cantSplit/>
        </w:trPr>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Quantity</w:t>
            </w:r>
          </w:p>
        </w:tc>
        <w:tc>
          <w:tcPr>
            <w:tcW w:w="51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Value</w:t>
            </w:r>
          </w:p>
        </w:tc>
        <w:tc>
          <w:tcPr>
            <w:tcW w:w="266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Evidence</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Wing reference area, </w:t>
            </w:r>
            <w:r>
              <w:rPr>
                <w:color w:val="000000"/>
                <w:kern w:val="0"/>
                <w:szCs w:val="24"/>
                <w:lang w:val="en-US" w:eastAsia="en-US" w:bidi="ar-SA"/>
              </w:rPr>
            </w:r>
            <m:oMath xmlns:m="http://schemas.openxmlformats.org/officeDocument/2006/math">
              <m:r>
                <w:rPr>
                  <w:rFonts w:ascii="Cambria Math" w:hAnsi="Cambria Math"/>
                </w:rPr>
                <m:t xml:space="preserve">S</m:t>
              </m:r>
            </m:oMath>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30.000 m²</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G5 / SM6.1</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Mean aerodynamic chord, </w:t>
            </w:r>
            <w:r>
              <w:rPr>
                <w:color w:val="000000"/>
                <w:kern w:val="0"/>
                <w:szCs w:val="24"/>
                <w:lang w:val="en-US" w:eastAsia="en-US" w:bidi="ar-SA"/>
              </w:rPr>
            </w:r>
            <m:oMath xmlns:m="http://schemas.openxmlformats.org/officeDocument/2006/math">
              <m:acc>
                <m:accPr>
                  <m:chr m:val="´"/>
                </m:accPr>
                <m:e>
                  <m:r>
                    <w:rPr>
                      <w:rFonts w:ascii="Cambria Math" w:hAnsi="Cambria Math"/>
                    </w:rPr>
                    <m:t xml:space="preserve">c</m:t>
                  </m:r>
                </m:e>
              </m:acc>
            </m:oMath>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1.881 m</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G5 / SM6.1</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Wing span, </w:t>
            </w:r>
            <w:r>
              <w:rPr>
                <w:color w:val="000000"/>
                <w:kern w:val="0"/>
                <w:szCs w:val="24"/>
                <w:lang w:val="en-US" w:eastAsia="en-US" w:bidi="ar-SA"/>
              </w:rPr>
            </w:r>
            <m:oMath xmlns:m="http://schemas.openxmlformats.org/officeDocument/2006/math">
              <m:r>
                <w:rPr>
                  <w:rFonts w:ascii="Cambria Math" w:hAnsi="Cambria Math"/>
                </w:rPr>
                <m:t xml:space="preserve">b</m:t>
              </m:r>
            </m:oMath>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16.400 m</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G1.3</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Aspect ratio, </w:t>
            </w:r>
            <w:r>
              <w:rPr>
                <w:color w:val="000000"/>
                <w:kern w:val="0"/>
                <w:szCs w:val="24"/>
                <w:lang w:val="en-US" w:eastAsia="en-US" w:bidi="ar-SA"/>
              </w:rPr>
            </w:r>
            <m:oMath xmlns:m="http://schemas.openxmlformats.org/officeDocument/2006/math">
              <m:r>
                <w:rPr>
                  <w:rFonts w:ascii="Cambria Math" w:hAnsi="Cambria Math"/>
                </w:rPr>
                <m:t xml:space="preserve">A</m:t>
              </m:r>
              <m:r>
                <w:rPr>
                  <w:rFonts w:ascii="Cambria Math" w:hAnsi="Cambria Math"/>
                </w:rPr>
                <m:t xml:space="preserve">R</m:t>
              </m:r>
            </m:oMath>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8.96533</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Derived</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Moment reference, </w:t>
            </w: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r</m:t>
                  </m:r>
                  <m:r>
                    <w:rPr>
                      <w:rFonts w:ascii="Cambria Math" w:hAnsi="Cambria Math"/>
                    </w:rPr>
                    <m:t xml:space="preserve">e</m:t>
                  </m:r>
                  <m:r>
                    <w:rPr>
                      <w:rFonts w:ascii="Cambria Math" w:hAnsi="Cambria Math"/>
                    </w:rPr>
                    <m:t xml:space="preserve">f</m:t>
                  </m:r>
                </m:sub>
              </m:sSub>
            </m:oMath>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3.750 m</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SM6.1</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MAC leading edge, </w:t>
            </w: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L</m:t>
                  </m:r>
                  <m:r>
                    <w:rPr>
                      <w:rFonts w:ascii="Cambria Math" w:hAnsi="Cambria Math"/>
                    </w:rPr>
                    <m:t xml:space="preserve">E</m:t>
                  </m:r>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C</m:t>
                  </m:r>
                </m:sub>
              </m:sSub>
            </m:oMath>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3.050 m</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G1.3</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Wing root LE / TE</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2.930079 / 5.290425 m</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G1.3</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Horizontal-tail aerodynamic centre</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9.420166 m</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G1.3</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MainWing-only </w:t>
            </w:r>
            <w:r>
              <w:rPr>
                <w:color w:val="000000"/>
                <w:kern w:val="0"/>
                <w:szCs w:val="24"/>
                <w:lang w:val="en-US" w:eastAsia="en-US" w:bidi="ar-SA"/>
              </w:rPr>
            </w:r>
            <m:oMath xmlns:m="http://schemas.openxmlformats.org/officeDocument/2006/math">
              <m:sSub>
                <m:e>
                  <m:r>
                    <w:rPr>
                      <w:rFonts w:ascii="Cambria Math" w:hAnsi="Cambria Math"/>
                    </w:rPr>
                    <m:t xml:space="preserve">C</m:t>
                  </m:r>
                </m:e>
                <m:sub>
                  <m:sSub>
                    <m:e>
                      <m:r>
                        <w:rPr>
                          <w:rFonts w:ascii="Cambria Math" w:hAnsi="Cambria Math"/>
                        </w:rPr>
                        <m:t xml:space="preserve">L</m:t>
                      </m:r>
                    </m:e>
                    <m:sub>
                      <m:r>
                        <w:rPr>
                          <w:rFonts w:ascii="Cambria Math" w:hAnsi="Cambria Math"/>
                        </w:rPr>
                        <m:t xml:space="preserve">α</m:t>
                      </m:r>
                    </m:sub>
                  </m:sSub>
                  <m:r>
                    <w:rPr>
                      <w:rFonts w:ascii="Cambria Math" w:hAnsi="Cambria Math"/>
                    </w:rPr>
                    <m:t xml:space="preserve">,</m:t>
                  </m:r>
                  <m:r>
                    <w:rPr>
                      <w:rFonts w:ascii="Cambria Math" w:hAnsi="Cambria Math"/>
                    </w:rPr>
                    <m:t xml:space="preserve">w</m:t>
                  </m:r>
                </m:sub>
              </m:sSub>
            </m:oMath>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4.88866 rad⁻¹</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SM6.3A</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Lifting-system </w:t>
            </w:r>
            <w:r>
              <w:rPr>
                <w:color w:val="000000"/>
                <w:kern w:val="0"/>
                <w:szCs w:val="24"/>
                <w:lang w:val="en-US" w:eastAsia="en-US" w:bidi="ar-SA"/>
              </w:rPr>
            </w:r>
            <m:oMath xmlns:m="http://schemas.openxmlformats.org/officeDocument/2006/math">
              <m:sSub>
                <m:e>
                  <m:r>
                    <w:rPr>
                      <w:rFonts w:ascii="Cambria Math" w:hAnsi="Cambria Math"/>
                    </w:rPr>
                    <m:t xml:space="preserve">C</m:t>
                  </m:r>
                </m:e>
                <m:sub>
                  <m:sSub>
                    <m:e>
                      <m:r>
                        <w:rPr>
                          <w:rFonts w:ascii="Cambria Math" w:hAnsi="Cambria Math"/>
                        </w:rPr>
                        <m:t xml:space="preserve">L</m:t>
                      </m:r>
                    </m:e>
                    <m:sub>
                      <m:r>
                        <w:rPr>
                          <w:rFonts w:ascii="Cambria Math" w:hAnsi="Cambria Math"/>
                        </w:rPr>
                        <m:t xml:space="preserve">α</m:t>
                      </m:r>
                    </m:sub>
                  </m:sSub>
                </m:sub>
              </m:sSub>
            </m:oMath>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5.61880 rad⁻¹</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SM6.1</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Lifting-system </w:t>
            </w:r>
            <w:r>
              <w:rPr>
                <w:color w:val="000000"/>
                <w:kern w:val="0"/>
                <w:szCs w:val="24"/>
                <w:lang w:val="en-US" w:eastAsia="en-US" w:bidi="ar-SA"/>
              </w:rPr>
            </w:r>
            <m:oMath xmlns:m="http://schemas.openxmlformats.org/officeDocument/2006/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sub>
              </m:sSub>
            </m:oMath>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-1.17352 rad⁻¹</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SM6.1</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Lifting-system neutral point</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FS 4.14286 m</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SM6.1 / SM6.2</w:t>
            </w:r>
            <w:bookmarkStart w:id="0" w:name="X8e266d13053919813e74d7ab0db2964eee7c073"/>
            <w:bookmarkEnd w:id="0"/>
          </w:p>
        </w:tc>
      </w:tr>
    </w:tbl>
    <w:p>
      <w:pPr>
        <w:pStyle w:val="Heading1"/>
        <w:widowControl/>
        <w:rPr>
          <w:color w:val="000000"/>
        </w:rPr>
      </w:pPr>
      <w:r>
        <w:rPr>
          <w:rFonts w:eastAsia="Arial" w:cs="Arial" w:ascii="Arial" w:hAnsi="Arial"/>
          <w:b/>
          <w:color w:val="000000"/>
          <w:sz w:val="30"/>
        </w:rPr>
        <w:t>2. Verified Munk-Multhopp methodology</w:t>
      </w:r>
    </w:p>
    <w:p>
      <w:pPr>
        <w:pStyle w:val="FirstParagraph"/>
        <w:widowControl/>
        <w:rPr>
          <w:color w:val="000000"/>
        </w:rPr>
      </w:pPr>
      <w:r>
        <w:rPr>
          <w:rFonts w:eastAsia="Arial" w:cs="Arial"/>
          <w:color w:val="000000"/>
          <w:sz w:val="24"/>
        </w:rPr>
        <w:t>Gudmundsson's Appendix C1 implements the Munk-Multhopp fuselage or nacelle correction by dividing the body into forward, wing-covered and aft regions. The angle-of-attack-dependent pitching-moment slope is computed from local body width, local flow-angle gradient and segment length. With all dimensions in metres, the dimensional ratio is unchanged.</w:t>
      </w:r>
    </w:p>
    <w:p>
      <w:pPr>
        <w:pStyle w:val="BodyText"/>
        <w:keepNext w:val="true"/>
        <w:widowControl/>
        <w:rPr>
          <w:color w:val="000000"/>
        </w:rPr>
      </w:pPr>
      <w:r>
        <w:rPr>
          <w:rFonts w:eastAsia="Arial" w:cs="Arial"/>
          <w:color w:val="000000"/>
          <w:sz w:val="24"/>
        </w:rPr>
        <w:t>Equation (SM6.3B-1):</w:t>
      </w:r>
    </w:p>
    <w:p>
      <w:pPr>
        <w:pStyle w:val="BodyText"/>
        <w:keepLines/>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g</m:t>
              </m:r>
            </m:sub>
          </m:sSub>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36.5</m:t>
              </m:r>
              <m:r>
                <w:rPr>
                  <w:rFonts w:ascii="Cambria Math" w:hAnsi="Cambria Math"/>
                </w:rPr>
                <m:t xml:space="preserve">S</m:t>
              </m:r>
              <m:acc>
                <m:accPr>
                  <m:chr m:val="´"/>
                </m:accPr>
                <m:e>
                  <m:r>
                    <w:rPr>
                      <w:rFonts w:ascii="Cambria Math" w:hAnsi="Cambria Math"/>
                    </w:rPr>
                    <m:t xml:space="preserve">c</m:t>
                  </m:r>
                </m:e>
              </m:acc>
            </m:den>
          </m:f>
          <m:nary>
            <m:naryPr>
              <m:chr m:val="∑"/>
              <m:supHide m:val="1"/>
            </m:naryPr>
            <m:sub>
              <m:r>
                <w:rPr>
                  <w:rFonts w:ascii="Cambria Math" w:hAnsi="Cambria Math"/>
                </w:rPr>
                <m:t xml:space="preserve">i</m:t>
              </m:r>
            </m:sub>
            <m:sup/>
            <m:e>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e>
          </m:nary>
          <m:sSub>
            <m:e>
              <m:d>
                <m:dPr>
                  <m:begChr m:val="("/>
                  <m:endChr m:val=")"/>
                </m:dPr>
                <m:e>
                  <m:f>
                    <m:num>
                      <m:r>
                        <w:rPr>
                          <w:rFonts w:ascii="Cambria Math" w:hAnsi="Cambria Math"/>
                        </w:rPr>
                        <m:t xml:space="preserve">∂</m:t>
                      </m:r>
                      <m:r>
                        <w:rPr>
                          <w:rFonts w:ascii="Cambria Math" w:hAnsi="Cambria Math"/>
                        </w:rPr>
                        <m:t xml:space="preserve">β</m:t>
                      </m:r>
                    </m:num>
                    <m:den>
                      <m:r>
                        <w:rPr>
                          <w:rFonts w:ascii="Cambria Math" w:hAnsi="Cambria Math"/>
                        </w:rPr>
                        <m:t xml:space="preserve">∂</m:t>
                      </m:r>
                      <m:r>
                        <w:rPr>
                          <w:rFonts w:ascii="Cambria Math" w:hAnsi="Cambria Math"/>
                        </w:rPr>
                        <m:t xml:space="preserve">α</m:t>
                      </m:r>
                    </m:den>
                  </m:f>
                </m:e>
              </m:d>
            </m:e>
            <m:sub>
              <m:r>
                <w:rPr>
                  <w:rFonts w:ascii="Cambria Math" w:hAnsi="Cambria Math"/>
                </w:rPr>
                <m:t xml:space="preserve">i</m:t>
              </m:r>
            </m:sub>
          </m:sSub>
          <m:r>
            <w:rPr>
              <w:rFonts w:ascii="Cambria Math" w:hAnsi="Cambria Math"/>
            </w:rPr>
            <m:t xml:space="preserve">Δ</m:t>
          </m:r>
          <m:sSub>
            <m:e>
              <m:r>
                <w:rPr>
                  <w:rFonts w:ascii="Cambria Math" w:hAnsi="Cambria Math"/>
                </w:rPr>
                <m:t xml:space="preserve">x</m:t>
              </m:r>
            </m:e>
            <m:sub>
              <m:r>
                <w:rPr>
                  <w:rFonts w:ascii="Cambria Math" w:hAnsi="Cambria Math"/>
                </w:rPr>
                <m:t xml:space="preserve">i</m:t>
              </m:r>
            </m:sub>
          </m:sSub>
        </m:oMath>
      </m:oMathPara>
    </w:p>
    <w:p>
      <w:pPr>
        <w:pStyle w:val="FirstParagraph"/>
        <w:keepNext w:val="true"/>
        <w:widowControl/>
        <w:rPr>
          <w:color w:val="000000"/>
        </w:rPr>
      </w:pPr>
      <w:r>
        <w:rPr>
          <w:rFonts w:eastAsia="Arial" w:cs="Arial"/>
          <w:color w:val="000000"/>
          <w:sz w:val="24"/>
        </w:rPr>
        <w:t>Equation (SM6.3B-2):</w:t>
      </w:r>
    </w:p>
    <w:p>
      <w:pPr>
        <w:pStyle w:val="BodyText"/>
        <w:keepLines/>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m:t>
              </m:r>
              <m:r>
                <w:rPr>
                  <w:rFonts w:ascii="Cambria Math" w:hAnsi="Cambria Math"/>
                </w:rPr>
                <m:t xml:space="preserve">r</m:t>
              </m:r>
              <m:r>
                <w:rPr>
                  <w:rFonts w:ascii="Cambria Math" w:hAnsi="Cambria Math"/>
                </w:rPr>
                <m:t xml:space="preserve">a</m:t>
              </m:r>
              <m:r>
                <w:rPr>
                  <w:rFonts w:ascii="Cambria Math" w:hAnsi="Cambria Math"/>
                </w:rPr>
                <m:t xml:space="preserve">d</m:t>
              </m:r>
            </m:sub>
          </m:sSub>
          <m:r>
            <m:rPr>
              <m:lit/>
              <m:nor/>
            </m:rPr>
            <w:rPr>
              <w:rFonts w:ascii="Cambria Math" w:hAnsi="Cambria Math"/>
            </w:rPr>
            <m:t xml:space="preserve">=</m:t>
          </m:r>
          <m:f>
            <m:num>
              <m:r>
                <w:rPr>
                  <w:rFonts w:ascii="Cambria Math" w:hAnsi="Cambria Math"/>
                </w:rPr>
                <m:t xml:space="preserve">180</m:t>
              </m:r>
            </m:num>
            <m:den>
              <m:r>
                <w:rPr>
                  <w:rFonts w:ascii="Cambria Math" w:hAnsi="Cambria Math"/>
                </w:rPr>
                <m:t xml:space="preserve">π</m:t>
              </m:r>
            </m:den>
          </m:f>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g</m:t>
              </m:r>
            </m:sub>
          </m:sSub>
        </m:oMath>
      </m:oMathPara>
    </w:p>
    <w:p>
      <w:pPr>
        <w:pStyle w:val="FirstParagraph"/>
        <w:widowControl/>
        <w:rPr>
          <w:color w:val="000000"/>
        </w:rPr>
      </w:pPr>
      <w:r>
        <w:rPr>
          <w:rFonts w:eastAsia="Arial" w:cs="Arial"/>
          <w:color w:val="000000"/>
          <w:sz w:val="24"/>
        </w:rPr>
        <w:t>The 36.5 form returns slope per degree; the conversion in Equation (SM6.3B-2) is therefore required.</w:t>
      </w:r>
    </w:p>
    <w:p>
      <w:pPr>
        <w:pStyle w:val="Heading2"/>
        <w:widowControl/>
        <w:rPr>
          <w:color w:val="000000"/>
        </w:rPr>
      </w:pPr>
      <w:bookmarkStart w:id="1" w:name="X08df8ac4c3a7d0ea3254b9e0a295257a67705b6"/>
      <w:r>
        <w:rPr>
          <w:rFonts w:eastAsia="Arial" w:cs="Arial" w:ascii="Arial" w:hAnsi="Arial"/>
          <w:b/>
          <w:color w:val="000000"/>
          <w:sz w:val="26"/>
        </w:rPr>
        <w:t>2.1 Wing downwash input</w:t>
      </w:r>
    </w:p>
    <w:p>
      <w:pPr>
        <w:pStyle w:val="FirstParagraph"/>
        <w:keepNext w:val="true"/>
        <w:widowControl/>
        <w:rPr>
          <w:color w:val="000000"/>
        </w:rPr>
      </w:pPr>
      <w:r>
        <w:rPr>
          <w:rFonts w:eastAsia="Arial" w:cs="Arial"/>
          <w:color w:val="000000"/>
          <w:sz w:val="24"/>
        </w:rPr>
        <w:t>Equations (SM6.3B-3) and (SM6.3B-4) are:</w:t>
      </w:r>
    </w:p>
    <w:p>
      <w:pPr>
        <w:pStyle w:val="BodyText"/>
        <w:keepLines/>
        <w:widowControl/>
        <w:jc w:val="center"/>
        <w:rPr>
          <w:color w:val="000000"/>
        </w:rPr>
      </w:pPr>
      <w:r>
        <w:rPr>
          <w:color w:val="000000"/>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R</m:t>
          </m:r>
          <m:r>
            <m:rPr>
              <m:lit/>
              <m:nor/>
            </m:rPr>
            <w:rPr>
              <w:rFonts w:ascii="Cambria Math" w:hAnsi="Cambria Math"/>
            </w:rPr>
            <m:t xml:space="preserve">=</m:t>
          </m:r>
          <m:f>
            <m:num>
              <m:sSup>
                <m:e>
                  <m:r>
                    <w:rPr>
                      <w:rFonts w:ascii="Cambria Math" w:hAnsi="Cambria Math"/>
                    </w:rPr>
                    <m:t xml:space="preserve">b</m:t>
                  </m:r>
                </m:e>
                <m:sup>
                  <m:r>
                    <w:rPr>
                      <w:rFonts w:ascii="Cambria Math" w:hAnsi="Cambria Math"/>
                    </w:rPr>
                    <m:t xml:space="preserve">2</m:t>
                  </m:r>
                </m:sup>
              </m:sSup>
            </m:num>
            <m:den>
              <m:r>
                <w:rPr>
                  <w:rFonts w:ascii="Cambria Math" w:hAnsi="Cambria Math"/>
                </w:rPr>
                <m:t xml:space="preserve">S</m:t>
              </m:r>
            </m:den>
          </m:f>
          <m:r>
            <m:rPr>
              <m:lit/>
              <m:nor/>
            </m:rPr>
            <w:rPr>
              <w:rFonts w:ascii="Cambria Math" w:hAnsi="Cambria Math"/>
            </w:rPr>
            <m:t xml:space="preserve">=</m:t>
          </m:r>
          <m:f>
            <m:num>
              <m:sSup>
                <m:e>
                  <m:r>
                    <w:rPr>
                      <w:rFonts w:ascii="Cambria Math" w:hAnsi="Cambria Math"/>
                    </w:rPr>
                    <m:t xml:space="preserve">16.4</m:t>
                  </m:r>
                </m:e>
                <m:sup>
                  <m:r>
                    <w:rPr>
                      <w:rFonts w:ascii="Cambria Math" w:hAnsi="Cambria Math"/>
                    </w:rPr>
                    <m:t xml:space="preserve">2</m:t>
                  </m:r>
                </m:sup>
              </m:sSup>
            </m:num>
            <m:den>
              <m:r>
                <w:rPr>
                  <w:rFonts w:ascii="Cambria Math" w:hAnsi="Cambria Math"/>
                </w:rPr>
                <m:t xml:space="preserve">30.0</m:t>
              </m:r>
            </m:den>
          </m:f>
          <m:r>
            <m:rPr>
              <m:lit/>
              <m:nor/>
            </m:rPr>
            <w:rPr>
              <w:rFonts w:ascii="Cambria Math" w:hAnsi="Cambria Math"/>
            </w:rPr>
            <m:t xml:space="preserve">=</m:t>
          </m:r>
          <m:r>
            <w:rPr>
              <w:rFonts w:ascii="Cambria Math" w:hAnsi="Cambria Math"/>
            </w:rPr>
            <m:t xml:space="preserve">8.96533</m:t>
          </m:r>
        </m:oMath>
      </m:oMathPara>
    </w:p>
    <w:p>
      <w:pPr>
        <w:pStyle w:val="FirstParagraph"/>
        <w:widowControl/>
        <w:jc w:val="center"/>
        <w:rPr>
          <w:color w:val="000000"/>
        </w:rPr>
      </w:pPr>
      <w:r>
        <w:rPr>
          <w:color w:val="000000"/>
        </w:rPr>
      </w:r>
      <m:oMathPara xmlns:m="http://schemas.openxmlformats.org/officeDocument/2006/math">
        <m:oMathParaPr>
          <m:jc m:val="center"/>
        </m:oMathParaPr>
        <m:oMath>
          <m:f>
            <m:num>
              <m:r>
                <w:rPr>
                  <w:rFonts w:ascii="Cambria Math" w:hAnsi="Cambria Math"/>
                </w:rPr>
                <m:t xml:space="preserve">d</m:t>
              </m:r>
              <m:r>
                <w:rPr>
                  <w:rFonts w:ascii="Cambria Math" w:hAnsi="Cambria Math"/>
                </w:rPr>
                <m:t xml:space="preserve">ϵ</m:t>
              </m:r>
            </m:num>
            <m:den>
              <m:r>
                <w:rPr>
                  <w:rFonts w:ascii="Cambria Math" w:hAnsi="Cambria Math"/>
                </w:rPr>
                <m:t xml:space="preserve">d</m:t>
              </m:r>
              <m:r>
                <w:rPr>
                  <w:rFonts w:ascii="Cambria Math" w:hAnsi="Cambria Math"/>
                </w:rPr>
                <m:t xml:space="preserve">α</m:t>
              </m:r>
            </m:den>
          </m:f>
          <m:r>
            <m:rPr>
              <m:lit/>
              <m:nor/>
            </m:rPr>
            <w:rPr>
              <w:rFonts w:ascii="Cambria Math" w:hAnsi="Cambria Math"/>
            </w:rPr>
            <m:t xml:space="preserve">=</m:t>
          </m:r>
          <m:f>
            <m:num>
              <m:r>
                <w:rPr>
                  <w:rFonts w:ascii="Cambria Math" w:hAnsi="Cambria Math"/>
                </w:rPr>
                <m:t xml:space="preserve">2</m:t>
              </m:r>
              <m:sSub>
                <m:e>
                  <m:r>
                    <w:rPr>
                      <w:rFonts w:ascii="Cambria Math" w:hAnsi="Cambria Math"/>
                    </w:rPr>
                    <m:t xml:space="preserve">C</m:t>
                  </m:r>
                </m:e>
                <m:sub>
                  <m:sSub>
                    <m:e>
                      <m:r>
                        <w:rPr>
                          <w:rFonts w:ascii="Cambria Math" w:hAnsi="Cambria Math"/>
                        </w:rPr>
                        <m:t xml:space="preserve">L</m:t>
                      </m:r>
                    </m:e>
                    <m:sub>
                      <m:r>
                        <w:rPr>
                          <w:rFonts w:ascii="Cambria Math" w:hAnsi="Cambria Math"/>
                        </w:rPr>
                        <m:t xml:space="preserve">α</m:t>
                      </m:r>
                    </m:sub>
                  </m:sSub>
                  <m:r>
                    <w:rPr>
                      <w:rFonts w:ascii="Cambria Math" w:hAnsi="Cambria Math"/>
                    </w:rPr>
                    <m:t xml:space="preserve">,</m:t>
                  </m:r>
                  <m:r>
                    <w:rPr>
                      <w:rFonts w:ascii="Cambria Math" w:hAnsi="Cambria Math"/>
                    </w:rPr>
                    <m:t xml:space="preserve">w</m:t>
                  </m:r>
                </m:sub>
              </m:sSub>
            </m:num>
            <m:den>
              <m:r>
                <w:rPr>
                  <w:rFonts w:ascii="Cambria Math" w:hAnsi="Cambria Math"/>
                </w:rPr>
                <m:t xml:space="preserve">π</m:t>
              </m:r>
              <m:r>
                <w:rPr>
                  <w:rFonts w:ascii="Cambria Math" w:hAnsi="Cambria Math"/>
                </w:rPr>
                <m:t xml:space="preserve">A</m:t>
              </m:r>
              <m:r>
                <w:rPr>
                  <w:rFonts w:ascii="Cambria Math" w:hAnsi="Cambria Math"/>
                </w:rPr>
                <m:t xml:space="preserve">R</m:t>
              </m:r>
            </m:den>
          </m:f>
          <m:r>
            <m:rPr>
              <m:lit/>
              <m:nor/>
            </m:rPr>
            <w:rPr>
              <w:rFonts w:ascii="Cambria Math" w:hAnsi="Cambria Math"/>
            </w:rPr>
            <m:t xml:space="preserve">=</m:t>
          </m:r>
          <m:f>
            <m:num>
              <m:r>
                <w:rPr>
                  <w:rFonts w:ascii="Cambria Math" w:hAnsi="Cambria Math"/>
                </w:rPr>
                <m:t xml:space="preserve">2</m:t>
              </m:r>
              <m:d>
                <m:dPr>
                  <m:begChr m:val="("/>
                  <m:endChr m:val=")"/>
                </m:dPr>
                <m:e>
                  <m:r>
                    <w:rPr>
                      <w:rFonts w:ascii="Cambria Math" w:hAnsi="Cambria Math"/>
                    </w:rPr>
                    <m:t xml:space="preserve">4.88866</m:t>
                  </m:r>
                </m:e>
              </m:d>
            </m:num>
            <m:den>
              <m:r>
                <w:rPr>
                  <w:rFonts w:ascii="Cambria Math" w:hAnsi="Cambria Math"/>
                </w:rPr>
                <m:t xml:space="preserve">π</m:t>
              </m:r>
              <m:d>
                <m:dPr>
                  <m:begChr m:val="("/>
                  <m:endChr m:val=")"/>
                </m:dPr>
                <m:e>
                  <m:r>
                    <w:rPr>
                      <w:rFonts w:ascii="Cambria Math" w:hAnsi="Cambria Math"/>
                    </w:rPr>
                    <m:t xml:space="preserve">8.96533</m:t>
                  </m:r>
                </m:e>
              </m:d>
            </m:den>
          </m:f>
          <m:r>
            <m:rPr>
              <m:lit/>
              <m:nor/>
            </m:rPr>
            <w:rPr>
              <w:rFonts w:ascii="Cambria Math" w:hAnsi="Cambria Math"/>
            </w:rPr>
            <m:t xml:space="preserve">=</m:t>
          </m:r>
          <m:r>
            <w:rPr>
              <w:rFonts w:ascii="Cambria Math" w:hAnsi="Cambria Math"/>
            </w:rPr>
            <m:t xml:space="preserve">0.347139</m:t>
          </m:r>
        </m:oMath>
      </m:oMathPara>
    </w:p>
    <w:p>
      <w:pPr>
        <w:pStyle w:val="FirstParagraph"/>
        <w:widowControl/>
        <w:rPr>
          <w:color w:val="000000"/>
        </w:rPr>
      </w:pPr>
      <w:r>
        <w:rPr>
          <w:rFonts w:eastAsia="Arial" w:cs="Arial"/>
          <w:color w:val="000000"/>
          <w:sz w:val="24"/>
        </w:rPr>
        <w:t>This is the conceptual elliptical-wing approximation used only in the aft-region relation; it is not applied uniformly to the forward body.</w:t>
      </w:r>
      <w:bookmarkEnd w:id="1"/>
    </w:p>
    <w:p>
      <w:pPr>
        <w:pStyle w:val="Heading2"/>
        <w:widowControl/>
        <w:rPr>
          <w:color w:val="000000"/>
        </w:rPr>
      </w:pPr>
      <w:bookmarkStart w:id="2" w:name="Xb6edb9dfc0081c508e741abd216b7f89b2bdaf7"/>
      <w:r>
        <w:rPr>
          <w:rFonts w:eastAsia="Arial" w:cs="Arial" w:ascii="Arial" w:hAnsi="Arial"/>
          <w:b/>
          <w:color w:val="000000"/>
          <w:sz w:val="26"/>
        </w:rPr>
        <w:t>2.2 Forward and aft flow-angle gradients</w:t>
      </w:r>
    </w:p>
    <w:p>
      <w:pPr>
        <w:pStyle w:val="FirstParagraph"/>
        <w:widowControl/>
        <w:rPr>
          <w:color w:val="000000"/>
        </w:rPr>
      </w:pPr>
      <w:r>
        <w:rPr>
          <w:rFonts w:eastAsia="Arial" w:cs="Arial"/>
          <w:color w:val="000000"/>
          <w:sz w:val="24"/>
        </w:rPr>
        <w:t xml:space="preserve">For forward-body stations, </w:t>
      </w:r>
      <w:r>
        <w:rPr>
          <w:color w:val="000000"/>
        </w:rPr>
      </w:r>
      <m:oMath xmlns:m="http://schemas.openxmlformats.org/officeDocument/2006/math">
        <m:r>
          <w:rPr>
            <w:rFonts w:ascii="Cambria Math" w:hAnsi="Cambria Math"/>
          </w:rPr>
          <m:t xml:space="preserve">x</m:t>
        </m:r>
      </m:oMath>
      <w:r>
        <w:rPr>
          <w:rFonts w:eastAsia="Arial" w:cs="Arial"/>
          <w:color w:val="000000"/>
          <w:sz w:val="24"/>
        </w:rPr>
        <w:t xml:space="preserve"> is the positive distance from the wing root leading edge to the strip midpoint. Curve 1 applies for </w:t>
      </w:r>
      <w:r>
        <w:rPr>
          <w:color w:val="000000"/>
        </w:rPr>
      </w:r>
      <m:oMath xmlns:m="http://schemas.openxmlformats.org/officeDocument/2006/math">
        <m:r>
          <w:rPr>
            <w:rFonts w:ascii="Cambria Math" w:hAnsi="Cambria Math"/>
          </w:rPr>
          <m:t xml:space="preserve">x</m:t>
        </m:r>
        <m:r>
          <m:rPr>
            <m:lit/>
            <m:nor/>
          </m:rPr>
          <w:rPr>
            <w:rFonts w:ascii="Cambria Math" w:hAnsi="Cambria Math"/>
          </w:rPr>
          <m:t xml:space="preserve">/</m:t>
        </m:r>
        <m:acc>
          <m:accPr>
            <m:chr m:val="´"/>
          </m:accPr>
          <m:e>
            <m:r>
              <w:rPr>
                <w:rFonts w:ascii="Cambria Math" w:hAnsi="Cambria Math"/>
              </w:rPr>
              <m:t xml:space="preserve">c</m:t>
            </m:r>
          </m:e>
        </m:acc>
        <m:r>
          <w:rPr>
            <w:rFonts w:ascii="Cambria Math" w:hAnsi="Cambria Math"/>
          </w:rPr>
          <m:t xml:space="preserve">≥</m:t>
        </m:r>
        <m:r>
          <w:rPr>
            <w:rFonts w:ascii="Cambria Math" w:hAnsi="Cambria Math"/>
          </w:rPr>
          <m:t xml:space="preserve">1</m:t>
        </m:r>
      </m:oMath>
      <w:r>
        <w:rPr>
          <w:rFonts w:eastAsia="Arial" w:cs="Arial"/>
          <w:color w:val="000000"/>
          <w:sz w:val="24"/>
        </w:rPr>
        <w:t xml:space="preserve"> and Curve 2 for </w:t>
      </w:r>
      <w:r>
        <w:rPr>
          <w:color w:val="000000"/>
        </w:rPr>
      </w:r>
      <m:oMath xmlns:m="http://schemas.openxmlformats.org/officeDocument/2006/math">
        <m:r>
          <w:rPr>
            <w:rFonts w:ascii="Cambria Math" w:hAnsi="Cambria Math"/>
          </w:rPr>
          <m:t xml:space="preserve">x</m:t>
        </m:r>
        <m:r>
          <m:rPr>
            <m:lit/>
            <m:nor/>
          </m:rPr>
          <w:rPr>
            <w:rFonts w:ascii="Cambria Math" w:hAnsi="Cambria Math"/>
          </w:rPr>
          <m:t xml:space="preserve">/</m:t>
        </m:r>
        <m:acc>
          <m:accPr>
            <m:chr m:val="´"/>
          </m:accPr>
          <m:e>
            <m:r>
              <w:rPr>
                <w:rFonts w:ascii="Cambria Math" w:hAnsi="Cambria Math"/>
              </w:rPr>
              <m:t xml:space="preserve">c</m:t>
            </m:r>
          </m:e>
        </m:acc>
        <m:r>
          <m:rPr>
            <m:lit/>
            <m:nor/>
          </m:rPr>
          <w:rPr>
            <w:rFonts w:ascii="Cambria Math" w:hAnsi="Cambria Math"/>
          </w:rPr>
          <m:t xml:space="preserve">&lt;</m:t>
        </m:r>
        <m:r>
          <w:rPr>
            <w:rFonts w:ascii="Cambria Math" w:hAnsi="Cambria Math"/>
          </w:rPr>
          <m:t xml:space="preserve">1</m:t>
        </m:r>
      </m:oMath>
      <w:r>
        <w:rPr>
          <w:rFonts w:eastAsia="Arial" w:cs="Arial"/>
          <w:color w:val="000000"/>
          <w:sz w:val="24"/>
        </w:rPr>
        <w:t>.</w:t>
      </w:r>
    </w:p>
    <w:p>
      <w:pPr>
        <w:pStyle w:val="BodyText"/>
        <w:widowControl/>
        <w:jc w:val="center"/>
        <w:rPr>
          <w:color w:val="000000"/>
        </w:rPr>
      </w:pPr>
      <w:r>
        <w:rPr>
          <w:color w:val="000000"/>
        </w:rPr>
      </w:r>
      <m:oMathPara xmlns:m="http://schemas.openxmlformats.org/officeDocument/2006/math">
        <m:oMathParaPr>
          <m:jc m:val="center"/>
        </m:oMathParaPr>
        <m:oMath>
          <m:sSub>
            <m:e>
              <m:d>
                <m:dPr>
                  <m:begChr m:val="("/>
                  <m:endChr m:val=")"/>
                </m:dPr>
                <m:e>
                  <m:f>
                    <m:num>
                      <m:r>
                        <w:rPr>
                          <w:rFonts w:ascii="Cambria Math" w:hAnsi="Cambria Math"/>
                        </w:rPr>
                        <m:t xml:space="preserve">∂</m:t>
                      </m:r>
                      <m:r>
                        <w:rPr>
                          <w:rFonts w:ascii="Cambria Math" w:hAnsi="Cambria Math"/>
                        </w:rPr>
                        <m:t xml:space="preserve">β</m:t>
                      </m:r>
                    </m:num>
                    <m:den>
                      <m:r>
                        <w:rPr>
                          <w:rFonts w:ascii="Cambria Math" w:hAnsi="Cambria Math"/>
                        </w:rPr>
                        <m:t xml:space="preserve">∂</m:t>
                      </m:r>
                      <m:r>
                        <w:rPr>
                          <w:rFonts w:ascii="Cambria Math" w:hAnsi="Cambria Math"/>
                        </w:rPr>
                        <m:t xml:space="preserve">α</m:t>
                      </m:r>
                    </m:den>
                  </m:f>
                </m:e>
              </m:d>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1.4758</m:t>
          </m:r>
          <m:r>
            <w:rPr>
              <w:rFonts w:ascii="Cambria Math" w:hAnsi="Cambria Math"/>
            </w:rPr>
            <m:t xml:space="preserve">−</m:t>
          </m:r>
          <m:r>
            <w:rPr>
              <w:rFonts w:ascii="Cambria Math" w:hAnsi="Cambria Math"/>
            </w:rPr>
            <m:t xml:space="preserve">0.40485</m:t>
          </m:r>
          <m:d>
            <m:dPr>
              <m:begChr m:val="("/>
              <m:endChr m:val=")"/>
            </m:dPr>
            <m:e>
              <m:f>
                <m:num>
                  <m:r>
                    <w:rPr>
                      <w:rFonts w:ascii="Cambria Math" w:hAnsi="Cambria Math"/>
                    </w:rPr>
                    <m:t xml:space="preserve">x</m:t>
                  </m:r>
                </m:num>
                <m:den>
                  <m:acc>
                    <m:accPr>
                      <m:chr m:val="´"/>
                    </m:accPr>
                    <m:e>
                      <m:r>
                        <w:rPr>
                          <w:rFonts w:ascii="Cambria Math" w:hAnsi="Cambria Math"/>
                        </w:rPr>
                        <m:t xml:space="preserve">c</m:t>
                      </m:r>
                    </m:e>
                  </m:acc>
                </m:den>
              </m:f>
            </m:e>
          </m:d>
          <m:r>
            <m:rPr>
              <m:lit/>
              <m:nor/>
            </m:rPr>
            <w:rPr>
              <w:rFonts w:ascii="Cambria Math" w:hAnsi="Cambria Math"/>
            </w:rPr>
            <m:t xml:space="preserve">+</m:t>
          </m:r>
          <m:r>
            <w:rPr>
              <w:rFonts w:ascii="Cambria Math" w:hAnsi="Cambria Math"/>
            </w:rPr>
            <m:t xml:space="preserve">0.09107</m:t>
          </m:r>
          <m:sSup>
            <m:e>
              <m:d>
                <m:dPr>
                  <m:begChr m:val="("/>
                  <m:endChr m:val=")"/>
                </m:dPr>
                <m:e>
                  <m:f>
                    <m:num>
                      <m:r>
                        <w:rPr>
                          <w:rFonts w:ascii="Cambria Math" w:hAnsi="Cambria Math"/>
                        </w:rPr>
                        <m:t xml:space="preserve">x</m:t>
                      </m:r>
                    </m:num>
                    <m:den>
                      <m:acc>
                        <m:accPr>
                          <m:chr m:val="´"/>
                        </m:accPr>
                        <m:e>
                          <m:r>
                            <w:rPr>
                              <w:rFonts w:ascii="Cambria Math" w:hAnsi="Cambria Math"/>
                            </w:rPr>
                            <m:t xml:space="preserve">c</m:t>
                          </m:r>
                        </m:e>
                      </m:acc>
                    </m:den>
                  </m:f>
                </m:e>
              </m:d>
            </m:e>
            <m:sup>
              <m:r>
                <w:rPr>
                  <w:rFonts w:ascii="Cambria Math" w:hAnsi="Cambria Math"/>
                </w:rPr>
                <m:t xml:space="preserve">2</m:t>
              </m:r>
            </m:sup>
          </m:sSup>
          <m:r>
            <m:rPr>
              <m:lit/>
              <m:nor/>
            </m:rPr>
            <w:rPr>
              <w:rFonts w:ascii="Cambria Math" w:hAnsi="Cambria Math"/>
            </w:rPr>
            <m:t xml:space="preserve">(SM6.3B-5)</m:t>
          </m:r>
        </m:oMath>
      </m:oMathPara>
    </w:p>
    <w:p>
      <w:pPr>
        <w:pStyle w:val="FirstParagraph"/>
        <w:widowControl/>
        <w:jc w:val="center"/>
        <w:rPr>
          <w:color w:val="000000"/>
        </w:rPr>
      </w:pPr>
      <w:r>
        <w:rPr>
          <w:color w:val="000000"/>
        </w:rPr>
      </w:r>
      <m:oMathPara xmlns:m="http://schemas.openxmlformats.org/officeDocument/2006/math">
        <m:oMathParaPr>
          <m:jc m:val="center"/>
        </m:oMathParaPr>
        <m:oMath>
          <m:sSub>
            <m:e>
              <m:d>
                <m:dPr>
                  <m:begChr m:val="("/>
                  <m:endChr m:val=")"/>
                </m:dPr>
                <m:e>
                  <m:f>
                    <m:num>
                      <m:r>
                        <w:rPr>
                          <w:rFonts w:ascii="Cambria Math" w:hAnsi="Cambria Math"/>
                        </w:rPr>
                        <m:t xml:space="preserve">∂</m:t>
                      </m:r>
                      <m:r>
                        <w:rPr>
                          <w:rFonts w:ascii="Cambria Math" w:hAnsi="Cambria Math"/>
                        </w:rPr>
                        <m:t xml:space="preserve">β</m:t>
                      </m:r>
                    </m:num>
                    <m:den>
                      <m:r>
                        <w:rPr>
                          <w:rFonts w:ascii="Cambria Math" w:hAnsi="Cambria Math"/>
                        </w:rPr>
                        <m:t xml:space="preserve">∂</m:t>
                      </m:r>
                      <m:r>
                        <w:rPr>
                          <w:rFonts w:ascii="Cambria Math" w:hAnsi="Cambria Math"/>
                        </w:rPr>
                        <m:t xml:space="preserve">α</m:t>
                      </m:r>
                    </m:den>
                  </m:f>
                </m:e>
              </m:d>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1.74611</m:t>
          </m:r>
          <m:sSup>
            <m:e>
              <m:d>
                <m:dPr>
                  <m:begChr m:val="("/>
                  <m:endChr m:val=")"/>
                </m:dPr>
                <m:e>
                  <m:f>
                    <m:num>
                      <m:r>
                        <w:rPr>
                          <w:rFonts w:ascii="Cambria Math" w:hAnsi="Cambria Math"/>
                        </w:rPr>
                        <m:t xml:space="preserve">x</m:t>
                      </m:r>
                    </m:num>
                    <m:den>
                      <m:acc>
                        <m:accPr>
                          <m:chr m:val="´"/>
                        </m:accPr>
                        <m:e>
                          <m:r>
                            <w:rPr>
                              <w:rFonts w:ascii="Cambria Math" w:hAnsi="Cambria Math"/>
                            </w:rPr>
                            <m:t xml:space="preserve">c</m:t>
                          </m:r>
                        </m:e>
                      </m:acc>
                    </m:den>
                  </m:f>
                </m:e>
              </m:d>
            </m:e>
            <m:sup>
              <m:r>
                <w:rPr>
                  <w:rFonts w:ascii="Cambria Math" w:hAnsi="Cambria Math"/>
                </w:rPr>
                <m:t xml:space="preserve">−</m:t>
              </m:r>
              <m:r>
                <w:rPr>
                  <w:rFonts w:ascii="Cambria Math" w:hAnsi="Cambria Math"/>
                </w:rPr>
                <m:t xml:space="preserve">0.4254</m:t>
              </m:r>
            </m:sup>
          </m:sSup>
          <m:r>
            <m:rPr>
              <m:lit/>
              <m:nor/>
            </m:rPr>
            <w:rPr>
              <w:rFonts w:ascii="Cambria Math" w:hAnsi="Cambria Math"/>
            </w:rPr>
            <m:t xml:space="preserve">(SM6.3B-6)</m:t>
          </m:r>
        </m:oMath>
      </m:oMathPara>
    </w:p>
    <w:p>
      <w:pPr>
        <w:pStyle w:val="FirstParagraph"/>
        <w:widowControl/>
        <w:rPr>
          <w:color w:val="000000"/>
        </w:rPr>
      </w:pPr>
      <w:r>
        <w:rPr>
          <w:rFonts w:eastAsia="Arial" w:cs="Arial"/>
          <w:color w:val="000000"/>
          <w:sz w:val="24"/>
        </w:rPr>
        <w:t xml:space="preserve">For aft-body stations, </w:t>
      </w:r>
      <w:r>
        <w:rPr>
          <w:color w:val="000000"/>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rFonts w:eastAsia="Arial" w:cs="Arial"/>
          <w:color w:val="000000"/>
          <w:sz w:val="24"/>
        </w:rPr>
        <w:t xml:space="preserve"> is the distance aft of the wing root trailing edge and </w:t>
      </w:r>
      <w:r>
        <w:rPr>
          <w:color w:val="000000"/>
        </w:rPr>
      </w:r>
      <m:oMath xmlns:m="http://schemas.openxmlformats.org/officeDocument/2006/math">
        <m:sSub>
          <m:e>
            <m:r>
              <w:rPr>
                <w:rFonts w:ascii="Cambria Math" w:hAnsi="Cambria Math"/>
              </w:rPr>
              <m:t xml:space="preserve">l</m:t>
            </m:r>
          </m:e>
          <m:sub>
            <m:r>
              <w:rPr>
                <w:rFonts w:ascii="Cambria Math" w:hAnsi="Cambria Math"/>
              </w:rPr>
              <m:t xml:space="preserve">h</m:t>
            </m:r>
          </m:sub>
        </m:sSub>
      </m:oMath>
      <w:r>
        <w:rPr>
          <w:rFonts w:eastAsia="Arial" w:cs="Arial"/>
          <w:color w:val="000000"/>
          <w:sz w:val="24"/>
        </w:rPr>
        <w:t xml:space="preserve"> is the root-TE to horizontal-tail aerodynamic-centre distance.</w:t>
      </w:r>
    </w:p>
    <w:p>
      <w:pPr>
        <w:pStyle w:val="BodyText"/>
        <w:widowControl/>
        <w:jc w:val="center"/>
        <w:rPr>
          <w:color w:val="000000"/>
        </w:rPr>
      </w:pPr>
      <w:r>
        <w:rPr>
          <w:color w:val="000000"/>
        </w:rPr>
      </w:r>
      <m:oMathPara xmlns:m="http://schemas.openxmlformats.org/officeDocument/2006/math">
        <m:oMathParaPr>
          <m:jc m:val="center"/>
        </m:oMathParaPr>
        <m:oMath>
          <m:sSub>
            <m:e>
              <m:d>
                <m:dPr>
                  <m:begChr m:val="("/>
                  <m:endChr m:val=")"/>
                </m:dPr>
                <m:e>
                  <m:f>
                    <m:num>
                      <m:r>
                        <w:rPr>
                          <w:rFonts w:ascii="Cambria Math" w:hAnsi="Cambria Math"/>
                        </w:rPr>
                        <m:t xml:space="preserve">∂</m:t>
                      </m:r>
                      <m:r>
                        <w:rPr>
                          <w:rFonts w:ascii="Cambria Math" w:hAnsi="Cambria Math"/>
                        </w:rPr>
                        <m:t xml:space="preserve">β</m:t>
                      </m:r>
                    </m:num>
                    <m:den>
                      <m:r>
                        <w:rPr>
                          <w:rFonts w:ascii="Cambria Math" w:hAnsi="Cambria Math"/>
                        </w:rPr>
                        <m:t xml:space="preserve">∂</m:t>
                      </m:r>
                      <m:r>
                        <w:rPr>
                          <w:rFonts w:ascii="Cambria Math" w:hAnsi="Cambria Math"/>
                        </w:rPr>
                        <m:t xml:space="preserve">α</m:t>
                      </m:r>
                    </m:den>
                  </m:f>
                </m:e>
              </m:d>
            </m:e>
            <m:sub>
              <m:r>
                <w:rPr>
                  <w:rFonts w:ascii="Cambria Math" w:hAnsi="Cambria Math"/>
                </w:rPr>
                <m:t xml:space="preserve">i</m:t>
              </m:r>
            </m:sub>
          </m:sSub>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i</m:t>
                  </m:r>
                </m:sub>
              </m:sSub>
            </m:num>
            <m:den>
              <m:sSub>
                <m:e>
                  <m:r>
                    <w:rPr>
                      <w:rFonts w:ascii="Cambria Math" w:hAnsi="Cambria Math"/>
                    </w:rPr>
                    <m:t xml:space="preserve">l</m:t>
                  </m:r>
                </m:e>
                <m:sub>
                  <m:r>
                    <w:rPr>
                      <w:rFonts w:ascii="Cambria Math" w:hAnsi="Cambria Math"/>
                    </w:rPr>
                    <m:t xml:space="preserve">h</m:t>
                  </m:r>
                </m:sub>
              </m:sSub>
            </m:den>
          </m:f>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d</m:t>
                  </m:r>
                  <m:r>
                    <w:rPr>
                      <w:rFonts w:ascii="Cambria Math" w:hAnsi="Cambria Math"/>
                    </w:rPr>
                    <m:t xml:space="preserve">ϵ</m:t>
                  </m:r>
                </m:num>
                <m:den>
                  <m:r>
                    <w:rPr>
                      <w:rFonts w:ascii="Cambria Math" w:hAnsi="Cambria Math"/>
                    </w:rPr>
                    <m:t xml:space="preserve">d</m:t>
                  </m:r>
                  <m:r>
                    <w:rPr>
                      <w:rFonts w:ascii="Cambria Math" w:hAnsi="Cambria Math"/>
                    </w:rPr>
                    <m:t xml:space="preserve">α</m:t>
                  </m:r>
                </m:den>
              </m:f>
            </m:e>
          </m:d>
          <m:r>
            <m:rPr>
              <m:lit/>
              <m:nor/>
            </m:rPr>
            <w:rPr>
              <w:rFonts w:ascii="Cambria Math" w:hAnsi="Cambria Math"/>
            </w:rPr>
            <m:t xml:space="preserve">(SM6.3B-7)</m:t>
          </m:r>
        </m:oMath>
      </m:oMathPara>
    </w:p>
    <w:p>
      <w:pPr>
        <w:pStyle w:val="FirstParagraph"/>
        <w:widowControl/>
        <w:rPr>
          <w:color w:val="000000"/>
        </w:rPr>
      </w:pPr>
      <w:r>
        <w:rPr>
          <w:rFonts w:eastAsia="Arial" w:cs="Arial"/>
          <w:color w:val="000000"/>
          <w:sz w:val="24"/>
        </w:rPr>
        <w:t xml:space="preserve">The root wing-covered interval FS 2.930079-5.290425 m is retained as a zero-contribution row, consistent with the source implementation map. The Curve 2 singularity as </w:t>
      </w:r>
      <w:r>
        <w:rPr>
          <w:color w:val="000000"/>
        </w:rPr>
      </w:r>
      <m:oMath xmlns:m="http://schemas.openxmlformats.org/officeDocument/2006/math">
        <m:r>
          <w:rPr>
            <w:rFonts w:ascii="Cambria Math" w:hAnsi="Cambria Math"/>
          </w:rPr>
          <m:t xml:space="preserve">x</m:t>
        </m:r>
        <m:r>
          <m:rPr>
            <m:lit/>
            <m:nor/>
          </m:rPr>
          <w:rPr>
            <w:rFonts w:ascii="Cambria Math" w:hAnsi="Cambria Math"/>
          </w:rPr>
          <m:t xml:space="preserve">/</m:t>
        </m:r>
        <m:acc>
          <m:accPr>
            <m:chr m:val="´"/>
          </m:accPr>
          <m:e>
            <m:r>
              <w:rPr>
                <w:rFonts w:ascii="Cambria Math" w:hAnsi="Cambria Math"/>
              </w:rPr>
              <m:t xml:space="preserve">c</m:t>
            </m:r>
          </m:e>
        </m:acc>
        <m:r>
          <w:rPr>
            <w:rFonts w:ascii="Cambria Math" w:hAnsi="Cambria Math"/>
          </w:rPr>
          <m:t xml:space="preserve">→</m:t>
        </m:r>
        <m:r>
          <w:rPr>
            <w:rFonts w:ascii="Cambria Math" w:hAnsi="Cambria Math"/>
          </w:rPr>
          <m:t xml:space="preserve">0</m:t>
        </m:r>
      </m:oMath>
      <w:r>
        <w:rPr>
          <w:rFonts w:eastAsia="Arial" w:cs="Arial"/>
          <w:color w:val="000000"/>
          <w:sz w:val="24"/>
        </w:rPr>
        <w:t xml:space="preserve"> is integrable but creates mesh-placement sensitivity; Section 6 audits it explicitly.</w:t>
      </w:r>
      <w:bookmarkEnd w:id="2"/>
    </w:p>
    <w:p>
      <w:pPr>
        <w:pStyle w:val="Heading2"/>
        <w:widowControl/>
        <w:rPr>
          <w:color w:val="000000"/>
        </w:rPr>
      </w:pPr>
      <w:bookmarkStart w:id="3" w:name="X93553318d55de6dfdf6668600a1efa984d8e457"/>
      <w:r>
        <w:rPr>
          <w:rFonts w:eastAsia="Arial" w:cs="Arial" w:ascii="Arial" w:hAnsi="Arial"/>
          <w:b/>
          <w:color w:val="000000"/>
          <w:sz w:val="26"/>
        </w:rPr>
        <w:t>2.3 Neutral point and static margin</w:t>
      </w:r>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sub>
          </m:sSub>
          <m:r>
            <m:rPr>
              <m:lit/>
              <m:nor/>
            </m:rPr>
            <w:rPr>
              <w:rFonts w:ascii="Cambria Math" w:hAnsi="Cambria Math"/>
            </w:rPr>
            <m:t xml:space="preserve">=</m:t>
          </m:r>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L</m:t>
              </m:r>
              <m:r>
                <w:rPr>
                  <w:rFonts w:ascii="Cambria Math" w:hAnsi="Cambria Math"/>
                </w:rPr>
                <m:t xml:space="preserve">S</m:t>
              </m:r>
            </m:sub>
          </m:sSub>
          <m:r>
            <m:rPr>
              <m:lit/>
              <m:nor/>
            </m:rPr>
            <w:rPr>
              <w:rFonts w:ascii="Cambria Math" w:hAnsi="Cambria Math"/>
            </w:rPr>
            <m:t xml:space="preserve">+</m:t>
          </m:r>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sub>
          </m:sSub>
          <m:r>
            <m:rPr>
              <m:lit/>
              <m:nor/>
            </m:rPr>
            <w:rPr>
              <w:rFonts w:ascii="Cambria Math" w:hAnsi="Cambria Math"/>
            </w:rPr>
            <m:t xml:space="preserve">(SM6.3B-8)</m:t>
          </m:r>
        </m:oMath>
      </m:oMathPara>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N</m:t>
              </m:r>
              <m:r>
                <w:rPr>
                  <w:rFonts w:ascii="Cambria Math" w:hAnsi="Cambria Math"/>
                </w:rPr>
                <m:t xml:space="preserve">P</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r</m:t>
              </m:r>
              <m:r>
                <w:rPr>
                  <w:rFonts w:ascii="Cambria Math" w:hAnsi="Cambria Math"/>
                </w:rPr>
                <m:t xml:space="preserve">e</m:t>
              </m:r>
              <m:r>
                <w:rPr>
                  <w:rFonts w:ascii="Cambria Math" w:hAnsi="Cambria Math"/>
                </w:rPr>
                <m:t xml:space="preserve">f</m:t>
              </m:r>
            </m:sub>
          </m:sSub>
          <m:r>
            <w:rPr>
              <w:rFonts w:ascii="Cambria Math" w:hAnsi="Cambria Math"/>
            </w:rPr>
            <m:t xml:space="preserve">−</m:t>
          </m:r>
          <m:acc>
            <m:accPr>
              <m:chr m:val="´"/>
            </m:accPr>
            <m:e>
              <m:r>
                <w:rPr>
                  <w:rFonts w:ascii="Cambria Math" w:hAnsi="Cambria Math"/>
                </w:rPr>
                <m:t xml:space="preserve">c</m:t>
              </m:r>
            </m:e>
          </m:acc>
          <m:f>
            <m:num>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sub>
              </m:sSub>
            </m:num>
            <m:den>
              <m:sSub>
                <m:e>
                  <m:r>
                    <w:rPr>
                      <w:rFonts w:ascii="Cambria Math" w:hAnsi="Cambria Math"/>
                    </w:rPr>
                    <m:t xml:space="preserve">C</m:t>
                  </m:r>
                </m:e>
                <m:sub>
                  <m:sSub>
                    <m:e>
                      <m:r>
                        <w:rPr>
                          <w:rFonts w:ascii="Cambria Math" w:hAnsi="Cambria Math"/>
                        </w:rPr>
                        <m:t xml:space="preserve">L</m:t>
                      </m:r>
                    </m:e>
                    <m:sub>
                      <m:r>
                        <w:rPr>
                          <w:rFonts w:ascii="Cambria Math" w:hAnsi="Cambria Math"/>
                        </w:rPr>
                        <m:t xml:space="preserve">α</m:t>
                      </m:r>
                    </m:sub>
                  </m:sSub>
                  <m:r>
                    <w:rPr>
                      <w:rFonts w:ascii="Cambria Math" w:hAnsi="Cambria Math"/>
                    </w:rPr>
                    <m:t xml:space="preserve">,</m:t>
                  </m:r>
                  <m:r>
                    <w:rPr>
                      <w:rFonts w:ascii="Cambria Math" w:hAnsi="Cambria Math"/>
                    </w:rPr>
                    <m:t xml:space="preserve">L</m:t>
                  </m:r>
                  <m:r>
                    <w:rPr>
                      <w:rFonts w:ascii="Cambria Math" w:hAnsi="Cambria Math"/>
                    </w:rPr>
                    <m:t xml:space="preserve">S</m:t>
                  </m:r>
                </m:sub>
              </m:sSub>
            </m:den>
          </m:f>
          <m:r>
            <m:rPr>
              <m:lit/>
              <m:nor/>
            </m:rPr>
            <w:rPr>
              <w:rFonts w:ascii="Cambria Math" w:hAnsi="Cambria Math"/>
            </w:rPr>
            <m:t xml:space="preserve">(SM6.3B-9)</m:t>
          </m:r>
        </m:oMath>
      </m:oMathPara>
    </w:p>
    <w:p>
      <w:pPr>
        <w:pStyle w:val="FirstParagraph"/>
        <w:widowControl/>
        <w:jc w:val="center"/>
        <w:rPr>
          <w:color w:val="000000"/>
        </w:rPr>
      </w:pPr>
      <w:r>
        <w:rPr>
          <w:color w:val="000000"/>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m:t>
          </m:r>
          <m:d>
            <m:dPr>
              <m:begChr m:val="("/>
              <m:endChr m:val=")"/>
            </m:dPr>
            <m:e>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e>
          </m:d>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N</m:t>
                  </m:r>
                  <m:r>
                    <w:rPr>
                      <w:rFonts w:ascii="Cambria Math" w:hAnsi="Cambria Math"/>
                    </w:rPr>
                    <m:t xml:space="preserve">P</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num>
            <m:den>
              <m:acc>
                <m:accPr>
                  <m:chr m:val="´"/>
                </m:accPr>
                <m:e>
                  <m:r>
                    <w:rPr>
                      <w:rFonts w:ascii="Cambria Math" w:hAnsi="Cambria Math"/>
                    </w:rPr>
                    <m:t xml:space="preserve">c</m:t>
                  </m:r>
                </m:e>
              </m:acc>
            </m:den>
          </m:f>
          <m:r>
            <m:rPr>
              <m:lit/>
              <m:nor/>
            </m:rPr>
            <w:rPr>
              <w:rFonts w:ascii="Cambria Math" w:hAnsi="Cambria Math"/>
            </w:rPr>
            <m:t xml:space="preserve">(SM6.3B-10)</m:t>
          </m:r>
        </m:oMath>
      </m:oMathPara>
    </w:p>
    <w:p>
      <w:pPr>
        <w:pStyle w:val="FirstParagraph"/>
        <w:widowControl/>
        <w:rPr>
          <w:color w:val="000000"/>
        </w:rPr>
      </w:pPr>
      <w:r>
        <w:rPr>
          <w:rFonts w:eastAsia="Arial" w:cs="Arial"/>
          <w:color w:val="000000"/>
          <w:sz w:val="24"/>
        </w:rPr>
        <w:t>No separate fuselage lift-curve-slope term is added in this conceptual implementation. The result is therefore a fuselage-moment-corrected lifting-system neutral point, not a complete-aircraft CFD-equivalent neutral point.</w:t>
      </w:r>
      <w:bookmarkEnd w:id="3"/>
    </w:p>
    <w:p>
      <w:pPr>
        <w:pStyle w:val="Heading1"/>
        <w:widowControl/>
        <w:rPr>
          <w:color w:val="000000"/>
        </w:rPr>
      </w:pPr>
      <w:bookmarkStart w:id="4" w:name="Xe32b0717408286065ec521f05f71b3ae1f0d8ff"/>
      <w:r>
        <w:rPr>
          <w:rFonts w:eastAsia="Arial" w:cs="Arial" w:ascii="Arial" w:hAnsi="Arial"/>
          <w:b/>
          <w:color w:val="000000"/>
          <w:sz w:val="30"/>
        </w:rPr>
        <w:t>3. Frozen 10.750 m G1.3 fuselage geometry</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3384"/>
        <w:gridCol w:w="1584"/>
        <w:gridCol w:w="1512"/>
        <w:gridCol w:w="3888"/>
      </w:tblGrid>
      <w:tr>
        <w:trPr>
          <w:tblHeader w:val="true"/>
          <w:cantSplit/>
        </w:trPr>
        <w:tc>
          <w:tcPr>
            <w:tcW w:w="338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G1.3 station</w:t>
            </w:r>
          </w:p>
        </w:tc>
        <w:tc>
          <w:tcPr>
            <w:tcW w:w="158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FS x (m)</w:t>
            </w:r>
          </w:p>
        </w:tc>
        <w:tc>
          <w:tcPr>
            <w:tcW w:w="15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Width (m)</w:t>
            </w:r>
          </w:p>
        </w:tc>
        <w:tc>
          <w:tcPr>
            <w:tcW w:w="3888"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Height (m)</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Nose point</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0.0000</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Nose</w:t>
            </w:r>
          </w:p>
        </w:tc>
        <w:tc>
          <w:tcPr>
            <w:tcW w:w="15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0.5375</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0.800</w:t>
            </w:r>
          </w:p>
        </w:tc>
        <w:tc>
          <w:tcPr>
            <w:tcW w:w="388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0.900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Cabin front</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2.3650</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1.550</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1.700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Cabin rear</w:t>
            </w:r>
          </w:p>
        </w:tc>
        <w:tc>
          <w:tcPr>
            <w:tcW w:w="15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5.3750</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1.550</w:t>
            </w:r>
          </w:p>
        </w:tc>
        <w:tc>
          <w:tcPr>
            <w:tcW w:w="388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1.700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Upsweep</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7.0950</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1.250</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1.340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Tail boom</w:t>
            </w:r>
          </w:p>
        </w:tc>
        <w:tc>
          <w:tcPr>
            <w:tcW w:w="15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9.1375</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0.780</w:t>
            </w:r>
          </w:p>
        </w:tc>
        <w:tc>
          <w:tcPr>
            <w:tcW w:w="388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0.800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Tail point</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10.7500</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w:t>
            </w:r>
          </w:p>
        </w:tc>
      </w:tr>
    </w:tbl>
    <w:p>
      <w:pPr>
        <w:pStyle w:val="BodyText"/>
        <w:widowControl/>
        <w:rPr>
          <w:color w:val="000000"/>
        </w:rPr>
      </w:pPr>
      <w:r>
        <w:rPr>
          <w:rFonts w:eastAsia="Arial" w:cs="Arial"/>
          <w:color w:val="000000"/>
          <w:sz w:val="24"/>
        </w:rPr>
        <w:t>Widths are linearly interpolated between the frozen stations. Each Munk-Multhopp strip uses the mean of its endpoint widths. Height is retained for geometry traceability and for the fuselage structural-centroid proxy in Section 7, but it does not enter the width-based pitching-moment equation.</w:t>
      </w:r>
      <w:bookmarkEnd w:id="4"/>
    </w:p>
    <w:p>
      <w:pPr>
        <w:pStyle w:val="Heading1"/>
        <w:widowControl/>
        <w:rPr>
          <w:color w:val="000000"/>
        </w:rPr>
      </w:pPr>
      <w:bookmarkStart w:id="5" w:name="X113a8c552fb97ab6abdd9d30d401d2373e1605c"/>
      <w:r>
        <w:rPr>
          <w:rFonts w:eastAsia="Arial" w:cs="Arial" w:ascii="Arial" w:hAnsi="Arial"/>
          <w:b/>
          <w:color w:val="000000"/>
          <w:sz w:val="30"/>
        </w:rPr>
        <w:t>4. Independent reproduction of the 14-region integration</w:t>
      </w:r>
    </w:p>
    <w:p>
      <w:pPr>
        <w:pStyle w:val="FirstParagraph"/>
        <w:widowControl/>
        <w:rPr>
          <w:color w:val="000000"/>
        </w:rPr>
      </w:pPr>
      <w:r>
        <w:rPr>
          <w:rFonts w:eastAsia="Arial" w:cs="Arial"/>
          <w:color w:val="000000"/>
          <w:sz w:val="24"/>
        </w:rPr>
        <w:t>The station-aligned baseline uses five forward segments, one zero wing-covered interval and eight aft segments. All tabulated values were recomputed from the controlled inputs.</w:t>
      </w:r>
    </w:p>
    <w:p>
      <w:pPr>
        <w:pStyle w:val="Heading2"/>
        <w:widowControl/>
        <w:rPr>
          <w:color w:val="000000"/>
        </w:rPr>
      </w:pPr>
      <w:bookmarkStart w:id="6" w:name="X314d9315718aee24b8316fd3c9e755f1189cea7"/>
      <w:r>
        <w:rPr>
          <w:rFonts w:eastAsia="Arial" w:cs="Arial" w:ascii="Arial" w:hAnsi="Arial"/>
          <w:b/>
          <w:color w:val="000000"/>
          <w:sz w:val="26"/>
        </w:rPr>
        <w:t>4.1 Forward and wing-covered regions</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576"/>
        <w:gridCol w:w="2087"/>
        <w:gridCol w:w="1153"/>
        <w:gridCol w:w="1152"/>
        <w:gridCol w:w="1152"/>
        <w:gridCol w:w="2736"/>
        <w:gridCol w:w="1512"/>
      </w:tblGrid>
      <w:tr>
        <w:trPr>
          <w:tblHeader w:val="true"/>
          <w:cantSplit/>
        </w:trPr>
        <w:tc>
          <w:tcPr>
            <w:tcW w:w="57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ID</w:t>
            </w:r>
          </w:p>
        </w:tc>
        <w:tc>
          <w:tcPr>
            <w:tcW w:w="2087"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rFonts w:eastAsia="Arial" w:cs="Arial"/>
                <w:b/>
                <w:color w:val="000000"/>
                <w:kern w:val="0"/>
                <w:sz w:val="24"/>
                <w:szCs w:val="24"/>
                <w:lang w:val="en-US" w:eastAsia="en-US" w:bidi="ar-SA"/>
              </w:rPr>
              <w:t>-</w:t>
            </w: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1</m:t>
                  </m:r>
                </m:sub>
              </m:sSub>
            </m:oMath>
            <w:r>
              <w:rPr>
                <w:rFonts w:eastAsia="Arial" w:cs="Arial"/>
                <w:b/>
                <w:color w:val="000000"/>
                <w:kern w:val="0"/>
                <w:sz w:val="24"/>
                <w:szCs w:val="24"/>
                <w:lang w:val="en-US" w:eastAsia="en-US" w:bidi="ar-SA"/>
              </w:rPr>
              <w:t xml:space="preserve"> (m)</w:t>
            </w:r>
          </w:p>
        </w:tc>
        <w:tc>
          <w:tcPr>
            <w:tcW w:w="115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r>
                  <w:rPr>
                    <w:rFonts w:ascii="Cambria Math" w:hAnsi="Cambria Math"/>
                  </w:rPr>
                  <m:t xml:space="preserve">Δ</m:t>
                </m:r>
                <m:r>
                  <w:rPr>
                    <w:rFonts w:ascii="Cambria Math" w:hAnsi="Cambria Math"/>
                  </w:rPr>
                  <m:t xml:space="preserve">x</m:t>
                </m:r>
              </m:oMath>
            </m:oMathPara>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sSub>
                  <m:e>
                    <m:r>
                      <w:rPr>
                        <w:rFonts w:ascii="Cambria Math" w:hAnsi="Cambria Math"/>
                      </w:rPr>
                      <m:t xml:space="preserve">w</m:t>
                    </m:r>
                  </m:e>
                  <m:sub>
                    <m:r>
                      <w:rPr>
                        <w:rFonts w:ascii="Cambria Math" w:hAnsi="Cambria Math"/>
                      </w:rPr>
                      <m:t xml:space="preserve">f</m:t>
                    </m:r>
                  </m:sub>
                </m:sSub>
              </m:oMath>
            </m:oMathPara>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Ratio</w:t>
            </w:r>
          </w:p>
        </w:tc>
        <w:tc>
          <w:tcPr>
            <w:tcW w:w="273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α</m:t>
                </m:r>
              </m:oMath>
            </m:oMathPara>
          </w:p>
        </w:tc>
        <w:tc>
          <w:tcPr>
            <w:tcW w:w="15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Term (m³)</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F1</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0.0000-0.5375</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0.5375</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0.4000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1.4148</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1.0853</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0.09334</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F2</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0.5375-1.1467</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0.6092</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0.9250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1.1100</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1.1386</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0.59351</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F3</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1.1467-1.7558</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0.6091</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1.1750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0.7862</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1.9343</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1.62659</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F4</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1.7558-2.3650</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0.6092</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1.4250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0.4623</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2.4243</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2.99902</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F5</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2.3650-2.9301</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0.5651</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1.5500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0.1502</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3.9112</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5.30982</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W</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2.9301-5.2904</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2.3603</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1.5500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0.0000</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0.00000</w:t>
            </w:r>
          </w:p>
        </w:tc>
      </w:tr>
    </w:tbl>
    <w:p>
      <w:pPr>
        <w:pStyle w:val="BodyText"/>
        <w:widowControl/>
        <w:rPr>
          <w:color w:val="000000"/>
        </w:rPr>
      </w:pPr>
      <w:r>
        <w:rPr>
          <w:rFonts w:eastAsia="Arial" w:cs="Arial"/>
          <w:color w:val="000000"/>
          <w:sz w:val="24"/>
        </w:rPr>
        <w:t>The forward-body integral is 10.622273 m³. The wing-covered interval contributes zero by definition in the selected implementation.</w:t>
      </w:r>
      <w:bookmarkEnd w:id="6"/>
    </w:p>
    <w:p>
      <w:pPr>
        <w:pStyle w:val="Heading2"/>
        <w:widowControl/>
        <w:rPr>
          <w:color w:val="000000"/>
        </w:rPr>
      </w:pPr>
      <w:bookmarkStart w:id="7" w:name="X87339cebc4025738ff3d71d8db973ca3618864e"/>
      <w:r>
        <w:rPr>
          <w:rFonts w:eastAsia="Arial" w:cs="Arial" w:ascii="Arial" w:hAnsi="Arial"/>
          <w:b/>
          <w:color w:val="000000"/>
          <w:sz w:val="26"/>
        </w:rPr>
        <w:t>4.2 Aft-body regions</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576"/>
        <w:gridCol w:w="2087"/>
        <w:gridCol w:w="1153"/>
        <w:gridCol w:w="1152"/>
        <w:gridCol w:w="1152"/>
        <w:gridCol w:w="2736"/>
        <w:gridCol w:w="1512"/>
      </w:tblGrid>
      <w:tr>
        <w:trPr>
          <w:tblHeader w:val="true"/>
          <w:cantSplit/>
        </w:trPr>
        <w:tc>
          <w:tcPr>
            <w:tcW w:w="57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ID</w:t>
            </w:r>
          </w:p>
        </w:tc>
        <w:tc>
          <w:tcPr>
            <w:tcW w:w="2087"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rFonts w:eastAsia="Arial" w:cs="Arial"/>
                <w:b/>
                <w:color w:val="000000"/>
                <w:kern w:val="0"/>
                <w:sz w:val="24"/>
                <w:szCs w:val="24"/>
                <w:lang w:val="en-US" w:eastAsia="en-US" w:bidi="ar-SA"/>
              </w:rPr>
              <w:t>-</w:t>
            </w: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1</m:t>
                  </m:r>
                </m:sub>
              </m:sSub>
            </m:oMath>
            <w:r>
              <w:rPr>
                <w:rFonts w:eastAsia="Arial" w:cs="Arial"/>
                <w:b/>
                <w:color w:val="000000"/>
                <w:kern w:val="0"/>
                <w:sz w:val="24"/>
                <w:szCs w:val="24"/>
                <w:lang w:val="en-US" w:eastAsia="en-US" w:bidi="ar-SA"/>
              </w:rPr>
              <w:t xml:space="preserve"> (m)</w:t>
            </w:r>
          </w:p>
        </w:tc>
        <w:tc>
          <w:tcPr>
            <w:tcW w:w="115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r>
                  <w:rPr>
                    <w:rFonts w:ascii="Cambria Math" w:hAnsi="Cambria Math"/>
                  </w:rPr>
                  <m:t xml:space="preserve">Δ</m:t>
                </m:r>
                <m:r>
                  <w:rPr>
                    <w:rFonts w:ascii="Cambria Math" w:hAnsi="Cambria Math"/>
                  </w:rPr>
                  <m:t xml:space="preserve">x</m:t>
                </m:r>
              </m:oMath>
            </m:oMathPara>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sSub>
                  <m:e>
                    <m:r>
                      <w:rPr>
                        <w:rFonts w:ascii="Cambria Math" w:hAnsi="Cambria Math"/>
                      </w:rPr>
                      <m:t xml:space="preserve">w</m:t>
                    </m:r>
                  </m:e>
                  <m:sub>
                    <m:r>
                      <w:rPr>
                        <w:rFonts w:ascii="Cambria Math" w:hAnsi="Cambria Math"/>
                      </w:rPr>
                      <m:t xml:space="preserve">f</m:t>
                    </m:r>
                  </m:sub>
                </m:sSub>
              </m:oMath>
            </m:oMathPara>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Ratio</w:t>
            </w:r>
          </w:p>
        </w:tc>
        <w:tc>
          <w:tcPr>
            <w:tcW w:w="273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α</m:t>
                </m:r>
              </m:oMath>
            </m:oMathPara>
          </w:p>
        </w:tc>
        <w:tc>
          <w:tcPr>
            <w:tcW w:w="15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Term (m³)</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A1</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5.2904-5.3750</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0.0846</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1.5500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0.0102</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0.0067</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0.00136</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A2</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5.3750-6.2350</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0.8600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1.4750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0.1246</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0.0813</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0.15221</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A3</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6.2350-7.0950</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0.8600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1.3250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0.3328</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0.2173</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0.32809</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A4</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7.0950-8.1163</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1.0213</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1.1325</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0.5606</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0.3660</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0.47942</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A5</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8.1163-9.1375</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1.0212</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0.8975</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0.8079</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0.5275</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0.43387</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A6</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9.1375-9.6750</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0.5375</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0.6500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0.9966</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0.6507</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0.14776</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A7</w:t>
            </w:r>
          </w:p>
        </w:tc>
        <w:tc>
          <w:tcPr>
            <w:tcW w:w="208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9.6750-10.2125</w:t>
            </w:r>
          </w:p>
        </w:tc>
        <w:tc>
          <w:tcPr>
            <w:tcW w:w="115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0.5375</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0.3900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1.1268</w:t>
            </w:r>
          </w:p>
        </w:tc>
        <w:tc>
          <w:tcPr>
            <w:tcW w:w="273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0.7356</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0.06014</w:t>
            </w:r>
          </w:p>
        </w:tc>
      </w:tr>
      <w:tr>
        <w:trPr>
          <w:cantSplit/>
        </w:trPr>
        <w:tc>
          <w:tcPr>
            <w:tcW w:w="57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A8</w:t>
            </w:r>
          </w:p>
        </w:tc>
        <w:tc>
          <w:tcPr>
            <w:tcW w:w="208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10.2125-10.7500</w:t>
            </w:r>
          </w:p>
        </w:tc>
        <w:tc>
          <w:tcPr>
            <w:tcW w:w="115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0.5375</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0.1300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1.2569</w:t>
            </w:r>
          </w:p>
        </w:tc>
        <w:tc>
          <w:tcPr>
            <w:tcW w:w="273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0.8206</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0.00745</w:t>
            </w:r>
          </w:p>
        </w:tc>
      </w:tr>
    </w:tbl>
    <w:p>
      <w:pPr>
        <w:pStyle w:val="BodyText"/>
        <w:widowControl/>
        <w:rPr>
          <w:color w:val="000000"/>
        </w:rPr>
      </w:pPr>
      <w:r>
        <w:rPr>
          <w:rFonts w:eastAsia="Arial" w:cs="Arial"/>
          <w:color w:val="000000"/>
          <w:sz w:val="24"/>
        </w:rPr>
        <w:t>The aft-body integral is 1.610303 m³ and the total is 12.232575 m³. The forward body supplies 86.8% of the positive destabilising integral.</w:t>
      </w:r>
      <w:bookmarkEnd w:id="5"/>
      <w:bookmarkEnd w:id="7"/>
    </w:p>
    <w:p>
      <w:pPr>
        <w:pStyle w:val="Heading1"/>
        <w:widowControl/>
        <w:rPr>
          <w:color w:val="000000"/>
        </w:rPr>
      </w:pPr>
      <w:bookmarkStart w:id="8" w:name="X4751a3f342735f46c4e9602680ed90067efbf6f"/>
      <w:r>
        <w:rPr>
          <w:rFonts w:eastAsia="Arial" w:cs="Arial" w:ascii="Arial" w:hAnsi="Arial"/>
          <w:b/>
          <w:color w:val="000000"/>
          <w:sz w:val="30"/>
        </w:rPr>
        <w:t>5. Verified central SM6.3B result</w:t>
      </w:r>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sub>
          </m:sSub>
          <m:r>
            <m:rPr>
              <m:lit/>
              <m:nor/>
            </m:rPr>
            <w:rPr>
              <w:rFonts w:ascii="Cambria Math" w:hAnsi="Cambria Math"/>
            </w:rPr>
            <m:t xml:space="preserve">=</m:t>
          </m:r>
          <m:f>
            <m:num>
              <m:r>
                <w:rPr>
                  <w:rFonts w:ascii="Cambria Math" w:hAnsi="Cambria Math"/>
                </w:rPr>
                <m:t xml:space="preserve">12.232575</m:t>
              </m:r>
            </m:num>
            <m:den>
              <m:r>
                <w:rPr>
                  <w:rFonts w:ascii="Cambria Math" w:hAnsi="Cambria Math"/>
                </w:rPr>
                <m:t xml:space="preserve">36.5</m:t>
              </m:r>
              <m:d>
                <m:dPr>
                  <m:begChr m:val="("/>
                  <m:endChr m:val=")"/>
                </m:dPr>
                <m:e>
                  <m:r>
                    <w:rPr>
                      <w:rFonts w:ascii="Cambria Math" w:hAnsi="Cambria Math"/>
                    </w:rPr>
                    <m:t xml:space="preserve">30.000</m:t>
                  </m:r>
                </m:e>
              </m:d>
              <m:d>
                <m:dPr>
                  <m:begChr m:val="("/>
                  <m:endChr m:val=")"/>
                </m:dPr>
                <m:e>
                  <m:r>
                    <w:rPr>
                      <w:rFonts w:ascii="Cambria Math" w:hAnsi="Cambria Math"/>
                    </w:rPr>
                    <m:t xml:space="preserve">1.881</m:t>
                  </m:r>
                </m:e>
              </m:d>
            </m:den>
          </m:f>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0.005939</m:t>
          </m:r>
          <m:r>
            <w:rPr>
              <w:rFonts w:ascii="Cambria Math" w:hAnsi="Cambria Math"/>
            </w:rPr>
            <m:t xml:space="preserve">d</m:t>
          </m:r>
          <m:r>
            <w:rPr>
              <w:rFonts w:ascii="Cambria Math" w:hAnsi="Cambria Math"/>
            </w:rPr>
            <m:t xml:space="preserve">e</m:t>
          </m:r>
          <m:sSup>
            <m:e>
              <m:r>
                <w:rPr>
                  <w:rFonts w:ascii="Cambria Math" w:hAnsi="Cambria Math"/>
                </w:rPr>
                <m:t xml:space="preserve">g</m:t>
              </m:r>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(SM6.3B-11)</m:t>
          </m:r>
        </m:oMath>
      </m:oMathPara>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sub>
          </m:sSub>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0.34028</m:t>
          </m:r>
          <m:r>
            <w:rPr>
              <w:rFonts w:ascii="Cambria Math" w:hAnsi="Cambria Math"/>
            </w:rPr>
            <m:t xml:space="preserve">r</m:t>
          </m:r>
          <m:r>
            <w:rPr>
              <w:rFonts w:ascii="Cambria Math" w:hAnsi="Cambria Math"/>
            </w:rPr>
            <m:t xml:space="preserve">a</m:t>
          </m:r>
          <m:sSup>
            <m:e>
              <m:r>
                <w:rPr>
                  <w:rFonts w:ascii="Cambria Math" w:hAnsi="Cambria Math"/>
                </w:rPr>
                <m:t xml:space="preserve">d</m:t>
              </m:r>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(SM6.3B-12)</m:t>
          </m:r>
        </m:oMath>
      </m:oMathPara>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1.17352</m:t>
          </m:r>
          <m:r>
            <m:rPr>
              <m:lit/>
              <m:nor/>
            </m:rPr>
            <w:rPr>
              <w:rFonts w:ascii="Cambria Math" w:hAnsi="Cambria Math"/>
            </w:rPr>
            <m:t xml:space="preserve">+</m:t>
          </m:r>
          <m:r>
            <w:rPr>
              <w:rFonts w:ascii="Cambria Math" w:hAnsi="Cambria Math"/>
            </w:rPr>
            <m:t xml:space="preserve">0.34028</m:t>
          </m:r>
          <m:r>
            <m:rPr>
              <m:lit/>
              <m:nor/>
            </m:rPr>
            <w:rPr>
              <w:rFonts w:ascii="Cambria Math" w:hAnsi="Cambria Math"/>
            </w:rPr>
            <m:t xml:space="preserve">=</m:t>
          </m:r>
          <m:r>
            <w:rPr>
              <w:rFonts w:ascii="Cambria Math" w:hAnsi="Cambria Math"/>
            </w:rPr>
            <m:t xml:space="preserve">−</m:t>
          </m:r>
          <m:r>
            <w:rPr>
              <w:rFonts w:ascii="Cambria Math" w:hAnsi="Cambria Math"/>
            </w:rPr>
            <m:t xml:space="preserve">0.83324</m:t>
          </m:r>
          <m:r>
            <w:rPr>
              <w:rFonts w:ascii="Cambria Math" w:hAnsi="Cambria Math"/>
            </w:rPr>
            <m:t xml:space="preserve">r</m:t>
          </m:r>
          <m:r>
            <w:rPr>
              <w:rFonts w:ascii="Cambria Math" w:hAnsi="Cambria Math"/>
            </w:rPr>
            <m:t xml:space="preserve">a</m:t>
          </m:r>
          <m:sSup>
            <m:e>
              <m:r>
                <w:rPr>
                  <w:rFonts w:ascii="Cambria Math" w:hAnsi="Cambria Math"/>
                </w:rPr>
                <m:t xml:space="preserve">d</m:t>
              </m:r>
            </m:e>
            <m:sup>
              <m:r>
                <w:rPr>
                  <w:rFonts w:ascii="Cambria Math" w:hAnsi="Cambria Math"/>
                </w:rPr>
                <m:t xml:space="preserve">−</m:t>
              </m:r>
              <m:r>
                <w:rPr>
                  <w:rFonts w:ascii="Cambria Math" w:hAnsi="Cambria Math"/>
                </w:rPr>
                <m:t xml:space="preserve">1</m:t>
              </m:r>
            </m:sup>
          </m:sSup>
          <m:r>
            <m:rPr>
              <m:lit/>
              <m:nor/>
            </m:rPr>
            <w:rPr>
              <w:rFonts w:ascii="Cambria Math" w:hAnsi="Cambria Math"/>
            </w:rPr>
            <m:t xml:space="preserve">(SM6.3B-13)</m:t>
          </m:r>
        </m:oMath>
      </m:oMathPara>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N</m:t>
              </m:r>
              <m:r>
                <w:rPr>
                  <w:rFonts w:ascii="Cambria Math" w:hAnsi="Cambria Math"/>
                </w:rPr>
                <m:t xml:space="preserve">P</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sub>
          </m:sSub>
          <m:r>
            <m:rPr>
              <m:lit/>
              <m:nor/>
            </m:rPr>
            <w:rPr>
              <w:rFonts w:ascii="Cambria Math" w:hAnsi="Cambria Math"/>
            </w:rPr>
            <m:t xml:space="preserve">=</m:t>
          </m:r>
          <m:r>
            <w:rPr>
              <w:rFonts w:ascii="Cambria Math" w:hAnsi="Cambria Math"/>
            </w:rPr>
            <m:t xml:space="preserve">3.750</m:t>
          </m:r>
          <m:r>
            <w:rPr>
              <w:rFonts w:ascii="Cambria Math" w:hAnsi="Cambria Math"/>
            </w:rPr>
            <m:t xml:space="preserve">−</m:t>
          </m:r>
          <m:r>
            <w:rPr>
              <w:rFonts w:ascii="Cambria Math" w:hAnsi="Cambria Math"/>
            </w:rPr>
            <m:t xml:space="preserve">1.881</m:t>
          </m:r>
          <m:d>
            <m:dPr>
              <m:begChr m:val="("/>
              <m:endChr m:val=")"/>
            </m:dPr>
            <m:e>
              <m:f>
                <m:num>
                  <m:r>
                    <w:rPr>
                      <w:rFonts w:ascii="Cambria Math" w:hAnsi="Cambria Math"/>
                    </w:rPr>
                    <m:t xml:space="preserve">−</m:t>
                  </m:r>
                  <m:r>
                    <w:rPr>
                      <w:rFonts w:ascii="Cambria Math" w:hAnsi="Cambria Math"/>
                    </w:rPr>
                    <m:t xml:space="preserve">0.83324</m:t>
                  </m:r>
                </m:num>
                <m:den>
                  <m:r>
                    <w:rPr>
                      <w:rFonts w:ascii="Cambria Math" w:hAnsi="Cambria Math"/>
                    </w:rPr>
                    <m:t xml:space="preserve">5.61880</m:t>
                  </m:r>
                </m:den>
              </m:f>
            </m:e>
          </m:d>
          <m:r>
            <m:rPr>
              <m:lit/>
              <m:nor/>
            </m:rPr>
            <w:rPr>
              <w:rFonts w:ascii="Cambria Math" w:hAnsi="Cambria Math"/>
            </w:rPr>
            <m:t xml:space="preserve">=</m:t>
          </m:r>
          <m:r>
            <w:rPr>
              <w:rFonts w:ascii="Cambria Math" w:hAnsi="Cambria Math"/>
            </w:rPr>
            <m:t xml:space="preserve">4.02894</m:t>
          </m:r>
          <m:r>
            <w:rPr>
              <w:rFonts w:ascii="Cambria Math" w:hAnsi="Cambria Math"/>
            </w:rPr>
            <m:t xml:space="preserve">m</m:t>
          </m:r>
          <m:r>
            <m:rPr>
              <m:lit/>
              <m:nor/>
            </m:rPr>
            <w:rPr>
              <w:rFonts w:ascii="Cambria Math" w:hAnsi="Cambria Math"/>
            </w:rPr>
            <m:t xml:space="preserve">(SM6.3B-14)</m:t>
          </m:r>
        </m:oMath>
      </m:oMathPara>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3384"/>
        <w:gridCol w:w="1584"/>
        <w:gridCol w:w="1512"/>
        <w:gridCol w:w="3888"/>
      </w:tblGrid>
      <w:tr>
        <w:trPr>
          <w:tblHeader w:val="true"/>
          <w:cantSplit/>
        </w:trPr>
        <w:tc>
          <w:tcPr>
            <w:tcW w:w="338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Item</w:t>
            </w:r>
          </w:p>
        </w:tc>
        <w:tc>
          <w:tcPr>
            <w:tcW w:w="158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FS x (m)</w:t>
            </w:r>
          </w:p>
        </w:tc>
        <w:tc>
          <w:tcPr>
            <w:tcW w:w="15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 MAC</w:t>
            </w:r>
          </w:p>
        </w:tc>
        <w:tc>
          <w:tcPr>
            <w:tcW w:w="3888"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Assessment</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Lifting-system neutral point</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4.14286</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58.10%</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Reference-invariant thin model</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Fuselage-corrected neutral point</w:t>
            </w:r>
          </w:p>
        </w:tc>
        <w:tc>
          <w:tcPr>
            <w:tcW w:w="15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4.02894</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52.04%</w:t>
            </w:r>
          </w:p>
        </w:tc>
        <w:tc>
          <w:tcPr>
            <w:tcW w:w="388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Central conceptual estimate</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Former forward design CG</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3.60000</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29.24%</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 = 22.80%</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Former aft design CG</w:t>
            </w:r>
          </w:p>
        </w:tc>
        <w:tc>
          <w:tcPr>
            <w:tcW w:w="15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3.90000</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45.19%</w:t>
            </w:r>
          </w:p>
        </w:tc>
        <w:tc>
          <w:tcPr>
            <w:tcW w:w="388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SM = 6.86% - </w:t>
            </w:r>
            <w:r>
              <w:rPr>
                <w:rFonts w:eastAsia="Arial" w:cs="Arial"/>
                <w:b/>
                <w:bCs/>
                <w:color w:val="000000"/>
                <w:kern w:val="0"/>
                <w:sz w:val="24"/>
                <w:szCs w:val="24"/>
                <w:lang w:val="en-US" w:eastAsia="en-US" w:bidi="ar-SA"/>
              </w:rPr>
              <w:t>FAIL</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Neutral point required for 10% at FS 3.900</w:t>
            </w:r>
          </w:p>
        </w:tc>
        <w:tc>
          <w:tcPr>
            <w:tcW w:w="158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4.08810</w:t>
            </w:r>
          </w:p>
        </w:tc>
        <w:tc>
          <w:tcPr>
            <w:tcW w:w="15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55.19%</w:t>
            </w:r>
          </w:p>
        </w:tc>
        <w:tc>
          <w:tcPr>
            <w:tcW w:w="388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Required</w:t>
            </w:r>
          </w:p>
        </w:tc>
      </w:tr>
      <w:tr>
        <w:trPr>
          <w:cantSplit/>
        </w:trPr>
        <w:tc>
          <w:tcPr>
            <w:tcW w:w="33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Central aft CG for exactly 10%</w:t>
            </w:r>
          </w:p>
        </w:tc>
        <w:tc>
          <w:tcPr>
            <w:tcW w:w="158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3.84084</w:t>
            </w:r>
          </w:p>
        </w:tc>
        <w:tc>
          <w:tcPr>
            <w:tcW w:w="15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42.04%</w:t>
            </w:r>
          </w:p>
        </w:tc>
        <w:tc>
          <w:tcPr>
            <w:tcW w:w="388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Central limit</w:t>
            </w:r>
          </w:p>
        </w:tc>
      </w:tr>
    </w:tbl>
    <w:p>
      <w:pPr>
        <w:pStyle w:val="BodyText"/>
        <w:widowControl/>
        <w:rPr>
          <w:color w:val="000000"/>
        </w:rPr>
      </w:pPr>
      <w:r>
        <w:rPr>
          <w:rFonts w:eastAsia="Arial" w:cs="Arial"/>
          <w:color w:val="000000"/>
          <w:sz w:val="24"/>
        </w:rPr>
        <w:t>The former FS 3.900 m boundary is 0.0592 m too far aft and misses the 10%-MAC floor by 3.14 percentage points. It is not used as an acceptable boundary in the loading assessment.</w:t>
      </w:r>
      <w:bookmarkEnd w:id="8"/>
    </w:p>
    <w:p>
      <w:pPr>
        <w:pStyle w:val="Heading1"/>
        <w:widowControl/>
        <w:rPr>
          <w:color w:val="000000"/>
        </w:rPr>
      </w:pPr>
      <w:bookmarkStart w:id="9" w:name="Xc5171229b3f616ce023d9d30df6e59e676f5ff4"/>
      <w:r>
        <w:rPr>
          <w:rFonts w:eastAsia="Arial" w:cs="Arial" w:ascii="Arial" w:hAnsi="Arial"/>
          <w:b/>
          <w:color w:val="000000"/>
          <w:sz w:val="30"/>
        </w:rPr>
        <w:t>6. Discretisation and aerodynamic model-form audit</w:t>
      </w:r>
    </w:p>
    <w:p>
      <w:pPr>
        <w:pStyle w:val="FirstParagraph"/>
        <w:widowControl/>
        <w:rPr>
          <w:color w:val="000000"/>
        </w:rPr>
      </w:pPr>
      <w:r>
        <w:rPr>
          <w:rFonts w:eastAsia="Arial" w:cs="Arial"/>
          <w:color w:val="000000"/>
          <w:sz w:val="24"/>
        </w:rPr>
        <w:t>The original station-aligned solution is S14. Reproducible uniform alternatives are U11 = four forward + one wing-covered + six aft regions, U14 = five + one + eight, and U20 = eight + one + eleven.</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792"/>
        <w:gridCol w:w="2592"/>
        <w:gridCol w:w="792"/>
        <w:gridCol w:w="1440"/>
        <w:gridCol w:w="1296"/>
        <w:gridCol w:w="1223"/>
        <w:gridCol w:w="2233"/>
      </w:tblGrid>
      <w:tr>
        <w:trPr>
          <w:tblHeader w:val="true"/>
          <w:cantSplit/>
        </w:trPr>
        <w:tc>
          <w:tcPr>
            <w:tcW w:w="7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Case</w:t>
            </w:r>
          </w:p>
        </w:tc>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Definition</w:t>
            </w:r>
          </w:p>
        </w:tc>
        <w:tc>
          <w:tcPr>
            <w:tcW w:w="7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Regions</w:t>
            </w:r>
          </w:p>
        </w:tc>
        <w:tc>
          <w:tcPr>
            <w:tcW w:w="1440"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Para xmlns:m="http://schemas.openxmlformats.org/officeDocument/2006/math">
              <m:oMathParaPr>
                <m:jc m:val="right"/>
              </m:oMathParaPr>
              <m:o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sub>
                </m:sSub>
              </m:oMath>
            </m:oMathPara>
          </w:p>
        </w:tc>
        <w:tc>
          <w:tcPr>
            <w:tcW w:w="129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N</m:t>
                  </m:r>
                  <m:r>
                    <w:rPr>
                      <w:rFonts w:ascii="Cambria Math" w:hAnsi="Cambria Math"/>
                    </w:rPr>
                    <m:t xml:space="preserve">P</m:t>
                  </m:r>
                </m:sub>
              </m:sSub>
            </m:oMath>
            <w:r>
              <w:rPr>
                <w:rFonts w:eastAsia="Arial" w:cs="Arial"/>
                <w:b/>
                <w:color w:val="000000"/>
                <w:kern w:val="0"/>
                <w:sz w:val="24"/>
                <w:szCs w:val="24"/>
                <w:lang w:val="en-US" w:eastAsia="en-US" w:bidi="ar-SA"/>
              </w:rPr>
              <w:t xml:space="preserve"> </w:t>
            </w:r>
            <w:r>
              <w:rPr>
                <w:rFonts w:eastAsia="Arial" w:cs="Arial"/>
                <w:b/>
                <w:color w:val="000000"/>
                <w:kern w:val="0"/>
                <w:sz w:val="24"/>
                <w:szCs w:val="24"/>
                <w:lang w:val="en-US" w:eastAsia="en-US" w:bidi="ar-SA"/>
              </w:rPr>
              <w:t>(m)</w:t>
            </w:r>
          </w:p>
        </w:tc>
        <w:tc>
          <w:tcPr>
            <w:tcW w:w="122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SM at 3.900</w:t>
            </w:r>
          </w:p>
        </w:tc>
        <w:tc>
          <w:tcPr>
            <w:tcW w:w="223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10% aft limit (m)</w:t>
            </w:r>
          </w:p>
        </w:tc>
      </w:tr>
      <w:tr>
        <w:trPr>
          <w:cantSplit/>
        </w:trPr>
        <w:tc>
          <w:tcPr>
            <w:tcW w:w="7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U11</w:t>
            </w:r>
          </w:p>
        </w:tc>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Uniform 4 F + 1 W + 6 A</w:t>
            </w:r>
          </w:p>
        </w:tc>
        <w:tc>
          <w:tcPr>
            <w:tcW w:w="7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0.32977</w:t>
            </w:r>
          </w:p>
        </w:tc>
        <w:tc>
          <w:tcPr>
            <w:tcW w:w="12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4.03246</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7.04%</w:t>
            </w:r>
          </w:p>
        </w:tc>
        <w:tc>
          <w:tcPr>
            <w:tcW w:w="223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3.84436</w:t>
            </w:r>
          </w:p>
        </w:tc>
      </w:tr>
      <w:tr>
        <w:trPr>
          <w:cantSplit/>
        </w:trPr>
        <w:tc>
          <w:tcPr>
            <w:tcW w:w="7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U14</w:t>
            </w:r>
          </w:p>
        </w:tc>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Uniform 5 F + 1 W + 8 A</w:t>
            </w:r>
          </w:p>
        </w:tc>
        <w:tc>
          <w:tcPr>
            <w:tcW w:w="7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0.33711</w:t>
            </w:r>
          </w:p>
        </w:tc>
        <w:tc>
          <w:tcPr>
            <w:tcW w:w="129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4.03000</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6.91%</w:t>
            </w:r>
          </w:p>
        </w:tc>
        <w:tc>
          <w:tcPr>
            <w:tcW w:w="223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3.84190</w:t>
            </w:r>
          </w:p>
        </w:tc>
      </w:tr>
      <w:tr>
        <w:trPr>
          <w:cantSplit/>
        </w:trPr>
        <w:tc>
          <w:tcPr>
            <w:tcW w:w="7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S14</w:t>
            </w:r>
          </w:p>
        </w:tc>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Station-aligned 5 F + 1 W + 8 A</w:t>
            </w:r>
          </w:p>
        </w:tc>
        <w:tc>
          <w:tcPr>
            <w:tcW w:w="7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0.34028</w:t>
            </w:r>
          </w:p>
        </w:tc>
        <w:tc>
          <w:tcPr>
            <w:tcW w:w="12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4.02894</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6.86%</w:t>
            </w:r>
          </w:p>
        </w:tc>
        <w:tc>
          <w:tcPr>
            <w:tcW w:w="223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3.84084</w:t>
            </w:r>
          </w:p>
        </w:tc>
      </w:tr>
      <w:tr>
        <w:trPr>
          <w:cantSplit/>
        </w:trPr>
        <w:tc>
          <w:tcPr>
            <w:tcW w:w="7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U20</w:t>
            </w:r>
          </w:p>
        </w:tc>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Uniform 8 F + 1 W + 11 A</w:t>
            </w:r>
          </w:p>
        </w:tc>
        <w:tc>
          <w:tcPr>
            <w:tcW w:w="7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0.34943</w:t>
            </w:r>
          </w:p>
        </w:tc>
        <w:tc>
          <w:tcPr>
            <w:tcW w:w="129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4.02588</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6.69%</w:t>
            </w:r>
          </w:p>
        </w:tc>
        <w:tc>
          <w:tcPr>
            <w:tcW w:w="223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3.83778</w:t>
            </w:r>
          </w:p>
        </w:tc>
      </w:tr>
      <w:tr>
        <w:trPr>
          <w:cantSplit/>
        </w:trPr>
        <w:tc>
          <w:tcPr>
            <w:tcW w:w="7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Fine quadrature</w:t>
            </w:r>
          </w:p>
        </w:tc>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Continuous-width midpoint warning</w:t>
            </w:r>
          </w:p>
        </w:tc>
        <w:tc>
          <w:tcPr>
            <w:tcW w:w="7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0.38902</w:t>
            </w:r>
          </w:p>
        </w:tc>
        <w:tc>
          <w:tcPr>
            <w:tcW w:w="12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4.01263</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5.99%</w:t>
            </w:r>
          </w:p>
        </w:tc>
        <w:tc>
          <w:tcPr>
            <w:tcW w:w="223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3.82453</w:t>
            </w:r>
          </w:p>
        </w:tc>
      </w:tr>
    </w:tbl>
    <w:p>
      <w:pPr>
        <w:pStyle w:val="BodyText"/>
        <w:widowControl/>
        <w:rPr>
          <w:color w:val="000000"/>
        </w:rPr>
      </w:pPr>
      <w:r>
        <w:rPr>
          <w:rFonts w:eastAsia="Arial" w:cs="Arial"/>
          <w:color w:val="000000"/>
          <w:sz w:val="24"/>
        </w:rPr>
        <w:t>Every defined 10-to-20-region mesh fails FS 3.900. U20 is retained as the conservative reproducible screen. The fine quadrature resolves more of the integrable near-leading-edge singularity and is retained as a numerical warning, not substituted for the source strip method.</w:t>
      </w:r>
    </w:p>
    <w:p>
      <w:pPr>
        <w:pStyle w:val="Heading2"/>
        <w:widowControl/>
        <w:rPr>
          <w:color w:val="000000"/>
        </w:rPr>
      </w:pPr>
      <w:bookmarkStart w:id="10" w:name="Xb5a5009d3bdb2365a429a07f5e1bd6973828e52"/>
      <w:r>
        <w:rPr>
          <w:rFonts w:eastAsia="Arial" w:cs="Arial" w:ascii="Arial" w:hAnsi="Arial"/>
          <w:b/>
          <w:color w:val="000000"/>
          <w:sz w:val="26"/>
        </w:rPr>
        <w:t>6.1 Model-form boundary</w:t>
      </w:r>
    </w:p>
    <w:p>
      <w:pPr>
        <w:pStyle w:val="Compact"/>
        <w:widowControl/>
        <w:numPr>
          <w:ilvl w:val="0"/>
          <w:numId w:val="1"/>
        </w:numPr>
        <w:rPr>
          <w:color w:val="000000"/>
        </w:rPr>
      </w:pPr>
      <w:r>
        <w:rPr>
          <w:rFonts w:eastAsia="Arial" w:cs="Arial"/>
          <w:color w:val="000000"/>
          <w:sz w:val="24"/>
        </w:rPr>
        <w:t>Nacelle Munk-Multhopp terms are not included because complete station shapes and a confirmed datum were not in the controlled input set.</w:t>
      </w:r>
    </w:p>
    <w:p>
      <w:pPr>
        <w:pStyle w:val="Compact"/>
        <w:widowControl/>
        <w:numPr>
          <w:ilvl w:val="0"/>
          <w:numId w:val="1"/>
        </w:numPr>
        <w:rPr>
          <w:color w:val="000000"/>
        </w:rPr>
      </w:pPr>
      <w:r>
        <w:rPr>
          <w:rFonts w:eastAsia="Arial" w:cs="Arial"/>
          <w:color w:val="000000"/>
          <w:sz w:val="24"/>
        </w:rPr>
        <w:t>Powered-propeller normal-force derivatives are not included.</w:t>
      </w:r>
    </w:p>
    <w:p>
      <w:pPr>
        <w:pStyle w:val="Compact"/>
        <w:widowControl/>
        <w:numPr>
          <w:ilvl w:val="0"/>
          <w:numId w:val="1"/>
        </w:numPr>
        <w:rPr>
          <w:color w:val="000000"/>
        </w:rPr>
      </w:pPr>
      <w:r>
        <w:rPr>
          <w:rFonts w:eastAsia="Arial" w:cs="Arial"/>
          <w:color w:val="000000"/>
          <w:sz w:val="24"/>
        </w:rPr>
        <w:t xml:space="preserve">A separate fuselage lift-curve-slope contribution is not included; the denominator remains the lifting-system </w:t>
      </w:r>
      <w:r>
        <w:rPr>
          <w:color w:val="000000"/>
        </w:rPr>
      </w:r>
      <m:oMath xmlns:m="http://schemas.openxmlformats.org/officeDocument/2006/math">
        <m:sSub>
          <m:e>
            <m:r>
              <w:rPr>
                <w:rFonts w:ascii="Cambria Math" w:hAnsi="Cambria Math"/>
              </w:rPr>
              <m:t xml:space="preserve">C</m:t>
            </m:r>
          </m:e>
          <m:sub>
            <m:sSub>
              <m:e>
                <m:r>
                  <w:rPr>
                    <w:rFonts w:ascii="Cambria Math" w:hAnsi="Cambria Math"/>
                  </w:rPr>
                  <m:t xml:space="preserve">L</m:t>
                </m:r>
              </m:e>
              <m:sub>
                <m:r>
                  <w:rPr>
                    <w:rFonts w:ascii="Cambria Math" w:hAnsi="Cambria Math"/>
                  </w:rPr>
                  <m:t xml:space="preserve">α</m:t>
                </m:r>
              </m:sub>
            </m:sSub>
          </m:sub>
        </m:sSub>
      </m:oMath>
      <w:r>
        <w:rPr>
          <w:rFonts w:eastAsia="Arial" w:cs="Arial"/>
          <w:color w:val="000000"/>
          <w:sz w:val="24"/>
        </w:rPr>
        <w:t>.</w:t>
      </w:r>
    </w:p>
    <w:p>
      <w:pPr>
        <w:pStyle w:val="Compact"/>
        <w:widowControl/>
        <w:numPr>
          <w:ilvl w:val="0"/>
          <w:numId w:val="1"/>
        </w:numPr>
        <w:rPr>
          <w:color w:val="000000"/>
        </w:rPr>
      </w:pPr>
      <w:r>
        <w:rPr>
          <w:rFonts w:eastAsia="Arial" w:cs="Arial"/>
          <w:color w:val="000000"/>
          <w:sz w:val="24"/>
        </w:rPr>
        <w:t>Classical high-wing model-form uncertainty remains open; numerical reproduction is not aerodynamic validation.</w:t>
      </w:r>
    </w:p>
    <w:p>
      <w:pPr>
        <w:pStyle w:val="FirstParagraph"/>
        <w:widowControl/>
        <w:rPr>
          <w:color w:val="000000"/>
        </w:rPr>
      </w:pPr>
      <w:r>
        <w:rPr>
          <w:rFonts w:eastAsia="Arial" w:cs="Arial"/>
          <w:color w:val="000000"/>
          <w:sz w:val="24"/>
        </w:rPr>
        <w:t>The selected central value is therefore a conceptual fuselage-moment correction. The U20 result is a conservative numerical screen within that same model, not a certification-level complete-aircraft neutral point.</w:t>
      </w:r>
      <w:bookmarkEnd w:id="9"/>
      <w:bookmarkEnd w:id="10"/>
    </w:p>
    <w:p>
      <w:pPr>
        <w:pStyle w:val="Heading1"/>
        <w:widowControl/>
        <w:rPr>
          <w:color w:val="000000"/>
        </w:rPr>
      </w:pPr>
      <w:bookmarkStart w:id="11" w:name="X1fab38c51eca0a74f3ed407c58b3e2940e7693d"/>
      <w:r>
        <w:rPr>
          <w:rFonts w:eastAsia="Arial" w:cs="Arial" w:ascii="Arial" w:hAnsi="Arial"/>
          <w:b/>
          <w:color w:val="000000"/>
          <w:sz w:val="30"/>
        </w:rPr>
        <w:t>7. SM6.4A - component mass-arm model</w:t>
      </w:r>
    </w:p>
    <w:p>
      <w:pPr>
        <w:pStyle w:val="FirstParagraph"/>
        <w:widowControl/>
        <w:rPr>
          <w:color w:val="000000"/>
        </w:rPr>
      </w:pPr>
      <w:r>
        <w:rPr>
          <w:rFonts w:eastAsia="Arial" w:cs="Arial"/>
          <w:color w:val="000000"/>
          <w:sz w:val="24"/>
        </w:rPr>
        <w:t>The design report supplies the 30-line mass statement but not longitudinal centroids. SM6.4A therefore constructs a first-order mass-properties ledger from the frozen geometry. It is suitable for conceptual design decisions because every assumption is explicit and bounded; it is not a substitute for CAD mass-property export or weighed-aircraft data.</w:t>
      </w:r>
    </w:p>
    <w:p>
      <w:pPr>
        <w:pStyle w:val="Heading2"/>
        <w:widowControl/>
        <w:rPr>
          <w:color w:val="000000"/>
        </w:rPr>
      </w:pPr>
      <w:bookmarkStart w:id="12" w:name="Xcfa6366b8417e6fd8cac06524ac229232c241a3"/>
      <w:r>
        <w:rPr>
          <w:rFonts w:eastAsia="Arial" w:cs="Arial" w:ascii="Arial" w:hAnsi="Arial"/>
          <w:b/>
          <w:color w:val="000000"/>
          <w:sz w:val="26"/>
        </w:rPr>
        <w:t>7.1 Governing mass-property equations</w:t>
      </w:r>
    </w:p>
    <w:p>
      <w:pPr>
        <w:pStyle w:val="FirstParagraph"/>
        <w:widowControl/>
        <w:jc w:val="center"/>
        <w:rPr>
          <w:color w:val="000000"/>
        </w:rPr>
      </w:pPr>
      <w:r>
        <w:rPr>
          <w:color w:val="000000"/>
        </w:rPr>
      </w:r>
      <m:oMathPara xmlns:m="http://schemas.openxmlformats.org/officeDocument/2006/math">
        <m:oMathParaPr>
          <m:jc m:val="center"/>
        </m:oMathParaPr>
        <m:oMath>
          <m:r>
            <w:rPr>
              <w:rFonts w:ascii="Cambria Math" w:hAnsi="Cambria Math"/>
            </w:rPr>
            <m:t xml:space="preserve">M</m:t>
          </m:r>
          <m:r>
            <m:rPr>
              <m:lit/>
              <m:nor/>
            </m:rP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m</m:t>
                  </m:r>
                </m:e>
                <m:sub>
                  <m:r>
                    <w:rPr>
                      <w:rFonts w:ascii="Cambria Math" w:hAnsi="Cambria Math"/>
                    </w:rPr>
                    <m:t xml:space="preserve">i</m:t>
                  </m:r>
                </m:sub>
              </m:sSub>
            </m:e>
          </m:nary>
          <m:r>
            <w:rPr>
              <w:rFonts w:ascii="Cambria Math" w:hAnsi="Cambria Math"/>
            </w:rPr>
            <m:t xml:space="preserve">,</m:t>
          </m:r>
          <m:sSub>
            <m:e>
              <m:r>
                <w:rPr>
                  <w:rFonts w:ascii="Cambria Math" w:hAnsi="Cambria Math"/>
                </w:rPr>
                <m:t xml:space="preserve">M</m:t>
              </m:r>
            </m:e>
            <m:sub>
              <m:r>
                <w:rPr>
                  <w:rFonts w:ascii="Cambria Math" w:hAnsi="Cambria Math"/>
                </w:rPr>
                <m:t xml:space="preserve">x</m:t>
              </m:r>
            </m:sub>
          </m:sSub>
          <m:r>
            <m:rPr>
              <m:lit/>
              <m:nor/>
            </m:rP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m</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r>
            <m:rPr>
              <m:lit/>
              <m:nor/>
            </m:rPr>
            <w:rPr>
              <w:rFonts w:ascii="Cambria Math" w:hAnsi="Cambria Math"/>
            </w:rPr>
            <m:t xml:space="preserve">=</m:t>
          </m:r>
          <m:f>
            <m:num>
              <m:sSub>
                <m:e>
                  <m:r>
                    <w:rPr>
                      <w:rFonts w:ascii="Cambria Math" w:hAnsi="Cambria Math"/>
                    </w:rPr>
                    <m:t xml:space="preserve">M</m:t>
                  </m:r>
                </m:e>
                <m:sub>
                  <m:r>
                    <w:rPr>
                      <w:rFonts w:ascii="Cambria Math" w:hAnsi="Cambria Math"/>
                    </w:rPr>
                    <m:t xml:space="preserve">x</m:t>
                  </m:r>
                </m:sub>
              </m:sSub>
            </m:num>
            <m:den>
              <m:r>
                <w:rPr>
                  <w:rFonts w:ascii="Cambria Math" w:hAnsi="Cambria Math"/>
                </w:rPr>
                <m:t xml:space="preserve">M</m:t>
              </m:r>
            </m:den>
          </m:f>
          <m:r>
            <m:rPr>
              <m:lit/>
              <m:nor/>
            </m:rPr>
            <w:rPr>
              <w:rFonts w:ascii="Cambria Math" w:hAnsi="Cambria Math"/>
            </w:rPr>
            <m:t xml:space="preserve">(SM6.4A-1)</m:t>
          </m:r>
        </m:oMath>
      </m:oMathPara>
    </w:p>
    <w:p>
      <w:pPr>
        <w:pStyle w:val="FirstParagraph"/>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C</m:t>
              </m:r>
              <m:r>
                <w:rPr>
                  <w:rFonts w:ascii="Cambria Math" w:hAnsi="Cambria Math"/>
                </w:rPr>
                <m:t xml:space="preserve">G</m:t>
              </m:r>
            </m:sub>
          </m:sSub>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L</m:t>
                  </m:r>
                  <m:r>
                    <w:rPr>
                      <w:rFonts w:ascii="Cambria Math" w:hAnsi="Cambria Math"/>
                    </w:rPr>
                    <m:t xml:space="preserve">E</m:t>
                  </m:r>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C</m:t>
                  </m:r>
                </m:sub>
              </m:sSub>
            </m:num>
            <m:den>
              <m:acc>
                <m:accPr>
                  <m:chr m:val="´"/>
                </m:accPr>
                <m:e>
                  <m:r>
                    <w:rPr>
                      <w:rFonts w:ascii="Cambria Math" w:hAnsi="Cambria Math"/>
                    </w:rPr>
                    <m:t xml:space="preserve">c</m:t>
                  </m:r>
                </m:e>
              </m:acc>
            </m:den>
          </m:f>
          <m:r>
            <m:rPr>
              <m:lit/>
              <m:nor/>
            </m:rPr>
            <w:rPr>
              <w:rFonts w:ascii="Cambria Math" w:hAnsi="Cambria Math"/>
            </w:rPr>
            <m:t xml:space="preserve">(SM6.4A-2)</m:t>
          </m:r>
        </m:oMath>
      </m:oMathPara>
    </w:p>
    <w:p>
      <w:pPr>
        <w:pStyle w:val="FirstParagraph"/>
        <w:widowControl/>
        <w:rPr>
          <w:color w:val="000000"/>
        </w:rPr>
      </w:pPr>
      <w:r>
        <w:rPr>
          <w:rFonts w:eastAsia="Arial" w:cs="Arial"/>
          <w:color w:val="000000"/>
          <w:sz w:val="24"/>
        </w:rPr>
        <w:t>Growth allowance and integrated credits are accounting adjustments rather than physical point masses. Both are placed at the physical-subtotal CG so that neither creates a fictitious moment shift.</w:t>
      </w:r>
      <w:bookmarkEnd w:id="12"/>
    </w:p>
    <w:p>
      <w:pPr>
        <w:pStyle w:val="Heading2"/>
        <w:widowControl/>
        <w:rPr>
          <w:color w:val="000000"/>
        </w:rPr>
      </w:pPr>
      <w:bookmarkStart w:id="13" w:name="X678b469065fdf82955ca18511420fb47db975eb"/>
      <w:r>
        <w:rPr>
          <w:rFonts w:eastAsia="Arial" w:cs="Arial" w:ascii="Arial" w:hAnsi="Arial"/>
          <w:b/>
          <w:color w:val="000000"/>
          <w:sz w:val="26"/>
        </w:rPr>
        <w:t>7.2 Arm-construction rules and evidence grades</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2592"/>
        <w:gridCol w:w="5112"/>
        <w:gridCol w:w="2664"/>
      </w:tblGrid>
      <w:tr>
        <w:trPr>
          <w:tblHeader w:val="true"/>
          <w:cantSplit/>
        </w:trPr>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Grade</w:t>
            </w:r>
          </w:p>
        </w:tc>
        <w:tc>
          <w:tcPr>
            <w:tcW w:w="51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Meaning</w:t>
            </w:r>
          </w:p>
        </w:tc>
        <w:tc>
          <w:tcPr>
            <w:tcW w:w="266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Use in this release</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Direct frozen station or chordwise geometry</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Propeller, wing devices, empennage</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B</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Derived centroid within a controlled installation envelope</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Engines, fuselage, gear, ESS, cabin</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Engineering allocation for a distributed or incompletely packaged system</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Wiring, controls, avionics, equipment</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N/A</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Accounting row placed at physical-subtotal CG</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Growth and integrated credits</w:t>
            </w:r>
          </w:p>
        </w:tc>
      </w:tr>
    </w:tbl>
    <w:p>
      <w:pPr>
        <w:pStyle w:val="BodyText"/>
        <w:keepNext w:val="true"/>
        <w:widowControl/>
        <w:rPr>
          <w:color w:val="000000"/>
        </w:rPr>
      </w:pPr>
      <w:r>
        <w:rPr>
          <w:rFonts w:eastAsia="Arial" w:cs="Arial"/>
          <w:color w:val="000000"/>
          <w:sz w:val="24"/>
        </w:rPr>
        <w:t>Key constructions are:</w:t>
      </w:r>
    </w:p>
    <w:p>
      <w:pPr>
        <w:pStyle w:val="Compact"/>
        <w:keepLines/>
        <w:widowControl/>
        <w:numPr>
          <w:ilvl w:val="0"/>
          <w:numId w:val="1"/>
        </w:numPr>
        <w:rPr>
          <w:color w:val="000000"/>
        </w:rPr>
      </w:pPr>
      <w:r>
        <w:rPr>
          <w:rFonts w:eastAsia="Arial" w:cs="Arial"/>
          <w:color w:val="000000"/>
          <w:sz w:val="24"/>
        </w:rPr>
        <w:t xml:space="preserve">Wing-box arm: </w:t>
      </w:r>
      <w:r>
        <w:rPr>
          <w:color w:val="000000"/>
        </w:rPr>
      </w:r>
      <m:oMath xmlns:m="http://schemas.openxmlformats.org/officeDocument/2006/math">
        <m:sSub>
          <m:e>
            <m:r>
              <w:rPr>
                <w:rFonts w:ascii="Cambria Math" w:hAnsi="Cambria Math"/>
              </w:rPr>
              <m:t xml:space="preserve">x</m:t>
            </m:r>
          </m:e>
          <m:sub>
            <m:r>
              <w:rPr>
                <w:rFonts w:ascii="Cambria Math" w:hAnsi="Cambria Math"/>
              </w:rPr>
              <m:t xml:space="preserve">L</m:t>
            </m:r>
            <m:r>
              <w:rPr>
                <w:rFonts w:ascii="Cambria Math" w:hAnsi="Cambria Math"/>
              </w:rPr>
              <m:t xml:space="preserve">E</m:t>
            </m:r>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C</m:t>
            </m:r>
          </m:sub>
        </m:sSub>
        <m:r>
          <m:rPr>
            <m:lit/>
            <m:nor/>
          </m:rPr>
          <w:rPr>
            <w:rFonts w:ascii="Cambria Math" w:hAnsi="Cambria Math"/>
          </w:rPr>
          <m:t xml:space="preserve">+</m:t>
        </m:r>
        <m:r>
          <w:rPr>
            <w:rFonts w:ascii="Cambria Math" w:hAnsi="Cambria Math"/>
          </w:rPr>
          <m:t xml:space="preserve">0.40</m:t>
        </m:r>
        <m:acc>
          <m:accPr>
            <m:chr m:val="´"/>
          </m:accPr>
          <m:e>
            <m:r>
              <w:rPr>
                <w:rFonts w:ascii="Cambria Math" w:hAnsi="Cambria Math"/>
              </w:rPr>
              <m:t xml:space="preserve">c</m:t>
            </m:r>
          </m:e>
        </m:acc>
        <m:r>
          <m:rPr>
            <m:lit/>
            <m:nor/>
          </m:rPr>
          <w:rPr>
            <w:rFonts w:ascii="Cambria Math" w:hAnsi="Cambria Math"/>
          </w:rPr>
          <m:t xml:space="preserve">=</m:t>
        </m:r>
        <m:r>
          <w:rPr>
            <w:rFonts w:ascii="Cambria Math" w:hAnsi="Cambria Math"/>
          </w:rPr>
          <m:t xml:space="preserve">3.8024</m:t>
        </m:r>
      </m:oMath>
      <w:r>
        <w:rPr>
          <w:rFonts w:eastAsia="Arial" w:cs="Arial"/>
          <w:color w:val="000000"/>
          <w:sz w:val="24"/>
        </w:rPr>
        <w:t xml:space="preserve"> m.</w:t>
      </w:r>
    </w:p>
    <w:p>
      <w:pPr>
        <w:pStyle w:val="Compact"/>
        <w:widowControl/>
        <w:numPr>
          <w:ilvl w:val="0"/>
          <w:numId w:val="1"/>
        </w:numPr>
        <w:rPr>
          <w:color w:val="000000"/>
        </w:rPr>
      </w:pPr>
      <w:r>
        <w:rPr>
          <w:rFonts w:eastAsia="Arial" w:cs="Arial"/>
          <w:color w:val="000000"/>
          <w:sz w:val="24"/>
        </w:rPr>
        <w:t xml:space="preserve">Fuselage shell proxy: perimeter-weighted frozen-station centroid </w:t>
      </w:r>
      <w:r>
        <w:rPr>
          <w:color w:val="000000"/>
        </w:rPr>
      </w:r>
      <m:oMath xmlns:m="http://schemas.openxmlformats.org/officeDocument/2006/math">
        <m:sSub>
          <m:e>
            <m:acc>
              <m:accPr>
                <m:chr m:val="´"/>
              </m:accPr>
              <m:e>
                <m:r>
                  <w:rPr>
                    <w:rFonts w:ascii="Cambria Math" w:hAnsi="Cambria Math"/>
                  </w:rPr>
                  <m:t xml:space="preserve">x</m:t>
                </m:r>
              </m:e>
            </m:acc>
          </m:e>
          <m:sub>
            <m:r>
              <w:rPr>
                <w:rFonts w:ascii="Cambria Math" w:hAnsi="Cambria Math"/>
              </w:rPr>
              <m:t xml:space="preserve">s</m:t>
            </m:r>
            <m:r>
              <w:rPr>
                <w:rFonts w:ascii="Cambria Math" w:hAnsi="Cambria Math"/>
              </w:rPr>
              <m:t xml:space="preserve">h</m:t>
            </m:r>
            <m:r>
              <w:rPr>
                <w:rFonts w:ascii="Cambria Math" w:hAnsi="Cambria Math"/>
              </w:rPr>
              <m:t xml:space="preserve">e</m:t>
            </m:r>
            <m:r>
              <w:rPr>
                <w:rFonts w:ascii="Cambria Math" w:hAnsi="Cambria Math"/>
              </w:rPr>
              <m:t xml:space="preserve">l</m:t>
            </m:r>
            <m:r>
              <w:rPr>
                <w:rFonts w:ascii="Cambria Math" w:hAnsi="Cambria Math"/>
              </w:rPr>
              <m:t xml:space="preserve">l</m:t>
            </m:r>
          </m:sub>
        </m:sSub>
        <m:r>
          <m:rPr>
            <m:lit/>
            <m:nor/>
          </m:rPr>
          <w:rPr>
            <w:rFonts w:ascii="Cambria Math" w:hAnsi="Cambria Math"/>
          </w:rPr>
          <m:t xml:space="preserve">=</m:t>
        </m:r>
        <m:r>
          <w:rPr>
            <w:rFonts w:ascii="Cambria Math" w:hAnsi="Cambria Math"/>
          </w:rPr>
          <m:t xml:space="preserve">4.8468</m:t>
        </m:r>
      </m:oMath>
      <w:r>
        <w:rPr>
          <w:rFonts w:eastAsia="Arial" w:cs="Arial"/>
          <w:color w:val="000000"/>
          <w:sz w:val="24"/>
        </w:rPr>
        <w:t xml:space="preserve"> m; the combined shell/carry-through row is assigned FS 4.65 m with a ±0.35 m bound.</w:t>
      </w:r>
    </w:p>
    <w:p>
      <w:pPr>
        <w:pStyle w:val="Compact"/>
        <w:widowControl/>
        <w:numPr>
          <w:ilvl w:val="0"/>
          <w:numId w:val="1"/>
        </w:numPr>
        <w:rPr>
          <w:color w:val="000000"/>
        </w:rPr>
      </w:pPr>
      <w:r>
        <w:rPr>
          <w:rFonts w:eastAsia="Arial" w:cs="Arial"/>
          <w:color w:val="000000"/>
          <w:sz w:val="24"/>
        </w:rPr>
        <w:t xml:space="preserve">Landing-gear group: a transparent 25.0 kg nose / 87.2 kg main-and-brake allocation gives </w:t>
      </w:r>
      <w:r>
        <w:rPr>
          <w:color w:val="000000"/>
        </w:rPr>
      </w:r>
      <m:oMath xmlns:m="http://schemas.openxmlformats.org/officeDocument/2006/math">
        <m:d>
          <m:dPr>
            <m:begChr m:val="["/>
            <m:endChr m:val=")"/>
          </m:dPr>
          <m:e>
            <m:r>
              <w:rPr>
                <w:rFonts w:ascii="Cambria Math" w:hAnsi="Cambria Math"/>
              </w:rPr>
              <m:t xml:space="preserve">25</m:t>
            </m:r>
            <m:d>
              <m:dPr>
                <m:begChr m:val="("/>
                <m:endChr m:val=")"/>
              </m:dPr>
              <m:e>
                <m:r>
                  <w:rPr>
                    <w:rFonts w:ascii="Cambria Math" w:hAnsi="Cambria Math"/>
                  </w:rPr>
                  <m:t xml:space="preserve">0.75</m:t>
                </m:r>
              </m:e>
            </m:d>
            <m:r>
              <m:rPr>
                <m:lit/>
                <m:nor/>
              </m:rPr>
              <w:rPr>
                <w:rFonts w:ascii="Cambria Math" w:hAnsi="Cambria Math"/>
              </w:rPr>
              <m:t xml:space="preserve">+</m:t>
            </m:r>
            <m:r>
              <w:rPr>
                <w:rFonts w:ascii="Cambria Math" w:hAnsi="Cambria Math"/>
              </w:rPr>
              <m:t xml:space="preserve">87.2</m:t>
            </m:r>
            <m:d>
              <m:dPr>
                <m:begChr m:val="("/>
                <m:endChr m:val=")"/>
              </m:dPr>
              <m:e>
                <m:r>
                  <w:rPr>
                    <w:rFonts w:ascii="Cambria Math" w:hAnsi="Cambria Math"/>
                  </w:rPr>
                  <m:t xml:space="preserve">4.29</m:t>
                </m:r>
              </m:e>
            </m:d>
          </m:e>
        </m:d>
        <m:r>
          <m:rPr>
            <m:lit/>
            <m:nor/>
          </m:rPr>
          <w:rPr>
            <w:rFonts w:ascii="Cambria Math" w:hAnsi="Cambria Math"/>
          </w:rPr>
          <m:t xml:space="preserve">/</m:t>
        </m:r>
        <m:r>
          <w:rPr>
            <w:rFonts w:ascii="Cambria Math" w:hAnsi="Cambria Math"/>
          </w:rPr>
          <m:t xml:space="preserve">112.2</m:t>
        </m:r>
        <m:r>
          <m:rPr>
            <m:lit/>
            <m:nor/>
          </m:rPr>
          <w:rPr>
            <w:rFonts w:ascii="Cambria Math" w:hAnsi="Cambria Math"/>
          </w:rPr>
          <m:t xml:space="preserve">=</m:t>
        </m:r>
        <m:r>
          <w:rPr>
            <w:rFonts w:ascii="Cambria Math" w:hAnsi="Cambria Math"/>
          </w:rPr>
          <m:t xml:space="preserve">3.5003</m:t>
        </m:r>
      </m:oMath>
      <w:r>
        <w:rPr>
          <w:rFonts w:eastAsia="Arial" w:cs="Arial"/>
          <w:color w:val="000000"/>
          <w:sz w:val="24"/>
        </w:rPr>
        <w:t xml:space="preserve"> m.</w:t>
      </w:r>
    </w:p>
    <w:p>
      <w:pPr>
        <w:pStyle w:val="Compact"/>
        <w:widowControl/>
        <w:numPr>
          <w:ilvl w:val="0"/>
          <w:numId w:val="1"/>
        </w:numPr>
        <w:rPr>
          <w:color w:val="000000"/>
        </w:rPr>
      </w:pPr>
      <w:r>
        <w:rPr>
          <w:rFonts w:eastAsia="Arial" w:cs="Arial"/>
          <w:color w:val="000000"/>
          <w:sz w:val="24"/>
        </w:rPr>
        <w:t>Three two-abreast row centres: FS 2.70, 3.65 and 4.60 m within the frozen FS 2.365-5.375 cabin.</w:t>
      </w:r>
    </w:p>
    <w:p>
      <w:pPr>
        <w:pStyle w:val="Compact"/>
        <w:widowControl/>
        <w:numPr>
          <w:ilvl w:val="0"/>
          <w:numId w:val="1"/>
        </w:numPr>
        <w:rPr>
          <w:color w:val="000000"/>
        </w:rPr>
      </w:pPr>
      <w:r>
        <w:rPr>
          <w:rFonts w:eastAsia="Arial" w:cs="Arial"/>
          <w:color w:val="000000"/>
          <w:sz w:val="24"/>
        </w:rPr>
        <w:t>Wing fuel arm: FS 3.75 m, close to the wing structural and aerodynamic reference.</w:t>
      </w:r>
    </w:p>
    <w:p>
      <w:pPr>
        <w:pStyle w:val="Compact"/>
        <w:widowControl/>
        <w:numPr>
          <w:ilvl w:val="0"/>
          <w:numId w:val="1"/>
        </w:numPr>
        <w:rPr>
          <w:color w:val="000000"/>
        </w:rPr>
      </w:pPr>
      <w:r>
        <w:rPr>
          <w:rFonts w:eastAsia="Arial" w:cs="Arial"/>
          <w:color w:val="000000"/>
          <w:sz w:val="24"/>
        </w:rPr>
        <w:t>Cargo restraint zone: FS 3.35-5.15 m; both endpoints are screened.</w:t>
      </w:r>
      <w:bookmarkEnd w:id="13"/>
    </w:p>
    <w:p>
      <w:pPr>
        <w:pStyle w:val="Heading2"/>
        <w:widowControl/>
        <w:rPr>
          <w:color w:val="000000"/>
        </w:rPr>
      </w:pPr>
      <w:bookmarkStart w:id="14" w:name="X0c27e5ac0fd7df23ac75e3acc864bb68524a711"/>
      <w:r>
        <w:rPr>
          <w:rFonts w:eastAsia="Arial" w:cs="Arial" w:ascii="Arial" w:hAnsi="Arial"/>
          <w:b/>
          <w:color w:val="000000"/>
          <w:sz w:val="26"/>
        </w:rPr>
        <w:t>7.3 Controlled 30-line preliminary ledger</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503"/>
        <w:gridCol w:w="3673"/>
        <w:gridCol w:w="1152"/>
        <w:gridCol w:w="1152"/>
        <w:gridCol w:w="1440"/>
        <w:gridCol w:w="1440"/>
        <w:gridCol w:w="1008"/>
      </w:tblGrid>
      <w:tr>
        <w:trPr>
          <w:tblHeader w:val="true"/>
          <w:cantSplit/>
        </w:trPr>
        <w:tc>
          <w:tcPr>
            <w:tcW w:w="50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No.</w:t>
            </w:r>
          </w:p>
        </w:tc>
        <w:tc>
          <w:tcPr>
            <w:tcW w:w="367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Mass item</w:t>
            </w:r>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Mass (kg)</w:t>
            </w:r>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FS arm (m)</w:t>
            </w:r>
          </w:p>
        </w:tc>
        <w:tc>
          <w:tcPr>
            <w:tcW w:w="1440"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Moment (kg·m)</w:t>
            </w:r>
          </w:p>
        </w:tc>
        <w:tc>
          <w:tcPr>
            <w:tcW w:w="1440"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Arm bound (m)</w:t>
            </w:r>
          </w:p>
        </w:tc>
        <w:tc>
          <w:tcPr>
            <w:tcW w:w="1008"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Grade</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Combustion engines, installed</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256.0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2.100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537.6</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±0.20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CF/PAEK wing torsion box</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190.1</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3.802</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722.8</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Fuselage and wing carry-through</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132.1</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4.650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614.3</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Landing gear and brakes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112.2</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3.500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392.7</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±0.20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Electric machines/inverters/cooling</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72.0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2.250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162.0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±0.25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ESS installed</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71.1</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263.1</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Double-slotted Fowler system</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61.9</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4.550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281.6</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8</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Propellers and governors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58.7</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1.350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79.2</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Design growth allowance</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52.0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3.430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178.4</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N/A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Cabin furnishings and seats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46.0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3.650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167.9</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±0.35</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Avionics</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42.0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2.250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94.5</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12</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Low-voltage electrical system</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3.300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112.2</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Horizontal tail</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30.8</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9.480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292.0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Primary flight controls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5.100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122.4</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±1.20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Retractable slat system</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22.0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3.160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69.5</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Fuel system</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17.3</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3.750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64.9</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±0.35</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Hybrid couplings</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32.8</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±0.20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18</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Vertical tail</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15.8</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9.550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150.9</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±0.20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Fire protection</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2.750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35.8</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High-voltage distribution</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12.0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3.200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38.4</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±0.75</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21</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Cargo handling and restraints</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4.100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45.1</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22</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Operating fluids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11.0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2.200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24.2</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±0.35</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23</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Thermal-management hardware</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2.400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±0.50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Instruments and miscellaneous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2.300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32.2</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±0.40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25</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Marine survival equipment</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9.0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4.000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±0.60</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26</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Engine controls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8.0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2.800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22.4</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27</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Emergency equipment</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8.0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30.0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±0.65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C</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28</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CFRP wing struts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6.4</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3.720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23.8</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±0.30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B</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29</w:t>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Ailerons</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4.550</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7.3</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±0.15</w:t>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30</w:t>
            </w:r>
          </w:p>
        </w:tc>
        <w:tc>
          <w:tcPr>
            <w:tcW w:w="36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Integrated structural/system credits</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-31.0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3.430</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-106.3</w:t>
            </w:r>
          </w:p>
        </w:tc>
        <w:tc>
          <w:tcPr>
            <w:tcW w:w="144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±0.00</w:t>
            </w:r>
          </w:p>
        </w:tc>
        <w:tc>
          <w:tcPr>
            <w:tcW w:w="100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N/A</w:t>
            </w:r>
          </w:p>
        </w:tc>
      </w:tr>
      <w:tr>
        <w:trPr>
          <w:cantSplit/>
        </w:trPr>
        <w:tc>
          <w:tcPr>
            <w:tcW w:w="5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color w:val="000000"/>
                <w:kern w:val="0"/>
                <w:szCs w:val="24"/>
                <w:lang w:val="en-US" w:eastAsia="en-US" w:bidi="ar-SA"/>
              </w:rPr>
            </w:r>
          </w:p>
        </w:tc>
        <w:tc>
          <w:tcPr>
            <w:tcW w:w="36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b/>
                <w:bCs/>
                <w:color w:val="000000"/>
                <w:kern w:val="0"/>
                <w:sz w:val="24"/>
                <w:szCs w:val="24"/>
                <w:lang w:val="en-US" w:eastAsia="en-US" w:bidi="ar-SA"/>
              </w:rPr>
              <w:t>Operating-empty total</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1,327.0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3.42993</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4,551.5</w:t>
            </w:r>
          </w:p>
        </w:tc>
        <w:tc>
          <w:tcPr>
            <w:tcW w:w="144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color w:val="000000"/>
                <w:kern w:val="0"/>
                <w:szCs w:val="24"/>
                <w:lang w:val="en-US" w:eastAsia="en-US" w:bidi="ar-SA"/>
              </w:rPr>
            </w:r>
          </w:p>
        </w:tc>
        <w:tc>
          <w:tcPr>
            <w:tcW w:w="100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color w:val="000000"/>
                <w:kern w:val="0"/>
                <w:szCs w:val="24"/>
                <w:lang w:val="en-US" w:eastAsia="en-US" w:bidi="ar-SA"/>
              </w:rPr>
            </w:r>
          </w:p>
        </w:tc>
      </w:tr>
    </w:tbl>
    <w:p>
      <w:pPr>
        <w:pStyle w:val="BodyText"/>
        <w:keepNext w:val="true"/>
        <w:widowControl/>
        <w:rPr>
          <w:color w:val="000000"/>
        </w:rPr>
      </w:pPr>
      <w:r>
        <w:rPr>
          <w:rFonts w:eastAsia="Arial" w:cs="Arial"/>
          <w:color w:val="000000"/>
          <w:sz w:val="24"/>
        </w:rPr>
        <w:t>Thus:</w:t>
      </w:r>
    </w:p>
    <w:p>
      <w:pPr>
        <w:pStyle w:val="BodyText"/>
        <w:keepLines/>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C</m:t>
              </m:r>
              <m:r>
                <w:rPr>
                  <w:rFonts w:ascii="Cambria Math" w:hAnsi="Cambria Math"/>
                </w:rPr>
                <m:t xml:space="preserve">G</m:t>
              </m:r>
              <m:r>
                <w:rPr>
                  <w:rFonts w:ascii="Cambria Math" w:hAnsi="Cambria Math"/>
                </w:rPr>
                <m:t xml:space="preserve">,</m:t>
              </m:r>
              <m:r>
                <w:rPr>
                  <w:rFonts w:ascii="Cambria Math" w:hAnsi="Cambria Math"/>
                </w:rPr>
                <m:t xml:space="preserve">O</m:t>
              </m:r>
              <m:r>
                <w:rPr>
                  <w:rFonts w:ascii="Cambria Math" w:hAnsi="Cambria Math"/>
                </w:rPr>
                <m:t xml:space="preserve">E</m:t>
              </m:r>
              <m:r>
                <w:rPr>
                  <w:rFonts w:ascii="Cambria Math" w:hAnsi="Cambria Math"/>
                </w:rPr>
                <m:t xml:space="preserve">W</m:t>
              </m:r>
            </m:sub>
          </m:sSub>
          <m:r>
            <m:rPr>
              <m:lit/>
              <m:nor/>
            </m:rPr>
            <w:rPr>
              <w:rFonts w:ascii="Cambria Math" w:hAnsi="Cambria Math"/>
            </w:rPr>
            <m:t xml:space="preserve">=</m:t>
          </m:r>
          <m:f>
            <m:num>
              <m:r>
                <w:rPr>
                  <w:rFonts w:ascii="Cambria Math" w:hAnsi="Cambria Math"/>
                </w:rPr>
                <m:t xml:space="preserve">4551.5208</m:t>
              </m:r>
            </m:num>
            <m:den>
              <m:r>
                <w:rPr>
                  <w:rFonts w:ascii="Cambria Math" w:hAnsi="Cambria Math"/>
                </w:rPr>
                <m:t xml:space="preserve">1327.0</m:t>
              </m:r>
            </m:den>
          </m:f>
          <m:r>
            <m:rPr>
              <m:lit/>
              <m:nor/>
            </m:rPr>
            <w:rPr>
              <w:rFonts w:ascii="Cambria Math" w:hAnsi="Cambria Math"/>
            </w:rPr>
            <m:t xml:space="preserve">=</m:t>
          </m:r>
          <m:r>
            <w:rPr>
              <w:rFonts w:ascii="Cambria Math" w:hAnsi="Cambria Math"/>
            </w:rPr>
            <m:t xml:space="preserve">3.42993</m:t>
          </m:r>
          <m:r>
            <w:rPr>
              <w:rFonts w:ascii="Cambria Math" w:hAnsi="Cambria Math"/>
            </w:rPr>
            <m:t xml:space="preserve">m</m:t>
          </m:r>
          <m:r>
            <m:rPr>
              <m:lit/>
              <m:nor/>
            </m:rPr>
            <w:rPr>
              <w:rFonts w:ascii="Cambria Math" w:hAnsi="Cambria Math"/>
            </w:rPr>
            <m:t xml:space="preserve">=</m:t>
          </m:r>
          <m:r>
            <w:rPr>
              <w:rFonts w:ascii="Cambria Math" w:hAnsi="Cambria Math"/>
            </w:rPr>
            <m:t xml:space="preserve">20.20</m:t>
          </m:r>
          <m:r>
            <m:rPr>
              <m:lit/>
              <m:nor/>
            </m:rP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C</m:t>
          </m:r>
          <m:r>
            <m:rPr>
              <m:lit/>
              <m:nor/>
            </m:rPr>
            <w:rPr>
              <w:rFonts w:ascii="Cambria Math" w:hAnsi="Cambria Math"/>
            </w:rPr>
            <m:t xml:space="preserve">(SM6.4A-3)</m:t>
          </m:r>
        </m:oMath>
      </m:oMathPara>
    </w:p>
    <w:p>
      <w:pPr>
        <w:pStyle w:val="FirstParagraph"/>
        <w:widowControl/>
        <w:rPr>
          <w:color w:val="000000"/>
        </w:rPr>
      </w:pPr>
      <w:r>
        <w:rPr>
          <w:rFonts w:eastAsia="Arial" w:cs="Arial"/>
          <w:color w:val="000000"/>
          <w:sz w:val="24"/>
        </w:rPr>
        <w:t>This is 0.17007 m forward of the former FS 3.600 design boundary. It is a calculated conceptual centroid, not a measured result.</w:t>
      </w:r>
      <w:bookmarkEnd w:id="11"/>
      <w:bookmarkEnd w:id="14"/>
    </w:p>
    <w:p>
      <w:pPr>
        <w:pStyle w:val="Heading1"/>
        <w:widowControl/>
        <w:rPr>
          <w:color w:val="000000"/>
        </w:rPr>
      </w:pPr>
      <w:r>
        <w:rPr>
          <w:rFonts w:eastAsia="Arial" w:cs="Arial" w:ascii="Arial" w:hAnsi="Arial"/>
          <w:b/>
          <w:color w:val="000000"/>
          <w:sz w:val="30"/>
        </w:rPr>
        <w:t>8. SM6.4B - loading-cloud construction and results</w:t>
      </w:r>
    </w:p>
    <w:p>
      <w:pPr>
        <w:pStyle w:val="Heading2"/>
        <w:widowControl/>
        <w:rPr>
          <w:color w:val="000000"/>
        </w:rPr>
      </w:pPr>
      <w:bookmarkStart w:id="15" w:name="X4bc679c8a7536be7fab6c42e3fb0821a2285743"/>
      <w:r>
        <w:rPr>
          <w:rFonts w:eastAsia="Arial" w:cs="Arial" w:ascii="Arial" w:hAnsi="Arial"/>
          <w:b/>
          <w:color w:val="000000"/>
          <w:sz w:val="26"/>
        </w:rPr>
        <w:t>8.1 Loading definitions</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3455"/>
        <w:gridCol w:w="6913"/>
      </w:tblGrid>
      <w:tr>
        <w:trPr>
          <w:tblHeader w:val="true"/>
          <w:cantSplit/>
        </w:trPr>
        <w:tc>
          <w:tcPr>
            <w:tcW w:w="3455"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Variable block</w:t>
            </w:r>
          </w:p>
        </w:tc>
        <w:tc>
          <w:tcPr>
            <w:tcW w:w="691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Controlled values</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Occupants</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five passenger stations; 86 kg each</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Seat arms</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Pilot/P1: 2.70 m; P2/P3: 3.65 m; P4/P5: 4.60 m</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Cargo</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0-200 kg, screened at FS 3.35 and FS 5.15</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Fuel arm</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FS 3.75 m</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Fuel states</w:t>
            </w:r>
          </w:p>
        </w:tc>
        <w:tc>
          <w:tcPr>
            <w:tcW w:w="691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109.8, 107.3, 106.1, 98.1, 23.2, 20.8, 18.8, 13.7, 5.1 and 0 kg</w:t>
            </w:r>
          </w:p>
        </w:tc>
      </w:tr>
      <w:tr>
        <w:trPr>
          <w:cantSplit/>
        </w:trPr>
        <w:tc>
          <w:tcPr>
            <w:tcW w:w="345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Mass gates</w:t>
            </w:r>
          </w:p>
        </w:tc>
        <w:tc>
          <w:tcPr>
            <w:tcW w:w="691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2,000 kg MTOM; 1,900 kg hot-high planned landing mass</w:t>
            </w:r>
          </w:p>
        </w:tc>
      </w:tr>
    </w:tbl>
    <w:p>
      <w:pPr>
        <w:pStyle w:val="BodyText"/>
        <w:keepNext w:val="true"/>
        <w:widowControl/>
        <w:rPr>
          <w:color w:val="000000"/>
        </w:rPr>
      </w:pPr>
      <w:r>
        <w:rPr>
          <w:rFonts w:eastAsia="Arial" w:cs="Arial"/>
          <w:color w:val="000000"/>
          <w:sz w:val="24"/>
        </w:rPr>
        <w:t xml:space="preserve">For fixed load arm </w:t>
      </w:r>
      <w:r>
        <w:rPr>
          <w:color w:val="000000"/>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rFonts w:eastAsia="Arial" w:cs="Arial"/>
          <w:color w:val="000000"/>
          <w:sz w:val="24"/>
        </w:rPr>
        <w:t>, the CG varies monotonically with the variable load mass:</w:t>
      </w:r>
    </w:p>
    <w:p>
      <w:pPr>
        <w:pStyle w:val="BodyText"/>
        <w:keepLines/>
        <w:widowControl/>
        <w:jc w:val="center"/>
        <w:rPr>
          <w:color w:val="000000"/>
        </w:rPr>
      </w:pPr>
      <w:r>
        <w:rPr>
          <w:color w:val="000000"/>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num>
            <m:den>
              <m:r>
                <w:rPr>
                  <w:rFonts w:ascii="Cambria Math" w:hAnsi="Cambria Math"/>
                </w:rPr>
                <m:t xml:space="preserve">∂</m:t>
              </m:r>
              <m:sSub>
                <m:e>
                  <m:r>
                    <w:rPr>
                      <w:rFonts w:ascii="Cambria Math" w:hAnsi="Cambria Math"/>
                    </w:rPr>
                    <m:t xml:space="preserve">m</m:t>
                  </m:r>
                </m:e>
                <m:sub>
                  <m:r>
                    <w:rPr>
                      <w:rFonts w:ascii="Cambria Math" w:hAnsi="Cambria Math"/>
                    </w:rPr>
                    <m:t xml:space="preserve">j</m:t>
                  </m:r>
                </m:sub>
              </m:sSub>
            </m:den>
          </m:f>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num>
            <m:den>
              <m:r>
                <w:rPr>
                  <w:rFonts w:ascii="Cambria Math" w:hAnsi="Cambria Math"/>
                </w:rPr>
                <m:t xml:space="preserve">M</m:t>
              </m:r>
            </m:den>
          </m:f>
          <m:r>
            <m:rPr>
              <m:lit/>
              <m:nor/>
            </m:rPr>
            <w:rPr>
              <w:rFonts w:ascii="Cambria Math" w:hAnsi="Cambria Math"/>
            </w:rPr>
            <m:t xml:space="preserve">(SM6.4B-1)</m:t>
          </m:r>
        </m:oMath>
      </m:oMathPara>
    </w:p>
    <w:p>
      <w:pPr>
        <w:pStyle w:val="FirstParagraph"/>
        <w:widowControl/>
        <w:rPr>
          <w:color w:val="000000"/>
        </w:rPr>
      </w:pPr>
      <w:r>
        <w:rPr>
          <w:rFonts w:eastAsia="Arial" w:cs="Arial"/>
          <w:color w:val="000000"/>
          <w:sz w:val="24"/>
        </w:rPr>
        <w:t>Therefore cargo and fuel endpoint masses are sufficient to identify the extrema for each passenger subset. The enumeration covers every subset of the five passenger positions with the pilot aboard, both cargo-zone endpoints, zero and maximum allowable cargo, all controlled fuel states, and the 2,000 kg cap. This produces 1,280 flyable endpoint records. It deliberately permits the conservative combination of aft passengers and aft-end cargo even where final cabin-volume rules may make that combination incompatible; this prevents the conceptual screen from hiding an aft case behind an unverified packing assumption.</w:t>
      </w:r>
    </w:p>
    <w:p>
      <w:pPr>
        <w:pStyle w:val="BodyText"/>
        <w:widowControl/>
        <w:rPr>
          <w:color w:val="000000"/>
        </w:rPr>
      </w:pPr>
      <w:r>
        <w:rPr>
          <w:color w:val="000000"/>
        </w:rPr>
        <w:drawing>
          <wp:inline distT="0" distB="0" distL="0" distR="0">
            <wp:extent cx="6563360" cy="4175125"/>
            <wp:effectExtent l="0" t="0" r="0" b="0"/>
            <wp:docPr id="1" name="Picture" descr="Figure 1 - Enumerated geometry-based loading cloud and critical fuel-bur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 Enumerated geometry-based loading cloud and critical fuel-burn paths."/>
                    <pic:cNvPicPr>
                      <a:picLocks noChangeAspect="1" noChangeArrowheads="1"/>
                    </pic:cNvPicPr>
                  </pic:nvPicPr>
                  <pic:blipFill>
                    <a:blip r:embed="rId2"/>
                    <a:stretch>
                      <a:fillRect/>
                    </a:stretch>
                  </pic:blipFill>
                  <pic:spPr bwMode="auto">
                    <a:xfrm>
                      <a:off x="0" y="0"/>
                      <a:ext cx="6563360" cy="4175125"/>
                    </a:xfrm>
                    <a:prstGeom prst="rect">
                      <a:avLst/>
                    </a:prstGeom>
                    <a:noFill/>
                  </pic:spPr>
                </pic:pic>
              </a:graphicData>
            </a:graphic>
          </wp:inline>
        </w:drawing>
      </w:r>
      <w:bookmarkEnd w:id="15"/>
    </w:p>
    <w:p>
      <w:pPr>
        <w:pStyle w:val="Heading2"/>
        <w:widowControl/>
        <w:rPr>
          <w:color w:val="000000"/>
        </w:rPr>
      </w:pPr>
      <w:bookmarkStart w:id="16" w:name="X5866b54219673c6fd2058b87d2810986ba19467"/>
      <w:r>
        <w:rPr>
          <w:rFonts w:eastAsia="Arial" w:cs="Arial" w:ascii="Arial" w:hAnsi="Arial"/>
          <w:b/>
          <w:color w:val="000000"/>
          <w:sz w:val="26"/>
        </w:rPr>
        <w:t>8.2 Critical loading cases</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1367"/>
        <w:gridCol w:w="3169"/>
        <w:gridCol w:w="1080"/>
        <w:gridCol w:w="1223"/>
        <w:gridCol w:w="1081"/>
        <w:gridCol w:w="1223"/>
        <w:gridCol w:w="1225"/>
      </w:tblGrid>
      <w:tr>
        <w:trPr>
          <w:tblHeader w:val="true"/>
          <w:cantSplit/>
        </w:trPr>
        <w:tc>
          <w:tcPr>
            <w:tcW w:w="1367"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Case</w:t>
            </w:r>
          </w:p>
        </w:tc>
        <w:tc>
          <w:tcPr>
            <w:tcW w:w="3169"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Occupants / cargo / fuel</w:t>
            </w:r>
          </w:p>
        </w:tc>
        <w:tc>
          <w:tcPr>
            <w:tcW w:w="1080"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Mass (kg)</w:t>
            </w:r>
          </w:p>
        </w:tc>
        <w:tc>
          <w:tcPr>
            <w:tcW w:w="122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FS CG (m)</w:t>
            </w:r>
          </w:p>
        </w:tc>
        <w:tc>
          <w:tcPr>
            <w:tcW w:w="1081"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 MAC</w:t>
            </w:r>
          </w:p>
        </w:tc>
        <w:tc>
          <w:tcPr>
            <w:tcW w:w="122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U20 SM</w:t>
            </w:r>
          </w:p>
        </w:tc>
        <w:tc>
          <w:tcPr>
            <w:tcW w:w="1225"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Nose load</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OEW</w:t>
            </w:r>
          </w:p>
        </w:tc>
        <w:tc>
          <w:tcPr>
            <w:tcW w:w="3169"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 payload / no dispatch fuel</w:t>
            </w:r>
          </w:p>
        </w:tc>
        <w:tc>
          <w:tcPr>
            <w:tcW w:w="108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1,327.0</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3.42993</w:t>
            </w:r>
          </w:p>
        </w:tc>
        <w:tc>
          <w:tcPr>
            <w:tcW w:w="1081"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20.20%</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31.68%</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24.30%</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Most-forward endpoint</w:t>
            </w:r>
          </w:p>
        </w:tc>
        <w:tc>
          <w:tcPr>
            <w:tcW w:w="3169"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P1; zero cargo/fuel</w:t>
            </w:r>
          </w:p>
        </w:tc>
        <w:tc>
          <w:tcPr>
            <w:tcW w:w="108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1,499.0</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3.34618</w:t>
            </w:r>
          </w:p>
        </w:tc>
        <w:tc>
          <w:tcPr>
            <w:tcW w:w="1081"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15.75%</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36.14%</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26.66%</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Forward take-off</w:t>
            </w:r>
          </w:p>
        </w:tc>
        <w:tc>
          <w:tcPr>
            <w:tcW w:w="3169"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P1; 109.8 kg fuel</w:t>
            </w:r>
          </w:p>
        </w:tc>
        <w:tc>
          <w:tcPr>
            <w:tcW w:w="108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1,608.8</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3.37374</w:t>
            </w:r>
          </w:p>
        </w:tc>
        <w:tc>
          <w:tcPr>
            <w:tcW w:w="1081"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17.21%</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34.67%</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25.88%</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Delivered 505 km mission</w:t>
            </w:r>
          </w:p>
        </w:tc>
        <w:tc>
          <w:tcPr>
            <w:tcW w:w="3169"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Six occupants; 47.2 kg aft cargo; 109.8 kg fuel</w:t>
            </w:r>
          </w:p>
        </w:tc>
        <w:tc>
          <w:tcPr>
            <w:tcW w:w="108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2,000.0</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3.54488</w:t>
            </w:r>
          </w:p>
        </w:tc>
        <w:tc>
          <w:tcPr>
            <w:tcW w:w="1081"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26.31%</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25.57%</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21.05%</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Most-aft MTOM</w:t>
            </w:r>
          </w:p>
        </w:tc>
        <w:tc>
          <w:tcPr>
            <w:tcW w:w="3169"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P2-P5; 133.2 kg aft cargo; 109.8 kg fuel</w:t>
            </w:r>
          </w:p>
        </w:tc>
        <w:tc>
          <w:tcPr>
            <w:tcW w:w="108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2,000.0</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3.65023</w:t>
            </w:r>
          </w:p>
        </w:tc>
        <w:tc>
          <w:tcPr>
            <w:tcW w:w="1081"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31.91%</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19.97%</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18.07%</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Most-aft 1,900 kg landing</w:t>
            </w:r>
          </w:p>
        </w:tc>
        <w:tc>
          <w:tcPr>
            <w:tcW w:w="3169"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P2-P5; 122.2 kg aft cargo; 20.8 kg fuel</w:t>
            </w:r>
          </w:p>
        </w:tc>
        <w:tc>
          <w:tcPr>
            <w:tcW w:w="108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1,900.0</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3.63687</w:t>
            </w:r>
          </w:p>
        </w:tc>
        <w:tc>
          <w:tcPr>
            <w:tcW w:w="1081"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31.20%</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20.68%</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18.45%</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b/>
                <w:bCs/>
                <w:color w:val="000000"/>
                <w:kern w:val="0"/>
                <w:sz w:val="24"/>
                <w:szCs w:val="24"/>
                <w:lang w:val="en-US" w:eastAsia="en-US" w:bidi="ar-SA"/>
              </w:rPr>
              <w:t>Most-aft nominal cloud</w:t>
            </w:r>
          </w:p>
        </w:tc>
        <w:tc>
          <w:tcPr>
            <w:tcW w:w="3169"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b/>
                <w:bCs/>
                <w:color w:val="000000"/>
                <w:kern w:val="0"/>
                <w:sz w:val="24"/>
                <w:szCs w:val="24"/>
                <w:lang w:val="en-US" w:eastAsia="en-US" w:bidi="ar-SA"/>
              </w:rPr>
              <w:t>Pilot + P4/P5; 200 kg aft cargo; 109.8 kg fuel</w:t>
            </w:r>
          </w:p>
        </w:tc>
        <w:tc>
          <w:tcPr>
            <w:tcW w:w="108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1,894.8</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3.70312</w:t>
            </w:r>
          </w:p>
        </w:tc>
        <w:tc>
          <w:tcPr>
            <w:tcW w:w="1081"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34.72%</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17.16%</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16.58%</w:t>
            </w:r>
          </w:p>
        </w:tc>
      </w:tr>
      <w:tr>
        <w:trPr>
          <w:cantSplit/>
        </w:trPr>
        <w:tc>
          <w:tcPr>
            <w:tcW w:w="136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Full RFP arithmetic</w:t>
            </w:r>
          </w:p>
        </w:tc>
        <w:tc>
          <w:tcPr>
            <w:tcW w:w="3169"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Six occupants; 200 kg aft cargo; 109.8 kg fuel</w:t>
            </w:r>
          </w:p>
        </w:tc>
        <w:tc>
          <w:tcPr>
            <w:tcW w:w="108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2,152.8</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3.65880</w:t>
            </w:r>
          </w:p>
        </w:tc>
        <w:tc>
          <w:tcPr>
            <w:tcW w:w="1081"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32.37%</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19.51%</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17.83%</w:t>
            </w:r>
          </w:p>
        </w:tc>
      </w:tr>
    </w:tbl>
    <w:p>
      <w:pPr>
        <w:pStyle w:val="BodyText"/>
        <w:keepNext w:val="true"/>
        <w:widowControl/>
        <w:rPr>
          <w:color w:val="000000"/>
        </w:rPr>
      </w:pPr>
      <w:r>
        <w:rPr>
          <w:rFonts w:eastAsia="Arial" w:cs="Arial"/>
          <w:color w:val="000000"/>
          <w:sz w:val="24"/>
        </w:rPr>
        <w:t>The 2,152.8 kg RFP row is retained only as a traceability calculation; it is not a flyable case and remains a mass-compliance failure. All flyable nominal aft points remain forward of FS 3.83778 m. The most-aft point has:</w:t>
      </w:r>
    </w:p>
    <w:p>
      <w:pPr>
        <w:pStyle w:val="BodyText"/>
        <w:keepLines/>
        <w:widowControl/>
        <w:jc w:val="center"/>
        <w:rPr>
          <w:color w:val="000000"/>
        </w:rPr>
      </w:pPr>
      <w:r>
        <w:rPr>
          <w:color w:val="000000"/>
        </w:rPr>
      </w:r>
      <m:oMathPara xmlns:m="http://schemas.openxmlformats.org/officeDocument/2006/math">
        <m:oMathParaPr>
          <m:jc m:val="center"/>
        </m:oMathParaPr>
        <m:oMath>
          <m:r>
            <w:rPr>
              <w:rFonts w:ascii="Cambria Math" w:hAnsi="Cambria Math"/>
            </w:rPr>
            <m:t xml:space="preserve">S</m:t>
          </m:r>
          <m:sSub>
            <m:e>
              <m:r>
                <w:rPr>
                  <w:rFonts w:ascii="Cambria Math" w:hAnsi="Cambria Math"/>
                </w:rPr>
                <m:t xml:space="preserve">M</m:t>
              </m:r>
            </m:e>
            <m:sub>
              <m:r>
                <w:rPr>
                  <w:rFonts w:ascii="Cambria Math" w:hAnsi="Cambria Math"/>
                </w:rPr>
                <m:t xml:space="preserve">U</m:t>
              </m:r>
              <m:r>
                <w:rPr>
                  <w:rFonts w:ascii="Cambria Math" w:hAnsi="Cambria Math"/>
                </w:rPr>
                <m:t xml:space="preserve">20</m:t>
              </m:r>
              <m:r>
                <w:rPr>
                  <w:rFonts w:ascii="Cambria Math" w:hAnsi="Cambria Math"/>
                </w:rPr>
                <m:t xml:space="preserve">,</m:t>
              </m:r>
              <m:r>
                <w:rPr>
                  <w:rFonts w:ascii="Cambria Math" w:hAnsi="Cambria Math"/>
                </w:rPr>
                <m:t xml:space="preserve">a</m:t>
              </m:r>
              <m:r>
                <w:rPr>
                  <w:rFonts w:ascii="Cambria Math" w:hAnsi="Cambria Math"/>
                </w:rPr>
                <m:t xml:space="preserve">f</m:t>
              </m:r>
              <m:r>
                <w:rPr>
                  <w:rFonts w:ascii="Cambria Math" w:hAnsi="Cambria Math"/>
                </w:rPr>
                <m:t xml:space="preserve">t</m:t>
              </m:r>
            </m:sub>
          </m:sSub>
          <m:r>
            <m:rPr>
              <m:lit/>
              <m:nor/>
            </m:rPr>
            <w:rPr>
              <w:rFonts w:ascii="Cambria Math" w:hAnsi="Cambria Math"/>
            </w:rPr>
            <m:t xml:space="preserve">=</m:t>
          </m:r>
          <m:f>
            <m:num>
              <m:r>
                <w:rPr>
                  <w:rFonts w:ascii="Cambria Math" w:hAnsi="Cambria Math"/>
                </w:rPr>
                <m:t xml:space="preserve">4.02588</m:t>
              </m:r>
              <m:r>
                <w:rPr>
                  <w:rFonts w:ascii="Cambria Math" w:hAnsi="Cambria Math"/>
                </w:rPr>
                <m:t xml:space="preserve">−</m:t>
              </m:r>
              <m:r>
                <w:rPr>
                  <w:rFonts w:ascii="Cambria Math" w:hAnsi="Cambria Math"/>
                </w:rPr>
                <m:t xml:space="preserve">3.70312</m:t>
              </m:r>
            </m:num>
            <m:den>
              <m:r>
                <w:rPr>
                  <w:rFonts w:ascii="Cambria Math" w:hAnsi="Cambria Math"/>
                </w:rPr>
                <m:t xml:space="preserve">1.881</m:t>
              </m:r>
            </m:den>
          </m:f>
          <m:r>
            <m:rPr>
              <m:lit/>
              <m:nor/>
            </m:rPr>
            <w:rPr>
              <w:rFonts w:ascii="Cambria Math" w:hAnsi="Cambria Math"/>
            </w:rPr>
            <m:t xml:space="preserve">=</m:t>
          </m:r>
          <m:r>
            <w:rPr>
              <w:rFonts w:ascii="Cambria Math" w:hAnsi="Cambria Math"/>
            </w:rPr>
            <m:t xml:space="preserve">0.1716</m:t>
          </m:r>
          <m:r>
            <m:rPr>
              <m:lit/>
              <m:nor/>
            </m:rPr>
            <w:rPr>
              <w:rFonts w:ascii="Cambria Math" w:hAnsi="Cambria Math"/>
            </w:rPr>
            <m:t xml:space="preserve">=</m:t>
          </m:r>
          <m:r>
            <w:rPr>
              <w:rFonts w:ascii="Cambria Math" w:hAnsi="Cambria Math"/>
            </w:rPr>
            <m:t xml:space="preserve">17.16</m:t>
          </m:r>
          <m:r>
            <m:rPr>
              <m:lit/>
              <m:nor/>
            </m:rP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C</m:t>
          </m:r>
          <m:r>
            <m:rPr>
              <m:lit/>
              <m:nor/>
            </m:rPr>
            <w:rPr>
              <w:rFonts w:ascii="Cambria Math" w:hAnsi="Cambria Math"/>
            </w:rPr>
            <m:t xml:space="preserve">(SM6.4B-2)</m:t>
          </m:r>
        </m:oMath>
      </m:oMathPara>
    </w:p>
    <w:p>
      <w:pPr>
        <w:pStyle w:val="FirstParagraph"/>
        <w:widowControl/>
        <w:rPr>
          <w:color w:val="000000"/>
        </w:rPr>
      </w:pPr>
      <w:r>
        <w:rPr>
          <w:rFonts w:eastAsia="Arial" w:cs="Arial"/>
          <w:color w:val="000000"/>
          <w:sz w:val="24"/>
        </w:rPr>
        <w:t>Its distance from the exact U20 10% boundary is 0.13466 m, or 7.16% MAC. It is also 0.07823 m forward of the 13%-MAC buffered target FS 3.78135 m, retaining 4.16% MAC beyond that buffered target.</w:t>
      </w:r>
      <w:bookmarkEnd w:id="16"/>
    </w:p>
    <w:p>
      <w:pPr>
        <w:pStyle w:val="Heading2"/>
        <w:widowControl/>
        <w:rPr>
          <w:color w:val="000000"/>
        </w:rPr>
      </w:pPr>
      <w:r>
        <w:rPr>
          <w:rFonts w:eastAsia="Arial" w:cs="Arial" w:ascii="Arial" w:hAnsi="Arial"/>
          <w:b/>
          <w:color w:val="000000"/>
          <w:sz w:val="26"/>
        </w:rPr>
        <w:t>8.3 Nominal gate result</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2592"/>
        <w:gridCol w:w="5112"/>
        <w:gridCol w:w="2664"/>
      </w:tblGrid>
      <w:tr>
        <w:trPr>
          <w:tblHeader w:val="true"/>
          <w:cantSplit/>
        </w:trPr>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Gate</w:t>
            </w:r>
          </w:p>
        </w:tc>
        <w:tc>
          <w:tcPr>
            <w:tcW w:w="511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Result</w:t>
            </w:r>
          </w:p>
        </w:tc>
        <w:tc>
          <w:tcPr>
            <w:tcW w:w="2664"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Disposition</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 xml:space="preserve">Every flyable state </w:t>
            </w:r>
            <w:r>
              <w:rPr>
                <w:color w:val="000000"/>
                <w:kern w:val="0"/>
                <w:szCs w:val="24"/>
                <w:lang w:val="en-US" w:eastAsia="en-US" w:bidi="ar-SA"/>
              </w:rPr>
            </w:r>
            <m:oMath xmlns:m="http://schemas.openxmlformats.org/officeDocument/2006/math">
              <m:r>
                <w:rPr>
                  <w:rFonts w:ascii="Cambria Math" w:hAnsi="Cambria Math"/>
                </w:rPr>
                <m:t xml:space="preserve">≤</m:t>
              </m:r>
            </m:oMath>
            <w:r>
              <w:rPr>
                <w:rFonts w:eastAsia="Arial" w:cs="Arial"/>
                <w:color w:val="000000"/>
                <w:kern w:val="0"/>
                <w:sz w:val="24"/>
                <w:szCs w:val="24"/>
                <w:lang w:val="en-US" w:eastAsia="en-US" w:bidi="ar-SA"/>
              </w:rPr>
              <w:t xml:space="preserve"> 2,000 kg</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Enforced during enumeration</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Nominal aft containment</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color w:val="000000"/>
                <w:kern w:val="0"/>
                <w:szCs w:val="24"/>
                <w:lang w:val="en-US" w:eastAsia="en-US" w:bidi="ar-SA"/>
              </w:rPr>
            </w:r>
            <m:oMath xmlns:m="http://schemas.openxmlformats.org/officeDocument/2006/math">
              <m:sSub>
                <m:e>
                  <m:r>
                    <w:rPr>
                      <w:rFonts w:ascii="Cambria Math" w:hAnsi="Cambria Math"/>
                    </w:rPr>
                    <m:t xml:space="preserve">x</m:t>
                  </m:r>
                </m:e>
                <m:sub>
                  <m:r>
                    <w:rPr>
                      <w:rFonts w:ascii="Cambria Math" w:hAnsi="Cambria Math"/>
                    </w:rPr>
                    <m:t xml:space="preserve">C</m:t>
                  </m:r>
                  <m:r>
                    <w:rPr>
                      <w:rFonts w:ascii="Cambria Math" w:hAnsi="Cambria Math"/>
                    </w:rPr>
                    <m:t xml:space="preserve">G</m:t>
                  </m:r>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x</m:t>
                  </m:r>
                </m:sub>
              </m:sSub>
              <m:r>
                <m:rPr>
                  <m:lit/>
                  <m:nor/>
                </m:rPr>
                <w:rPr>
                  <w:rFonts w:ascii="Cambria Math" w:hAnsi="Cambria Math"/>
                </w:rPr>
                <m:t xml:space="preserve">=</m:t>
              </m:r>
              <m:r>
                <w:rPr>
                  <w:rFonts w:ascii="Cambria Math" w:hAnsi="Cambria Math"/>
                </w:rPr>
                <m:t xml:space="preserve">3.70312</m:t>
              </m:r>
              <m:r>
                <m:rPr>
                  <m:lit/>
                  <m:nor/>
                </m:rPr>
                <w:rPr>
                  <w:rFonts w:ascii="Cambria Math" w:hAnsi="Cambria Math"/>
                </w:rPr>
                <m:t xml:space="preserve">&lt;</m:t>
              </m:r>
              <m:r>
                <w:rPr>
                  <w:rFonts w:ascii="Cambria Math" w:hAnsi="Cambria Math"/>
                </w:rPr>
                <m:t xml:space="preserve">3.83778</m:t>
              </m:r>
            </m:oMath>
            <w:r>
              <w:rPr>
                <w:rFonts w:eastAsia="Arial" w:cs="Arial"/>
                <w:color w:val="000000"/>
                <w:kern w:val="0"/>
                <w:sz w:val="24"/>
                <w:szCs w:val="24"/>
                <w:lang w:val="en-US" w:eastAsia="en-US" w:bidi="ar-SA"/>
              </w:rPr>
              <w:t xml:space="preserve"> </w:t>
            </w:r>
            <w:r>
              <w:rPr>
                <w:rFonts w:eastAsia="Arial" w:cs="Arial"/>
                <w:color w:val="000000"/>
                <w:kern w:val="0"/>
                <w:sz w:val="24"/>
                <w:szCs w:val="24"/>
                <w:lang w:val="en-US" w:eastAsia="en-US" w:bidi="ar-SA"/>
              </w:rPr>
              <w:t>m</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U20 static margin at nominal aft case</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17.16% MAC</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3%-MAC analysis buffer beyond 10%</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4.16% MAC retained</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Former FS 3.900 aft boundary</w:t>
            </w:r>
          </w:p>
        </w:tc>
        <w:tc>
          <w:tcPr>
            <w:tcW w:w="511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Not used</w:t>
            </w:r>
          </w:p>
        </w:tc>
        <w:tc>
          <w:tcPr>
            <w:tcW w:w="2664"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CLOSED / REJECTED</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Need for immediate tail resize</w:t>
            </w:r>
          </w:p>
        </w:tc>
        <w:tc>
          <w:tcPr>
            <w:tcW w:w="511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Not indicated by nominal cloud</w:t>
            </w:r>
          </w:p>
        </w:tc>
        <w:tc>
          <w:tcPr>
            <w:tcW w:w="2664"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NO</w:t>
            </w:r>
            <w:bookmarkStart w:id="17" w:name="X1bd20bed8a87f121757feaf77662088dd3ea551"/>
            <w:bookmarkStart w:id="18" w:name="Xbe68856e827959f2b22bfa1ebc1a73453fa86c6"/>
            <w:bookmarkEnd w:id="17"/>
            <w:bookmarkEnd w:id="18"/>
          </w:p>
        </w:tc>
      </w:tr>
    </w:tbl>
    <w:p>
      <w:pPr>
        <w:pStyle w:val="Heading1"/>
        <w:widowControl/>
        <w:rPr>
          <w:color w:val="000000"/>
        </w:rPr>
      </w:pPr>
      <w:r>
        <w:rPr>
          <w:rFonts w:eastAsia="Arial" w:cs="Arial" w:ascii="Arial" w:hAnsi="Arial"/>
          <w:b/>
          <w:color w:val="000000"/>
          <w:sz w:val="30"/>
        </w:rPr>
        <w:t>9. SM6.4C - uncertainty and robust-release audit</w:t>
      </w:r>
    </w:p>
    <w:p>
      <w:pPr>
        <w:pStyle w:val="FirstParagraph"/>
        <w:widowControl/>
        <w:rPr>
          <w:color w:val="000000"/>
        </w:rPr>
      </w:pPr>
      <w:r>
        <w:rPr>
          <w:rFonts w:eastAsia="Arial" w:cs="Arial"/>
          <w:color w:val="000000"/>
          <w:sz w:val="24"/>
        </w:rPr>
        <w:t>The arm bounds in Section 7 are engineering half-ranges. Two complementary screens are reported. The first places every item simultaneously at its adverse bound. This is deterministic but extremely conservative because it assumes all unrelated installation errors align in the same direction. The second treats the half-ranges as independent uniform variables solely for a conceptual probabilistic sensitivity; it is not a substitute for a validated statistical tolerance model.</w:t>
      </w:r>
    </w:p>
    <w:p>
      <w:pPr>
        <w:pStyle w:val="BodyText"/>
        <w:keepNext w:val="true"/>
        <w:widowControl/>
        <w:rPr>
          <w:color w:val="000000"/>
        </w:rPr>
      </w:pPr>
      <w:r>
        <w:rPr>
          <w:rFonts w:eastAsia="Arial" w:cs="Arial"/>
          <w:color w:val="000000"/>
          <w:sz w:val="24"/>
        </w:rPr>
        <w:t>For the all-at-bounds screen:</w:t>
      </w:r>
    </w:p>
    <w:p>
      <w:pPr>
        <w:pStyle w:val="BodyText"/>
        <w:keepLines/>
        <w:widowControl/>
        <w:jc w:val="center"/>
        <w:rPr>
          <w:color w:val="000000"/>
        </w:rPr>
      </w:pPr>
      <w:r>
        <w:rPr>
          <w:color w:val="000000"/>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M</m:t>
              </m:r>
            </m:e>
            <m:sub>
              <m:r>
                <w:rPr>
                  <w:rFonts w:ascii="Cambria Math" w:hAnsi="Cambria Math"/>
                </w:rPr>
                <m:t xml:space="preserve">b</m:t>
              </m:r>
              <m:r>
                <w:rPr>
                  <w:rFonts w:ascii="Cambria Math" w:hAnsi="Cambria Math"/>
                </w:rPr>
                <m:t xml:space="preserve">o</m:t>
              </m:r>
              <m:r>
                <w:rPr>
                  <w:rFonts w:ascii="Cambria Math" w:hAnsi="Cambria Math"/>
                </w:rPr>
                <m:t xml:space="preserve">x</m:t>
              </m:r>
            </m:sub>
          </m:sSub>
          <m:r>
            <m:rPr>
              <m:lit/>
              <m:nor/>
            </m:rPr>
            <w:rPr>
              <w:rFonts w:ascii="Cambria Math" w:hAnsi="Cambria Math"/>
            </w:rPr>
            <m:t xml:space="preserve">=</m:t>
          </m:r>
          <m:nary>
            <m:naryPr>
              <m:chr m:val="∑"/>
              <m:supHide m:val="1"/>
            </m:naryPr>
            <m:sub>
              <m:r>
                <w:rPr>
                  <w:rFonts w:ascii="Cambria Math" w:hAnsi="Cambria Math"/>
                </w:rPr>
                <m:t xml:space="preserve">i</m:t>
              </m:r>
            </m:sub>
            <m:sup/>
            <m:e>
              <m:d>
                <m:dPr>
                  <m:begChr m:val="|"/>
                  <m:endChr m:val=")"/>
                </m:dPr>
                <m:e>
                  <m:sSub>
                    <m:e>
                      <m:r>
                        <w:rPr>
                          <w:rFonts w:ascii="Cambria Math" w:hAnsi="Cambria Math"/>
                        </w:rPr>
                        <m:t xml:space="preserve">m</m:t>
                      </m:r>
                    </m:e>
                    <m:sub>
                      <m:r>
                        <w:rPr>
                          <w:rFonts w:ascii="Cambria Math" w:hAnsi="Cambria Math"/>
                        </w:rPr>
                        <m:t xml:space="preserve">i</m:t>
                      </m:r>
                    </m:sub>
                  </m:sSub>
                </m:e>
              </m:d>
            </m:e>
          </m:nary>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r>
            <w:rPr>
              <w:rFonts w:ascii="Cambria Math" w:hAnsi="Cambria Math"/>
            </w:rPr>
            <m:t xml:space="preserve">Δ</m:t>
          </m:r>
          <m:sSub>
            <m:e>
              <m:r>
                <w:rPr>
                  <w:rFonts w:ascii="Cambria Math" w:hAnsi="Cambria Math"/>
                </w:rPr>
                <m:t xml:space="preserve">x</m:t>
              </m:r>
            </m:e>
            <m:sub>
              <m:r>
                <w:rPr>
                  <w:rFonts w:ascii="Cambria Math" w:hAnsi="Cambria Math"/>
                </w:rPr>
                <m:t xml:space="preserve">C</m:t>
              </m:r>
              <m:r>
                <w:rPr>
                  <w:rFonts w:ascii="Cambria Math" w:hAnsi="Cambria Math"/>
                </w:rPr>
                <m:t xml:space="preserve">G</m:t>
              </m:r>
              <m:r>
                <w:rPr>
                  <w:rFonts w:ascii="Cambria Math" w:hAnsi="Cambria Math"/>
                </w:rPr>
                <m:t xml:space="preserve">,</m:t>
              </m:r>
              <m:r>
                <w:rPr>
                  <w:rFonts w:ascii="Cambria Math" w:hAnsi="Cambria Math"/>
                </w:rPr>
                <m:t xml:space="preserve">b</m:t>
              </m:r>
              <m:r>
                <w:rPr>
                  <w:rFonts w:ascii="Cambria Math" w:hAnsi="Cambria Math"/>
                </w:rPr>
                <m:t xml:space="preserve">o</m:t>
              </m:r>
              <m:r>
                <w:rPr>
                  <w:rFonts w:ascii="Cambria Math" w:hAnsi="Cambria Math"/>
                </w:rPr>
                <m:t xml:space="preserve">x</m:t>
              </m:r>
            </m:sub>
          </m:sSub>
          <m:r>
            <m:rPr>
              <m:lit/>
              <m:nor/>
            </m:rPr>
            <w:rPr>
              <w:rFonts w:ascii="Cambria Math" w:hAnsi="Cambria Math"/>
            </w:rPr>
            <m:t xml:space="preserve">=</m:t>
          </m:r>
          <m:f>
            <m:num>
              <m:r>
                <w:rPr>
                  <w:rFonts w:ascii="Cambria Math" w:hAnsi="Cambria Math"/>
                </w:rPr>
                <m:t xml:space="preserve">Δ</m:t>
              </m:r>
              <m:sSub>
                <m:e>
                  <m:r>
                    <w:rPr>
                      <w:rFonts w:ascii="Cambria Math" w:hAnsi="Cambria Math"/>
                    </w:rPr>
                    <m:t xml:space="preserve">M</m:t>
                  </m:r>
                </m:e>
                <m:sub>
                  <m:r>
                    <w:rPr>
                      <w:rFonts w:ascii="Cambria Math" w:hAnsi="Cambria Math"/>
                    </w:rPr>
                    <m:t xml:space="preserve">b</m:t>
                  </m:r>
                  <m:r>
                    <w:rPr>
                      <w:rFonts w:ascii="Cambria Math" w:hAnsi="Cambria Math"/>
                    </w:rPr>
                    <m:t xml:space="preserve">o</m:t>
                  </m:r>
                  <m:r>
                    <w:rPr>
                      <w:rFonts w:ascii="Cambria Math" w:hAnsi="Cambria Math"/>
                    </w:rPr>
                    <m:t xml:space="preserve">x</m:t>
                  </m:r>
                </m:sub>
              </m:sSub>
            </m:num>
            <m:den>
              <m:r>
                <w:rPr>
                  <w:rFonts w:ascii="Cambria Math" w:hAnsi="Cambria Math"/>
                </w:rPr>
                <m:t xml:space="preserve">M</m:t>
              </m:r>
            </m:den>
          </m:f>
          <m:r>
            <m:rPr>
              <m:lit/>
              <m:nor/>
            </m:rPr>
            <w:rPr>
              <w:rFonts w:ascii="Cambria Math" w:hAnsi="Cambria Math"/>
            </w:rPr>
            <m:t xml:space="preserve">(SM6.4C-1)</m:t>
          </m:r>
        </m:oMath>
      </m:oMathPara>
    </w:p>
    <w:p>
      <w:pPr>
        <w:pStyle w:val="FirstParagraph"/>
        <w:keepNext w:val="true"/>
        <w:widowControl/>
        <w:rPr>
          <w:color w:val="000000"/>
        </w:rPr>
      </w:pPr>
      <w:r>
        <w:rPr>
          <w:rFonts w:eastAsia="Arial" w:cs="Arial"/>
          <w:color w:val="000000"/>
          <w:sz w:val="24"/>
        </w:rPr>
        <w:t>For the independent-uniform sensitivity:</w:t>
      </w:r>
    </w:p>
    <w:p>
      <w:pPr>
        <w:pStyle w:val="BodyText"/>
        <w:keepLines/>
        <w:widowControl/>
        <w:jc w:val="center"/>
        <w:rPr>
          <w:color w:val="000000"/>
        </w:rPr>
      </w:pPr>
      <w:r>
        <w:rPr>
          <w:color w:val="000000"/>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M</m:t>
              </m:r>
            </m:sub>
          </m:sSub>
          <m:r>
            <m:rPr>
              <m:lit/>
              <m:nor/>
            </m:rPr>
            <w:rPr>
              <w:rFonts w:ascii="Cambria Math" w:hAnsi="Cambria Math"/>
            </w:rPr>
            <m:t xml:space="preserve">=</m:t>
          </m:r>
          <m:rad>
            <m:radPr>
              <m:degHide m:val="1"/>
            </m:radPr>
            <m:deg/>
            <m:e>
              <m:nary>
                <m:naryPr>
                  <m:chr m:val="∑"/>
                  <m:supHide m:val="1"/>
                </m:naryPr>
                <m:sub>
                  <m:r>
                    <w:rPr>
                      <w:rFonts w:ascii="Cambria Math" w:hAnsi="Cambria Math"/>
                    </w:rPr>
                    <m:t xml:space="preserve">i</m:t>
                  </m:r>
                </m:sub>
                <m:sup/>
                <m:e>
                  <m:f>
                    <m:num>
                      <m:sSup>
                        <m:e>
                          <m:d>
                            <m:dPr>
                              <m:begChr m:val="("/>
                              <m:endChr m:val=")"/>
                            </m:dPr>
                            <m:e>
                              <m:sSub>
                                <m:e>
                                  <m:r>
                                    <w:rPr>
                                      <w:rFonts w:ascii="Cambria Math" w:hAnsi="Cambria Math"/>
                                    </w:rPr>
                                    <m:t xml:space="preserve">m</m:t>
                                  </m:r>
                                </m:e>
                                <m:sub>
                                  <m:r>
                                    <w:rPr>
                                      <w:rFonts w:ascii="Cambria Math" w:hAnsi="Cambria Math"/>
                                    </w:rPr>
                                    <m:t xml:space="preserve">i</m:t>
                                  </m:r>
                                </m:sub>
                              </m:sSub>
                              <m:sSub>
                                <m:e>
                                  <m:r>
                                    <w:rPr>
                                      <w:rFonts w:ascii="Cambria Math" w:hAnsi="Cambria Math"/>
                                    </w:rPr>
                                    <m:t xml:space="preserve">u</m:t>
                                  </m:r>
                                </m:e>
                                <m:sub>
                                  <m:r>
                                    <w:rPr>
                                      <w:rFonts w:ascii="Cambria Math" w:hAnsi="Cambria Math"/>
                                    </w:rPr>
                                    <m:t xml:space="preserve">i</m:t>
                                  </m:r>
                                </m:sub>
                              </m:sSub>
                            </m:e>
                          </m:d>
                        </m:e>
                        <m:sup>
                          <m:r>
                            <w:rPr>
                              <w:rFonts w:ascii="Cambria Math" w:hAnsi="Cambria Math"/>
                            </w:rPr>
                            <m:t xml:space="preserve">2</m:t>
                          </m:r>
                        </m:sup>
                      </m:sSup>
                    </m:num>
                    <m:den>
                      <m:r>
                        <w:rPr>
                          <w:rFonts w:ascii="Cambria Math" w:hAnsi="Cambria Math"/>
                        </w:rPr>
                        <m:t xml:space="preserve">3</m:t>
                      </m:r>
                    </m:den>
                  </m:f>
                </m:e>
              </m:nary>
            </m:e>
          </m:rad>
          <m:r>
            <w:rPr>
              <w:rFonts w:ascii="Cambria Math" w:hAnsi="Cambria Math"/>
            </w:rPr>
            <m:t xml:space="preserve">,</m:t>
          </m:r>
          <m:r>
            <w:rPr>
              <w:rFonts w:ascii="Cambria Math" w:hAnsi="Cambria Math"/>
            </w:rPr>
            <m:t xml:space="preserve">Δ</m:t>
          </m:r>
          <m:sSub>
            <m:e>
              <m:r>
                <w:rPr>
                  <w:rFonts w:ascii="Cambria Math" w:hAnsi="Cambria Math"/>
                </w:rPr>
                <m:t xml:space="preserve">x</m:t>
              </m:r>
            </m:e>
            <m:sub>
              <m:r>
                <w:rPr>
                  <w:rFonts w:ascii="Cambria Math" w:hAnsi="Cambria Math"/>
                </w:rPr>
                <m:t xml:space="preserve">95</m:t>
              </m:r>
            </m:sub>
          </m:sSub>
          <m:r>
            <m:rPr>
              <m:lit/>
              <m:nor/>
            </m:rPr>
            <w:rPr>
              <w:rFonts w:ascii="Cambria Math" w:hAnsi="Cambria Math"/>
            </w:rPr>
            <m:t xml:space="preserve">=</m:t>
          </m:r>
          <m:r>
            <w:rPr>
              <w:rFonts w:ascii="Cambria Math" w:hAnsi="Cambria Math"/>
            </w:rPr>
            <m:t xml:space="preserve">1.96</m:t>
          </m:r>
          <m:f>
            <m:num>
              <m:sSub>
                <m:e>
                  <m:r>
                    <w:rPr>
                      <w:rFonts w:ascii="Cambria Math" w:hAnsi="Cambria Math"/>
                    </w:rPr>
                    <m:t xml:space="preserve">σ</m:t>
                  </m:r>
                </m:e>
                <m:sub>
                  <m:r>
                    <w:rPr>
                      <w:rFonts w:ascii="Cambria Math" w:hAnsi="Cambria Math"/>
                    </w:rPr>
                    <m:t xml:space="preserve">M</m:t>
                  </m:r>
                </m:sub>
              </m:sSub>
            </m:num>
            <m:den>
              <m:r>
                <w:rPr>
                  <w:rFonts w:ascii="Cambria Math" w:hAnsi="Cambria Math"/>
                </w:rPr>
                <m:t xml:space="preserve">M</m:t>
              </m:r>
            </m:den>
          </m:f>
          <m:r>
            <m:rPr>
              <m:lit/>
              <m:nor/>
            </m:rPr>
            <w:rPr>
              <w:rFonts w:ascii="Cambria Math" w:hAnsi="Cambria Math"/>
            </w:rPr>
            <m:t xml:space="preserve">(SM6.4C-2)</m:t>
          </m:r>
        </m:oMath>
      </m:oMathPara>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3369"/>
        <w:gridCol w:w="1296"/>
        <w:gridCol w:w="2203"/>
        <w:gridCol w:w="1037"/>
        <w:gridCol w:w="2463"/>
      </w:tblGrid>
      <w:tr>
        <w:trPr>
          <w:tblHeader w:val="true"/>
          <w:cantSplit/>
        </w:trPr>
        <w:tc>
          <w:tcPr>
            <w:tcW w:w="3369"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Uncertainty screen</w:t>
            </w:r>
          </w:p>
        </w:tc>
        <w:tc>
          <w:tcPr>
            <w:tcW w:w="129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Aft CG (m)</w:t>
            </w:r>
          </w:p>
        </w:tc>
        <w:tc>
          <w:tcPr>
            <w:tcW w:w="220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U20 static margin</w:t>
            </w:r>
          </w:p>
        </w:tc>
        <w:tc>
          <w:tcPr>
            <w:tcW w:w="1037"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10% gate</w:t>
            </w:r>
          </w:p>
        </w:tc>
        <w:tc>
          <w:tcPr>
            <w:tcW w:w="246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13% buffered target</w:t>
            </w:r>
          </w:p>
        </w:tc>
      </w:tr>
      <w:tr>
        <w:trPr>
          <w:cantSplit/>
        </w:trPr>
        <w:tc>
          <w:tcPr>
            <w:tcW w:w="3369"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Nominal</w:t>
            </w:r>
          </w:p>
        </w:tc>
        <w:tc>
          <w:tcPr>
            <w:tcW w:w="12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3.70312</w:t>
            </w:r>
          </w:p>
        </w:tc>
        <w:tc>
          <w:tcPr>
            <w:tcW w:w="22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17.16%</w:t>
            </w:r>
          </w:p>
        </w:tc>
        <w:tc>
          <w:tcPr>
            <w:tcW w:w="103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c>
          <w:tcPr>
            <w:tcW w:w="246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r>
      <w:tr>
        <w:trPr>
          <w:cantSplit/>
        </w:trPr>
        <w:tc>
          <w:tcPr>
            <w:tcW w:w="3369"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Independent-uniform 95%</w:t>
            </w:r>
          </w:p>
        </w:tc>
        <w:tc>
          <w:tcPr>
            <w:tcW w:w="129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3.76080</w:t>
            </w:r>
          </w:p>
        </w:tc>
        <w:tc>
          <w:tcPr>
            <w:tcW w:w="22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14.09%</w:t>
            </w:r>
          </w:p>
        </w:tc>
        <w:tc>
          <w:tcPr>
            <w:tcW w:w="103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c>
          <w:tcPr>
            <w:tcW w:w="246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r>
              <w:rPr>
                <w:rFonts w:eastAsia="Arial" w:cs="Arial"/>
                <w:color w:val="000000"/>
                <w:kern w:val="0"/>
                <w:sz w:val="24"/>
                <w:szCs w:val="24"/>
                <w:lang w:val="en-US" w:eastAsia="en-US" w:bidi="ar-SA"/>
              </w:rPr>
              <w:t xml:space="preserve"> by 0.02055 m</w:t>
            </w:r>
          </w:p>
        </w:tc>
      </w:tr>
      <w:tr>
        <w:trPr>
          <w:cantSplit/>
        </w:trPr>
        <w:tc>
          <w:tcPr>
            <w:tcW w:w="3369"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Simultaneous all-at-bounds</w:t>
            </w:r>
          </w:p>
        </w:tc>
        <w:tc>
          <w:tcPr>
            <w:tcW w:w="12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3.91324</w:t>
            </w:r>
          </w:p>
        </w:tc>
        <w:tc>
          <w:tcPr>
            <w:tcW w:w="22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5.99%</w:t>
            </w:r>
          </w:p>
        </w:tc>
        <w:tc>
          <w:tcPr>
            <w:tcW w:w="103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FAIL</w:t>
            </w:r>
          </w:p>
        </w:tc>
        <w:tc>
          <w:tcPr>
            <w:tcW w:w="246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FAIL</w:t>
            </w:r>
          </w:p>
        </w:tc>
      </w:tr>
    </w:tbl>
    <w:p>
      <w:pPr>
        <w:pStyle w:val="BodyText"/>
        <w:widowControl/>
        <w:rPr>
          <w:color w:val="000000"/>
        </w:rPr>
      </w:pPr>
      <w:r>
        <w:rPr>
          <w:rFonts w:eastAsia="Arial" w:cs="Arial"/>
          <w:color w:val="000000"/>
          <w:sz w:val="24"/>
        </w:rPr>
        <w:t xml:space="preserve">The deterministic bound uses a total adverse moment allowance of 398.135 kg·m for the critical aft case. The independent-uniform 95% screen uses </w:t>
      </w:r>
      <w:r>
        <w:rPr>
          <w:color w:val="000000"/>
        </w:rPr>
      </w:r>
      <m:oMath xmlns:m="http://schemas.openxmlformats.org/officeDocument/2006/math">
        <m:r>
          <w:rPr>
            <w:rFonts w:ascii="Cambria Math" w:hAnsi="Cambria Math"/>
          </w:rPr>
          <m:t xml:space="preserve">Δ</m:t>
        </m:r>
        <m:sSub>
          <m:e>
            <m:r>
              <w:rPr>
                <w:rFonts w:ascii="Cambria Math" w:hAnsi="Cambria Math"/>
              </w:rPr>
              <m:t xml:space="preserve">x</m:t>
            </m:r>
          </m:e>
          <m:sub>
            <m:r>
              <w:rPr>
                <w:rFonts w:ascii="Cambria Math" w:hAnsi="Cambria Math"/>
              </w:rPr>
              <m:t xml:space="preserve">95</m:t>
            </m:r>
          </m:sub>
        </m:sSub>
        <m:r>
          <m:rPr>
            <m:lit/>
            <m:nor/>
          </m:rPr>
          <w:rPr>
            <w:rFonts w:ascii="Cambria Math" w:hAnsi="Cambria Math"/>
          </w:rPr>
          <m:t xml:space="preserve">=</m:t>
        </m:r>
        <m:r>
          <w:rPr>
            <w:rFonts w:ascii="Cambria Math" w:hAnsi="Cambria Math"/>
          </w:rPr>
          <m:t xml:space="preserve">0.05768</m:t>
        </m:r>
      </m:oMath>
      <w:r>
        <w:rPr>
          <w:rFonts w:eastAsia="Arial" w:cs="Arial"/>
          <w:color w:val="000000"/>
          <w:sz w:val="24"/>
        </w:rPr>
        <w:t xml:space="preserve"> m. The nominal and 95% conceptual screens show ample reason to retain the current tail for the next control analysis, but the all-at-bounds failure prevents calling the operational CG envelope fully released. CAD centroids and installation drawings should replace Grade C arms first because distributed flight controls, electrical systems, fire protection and equipment dominate the uncertainty ledger.</w:t>
      </w:r>
    </w:p>
    <w:p>
      <w:pPr>
        <w:pStyle w:val="Heading1"/>
        <w:widowControl/>
        <w:rPr>
          <w:color w:val="000000"/>
        </w:rPr>
      </w:pPr>
      <w:bookmarkStart w:id="19" w:name="X02d4979ab2cda90f291439348c4142ace7b9147"/>
      <w:r>
        <w:rPr>
          <w:rFonts w:eastAsia="Arial" w:cs="Arial" w:ascii="Arial" w:hAnsi="Arial"/>
          <w:b/>
          <w:color w:val="000000"/>
          <w:sz w:val="30"/>
        </w:rPr>
        <w:t>10. Forward-CG, trim and landing-gear consequence</w:t>
      </w:r>
    </w:p>
    <w:p>
      <w:pPr>
        <w:pStyle w:val="FirstParagraph"/>
        <w:widowControl/>
        <w:rPr>
          <w:color w:val="000000"/>
        </w:rPr>
      </w:pPr>
      <w:r>
        <w:rPr>
          <w:rFonts w:eastAsia="Arial" w:cs="Arial"/>
          <w:color w:val="000000"/>
          <w:sz w:val="24"/>
        </w:rPr>
        <w:t>The former FS 3.600 lower boundary is not a minimum static-stability requirement. Moving forward increases static margin, but it increases elevator/tail load and nose-gear reaction. The geometry-based cloud therefore changes the forward closure question from “is the aircraft stable?” to “can it rotate, trim, flare and go around, and are the ground reactions acceptable?”</w:t>
      </w:r>
    </w:p>
    <w:p>
      <w:pPr>
        <w:pStyle w:val="BodyText"/>
        <w:keepNext w:val="true"/>
        <w:widowControl/>
        <w:rPr>
          <w:color w:val="000000"/>
        </w:rPr>
      </w:pPr>
      <w:r>
        <w:rPr>
          <w:rFonts w:eastAsia="Arial" w:cs="Arial"/>
          <w:color w:val="000000"/>
          <w:sz w:val="24"/>
        </w:rPr>
        <w:t>The static nose-load fraction for a tricycle gear is:</w:t>
      </w:r>
    </w:p>
    <w:p>
      <w:pPr>
        <w:pStyle w:val="BodyText"/>
        <w:keepLines/>
        <w:widowControl/>
        <w:jc w:val="center"/>
        <w:rPr>
          <w:color w:val="000000"/>
        </w:rPr>
      </w:pPr>
      <w:r>
        <w:rPr>
          <w:color w:val="000000"/>
        </w:rPr>
      </w:r>
      <m:oMathPara xmlns:m="http://schemas.openxmlformats.org/officeDocument/2006/math">
        <m:oMathParaPr>
          <m:jc m:val="center"/>
        </m:oMathParaPr>
        <m:oMath>
          <m:f>
            <m:num>
              <m:sSub>
                <m:e>
                  <m:r>
                    <w:rPr>
                      <w:rFonts w:ascii="Cambria Math" w:hAnsi="Cambria Math"/>
                    </w:rPr>
                    <m:t xml:space="preserve">W</m:t>
                  </m:r>
                </m:e>
                <m:sub>
                  <m:r>
                    <w:rPr>
                      <w:rFonts w:ascii="Cambria Math" w:hAnsi="Cambria Math"/>
                    </w:rPr>
                    <m:t xml:space="preserve">N</m:t>
                  </m:r>
                </m:sub>
              </m:sSub>
            </m:num>
            <m:den>
              <m:r>
                <w:rPr>
                  <w:rFonts w:ascii="Cambria Math" w:hAnsi="Cambria Math"/>
                </w:rPr>
                <m:t xml:space="preserve">W</m:t>
              </m:r>
            </m:den>
          </m:f>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M</m:t>
                  </m:r>
                  <m:r>
                    <w:rPr>
                      <w:rFonts w:ascii="Cambria Math" w:hAnsi="Cambria Math"/>
                    </w:rPr>
                    <m:t xml:space="preserve">G</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num>
            <m:den>
              <m:sSub>
                <m:e>
                  <m:r>
                    <w:rPr>
                      <w:rFonts w:ascii="Cambria Math" w:hAnsi="Cambria Math"/>
                    </w:rPr>
                    <m:t xml:space="preserve">x</m:t>
                  </m:r>
                </m:e>
                <m:sub>
                  <m:r>
                    <w:rPr>
                      <w:rFonts w:ascii="Cambria Math" w:hAnsi="Cambria Math"/>
                    </w:rPr>
                    <m:t xml:space="preserve">M</m:t>
                  </m:r>
                  <m:r>
                    <w:rPr>
                      <w:rFonts w:ascii="Cambria Math" w:hAnsi="Cambria Math"/>
                    </w:rPr>
                    <m:t xml:space="preserve">G</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N</m:t>
                  </m:r>
                  <m:r>
                    <w:rPr>
                      <w:rFonts w:ascii="Cambria Math" w:hAnsi="Cambria Math"/>
                    </w:rPr>
                    <m:t xml:space="preserve">G</m:t>
                  </m:r>
                </m:sub>
              </m:sSub>
            </m:den>
          </m:f>
          <m:r>
            <m:rPr>
              <m:lit/>
              <m:nor/>
            </m:rPr>
            <w:rPr>
              <w:rFonts w:ascii="Cambria Math" w:hAnsi="Cambria Math"/>
            </w:rPr>
            <m:t xml:space="preserve">=</m:t>
          </m:r>
          <m:f>
            <m:num>
              <m:r>
                <w:rPr>
                  <w:rFonts w:ascii="Cambria Math" w:hAnsi="Cambria Math"/>
                </w:rPr>
                <m:t xml:space="preserve">4.29</m:t>
              </m:r>
              <m:r>
                <w:rPr>
                  <w:rFonts w:ascii="Cambria Math" w:hAnsi="Cambria Math"/>
                </w:rPr>
                <m:t xml:space="preserve">−</m:t>
              </m:r>
              <m:sSub>
                <m:e>
                  <m:r>
                    <w:rPr>
                      <w:rFonts w:ascii="Cambria Math" w:hAnsi="Cambria Math"/>
                    </w:rPr>
                    <m:t xml:space="preserve">x</m:t>
                  </m:r>
                </m:e>
                <m:sub>
                  <m:r>
                    <w:rPr>
                      <w:rFonts w:ascii="Cambria Math" w:hAnsi="Cambria Math"/>
                    </w:rPr>
                    <m:t xml:space="preserve">C</m:t>
                  </m:r>
                  <m:r>
                    <w:rPr>
                      <w:rFonts w:ascii="Cambria Math" w:hAnsi="Cambria Math"/>
                    </w:rPr>
                    <m:t xml:space="preserve">G</m:t>
                  </m:r>
                </m:sub>
              </m:sSub>
            </m:num>
            <m:den>
              <m:r>
                <w:rPr>
                  <w:rFonts w:ascii="Cambria Math" w:hAnsi="Cambria Math"/>
                </w:rPr>
                <m:t xml:space="preserve">4.29</m:t>
              </m:r>
              <m:r>
                <w:rPr>
                  <w:rFonts w:ascii="Cambria Math" w:hAnsi="Cambria Math"/>
                </w:rPr>
                <m:t xml:space="preserve">−</m:t>
              </m:r>
              <m:r>
                <w:rPr>
                  <w:rFonts w:ascii="Cambria Math" w:hAnsi="Cambria Math"/>
                </w:rPr>
                <m:t xml:space="preserve">0.75</m:t>
              </m:r>
            </m:den>
          </m:f>
          <m:r>
            <m:rPr>
              <m:lit/>
              <m:nor/>
            </m:rPr>
            <w:rPr>
              <w:rFonts w:ascii="Cambria Math" w:hAnsi="Cambria Math"/>
            </w:rPr>
            <m:t xml:space="preserve">(SM6.4C-3)</m:t>
          </m:r>
        </m:oMath>
      </m:oMathPara>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2951"/>
        <w:gridCol w:w="1225"/>
        <w:gridCol w:w="1152"/>
        <w:gridCol w:w="1080"/>
        <w:gridCol w:w="1368"/>
        <w:gridCol w:w="2592"/>
      </w:tblGrid>
      <w:tr>
        <w:trPr>
          <w:tblHeader w:val="true"/>
          <w:cantSplit/>
        </w:trPr>
        <w:tc>
          <w:tcPr>
            <w:tcW w:w="2951"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Forward case</w:t>
            </w:r>
          </w:p>
        </w:tc>
        <w:tc>
          <w:tcPr>
            <w:tcW w:w="1225"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Mass (kg)</w:t>
            </w:r>
          </w:p>
        </w:tc>
        <w:tc>
          <w:tcPr>
            <w:tcW w:w="115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FS CG (m)</w:t>
            </w:r>
          </w:p>
        </w:tc>
        <w:tc>
          <w:tcPr>
            <w:tcW w:w="1080"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U20 SM</w:t>
            </w:r>
          </w:p>
        </w:tc>
        <w:tc>
          <w:tcPr>
            <w:tcW w:w="1368"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Static nose load</w:t>
            </w:r>
          </w:p>
        </w:tc>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Disposition</w:t>
            </w:r>
          </w:p>
        </w:tc>
      </w:tr>
      <w:tr>
        <w:trPr>
          <w:cantSplit/>
        </w:trPr>
        <w:tc>
          <w:tcPr>
            <w:tcW w:w="2951"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OEW</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1,327.0</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3.42993</w:t>
            </w:r>
          </w:p>
        </w:tc>
        <w:tc>
          <w:tcPr>
            <w:tcW w:w="108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31.68%</w:t>
            </w:r>
          </w:p>
        </w:tc>
        <w:tc>
          <w:tcPr>
            <w:tcW w:w="136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24.30%</w:t>
            </w:r>
          </w:p>
        </w:tc>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Ground handling only; crew absent</w:t>
            </w:r>
          </w:p>
        </w:tc>
      </w:tr>
      <w:tr>
        <w:trPr>
          <w:cantSplit/>
        </w:trPr>
        <w:tc>
          <w:tcPr>
            <w:tcW w:w="2951"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P1, dispatch fuel</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1,608.8</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3.37374</w:t>
            </w:r>
          </w:p>
        </w:tc>
        <w:tc>
          <w:tcPr>
            <w:tcW w:w="108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34.67%</w:t>
            </w:r>
          </w:p>
        </w:tc>
        <w:tc>
          <w:tcPr>
            <w:tcW w:w="136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25.88%</w:t>
            </w:r>
          </w:p>
        </w:tc>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b/>
                <w:bCs/>
                <w:color w:val="000000"/>
                <w:kern w:val="0"/>
                <w:sz w:val="24"/>
                <w:szCs w:val="24"/>
                <w:lang w:val="en-US" w:eastAsia="en-US" w:bidi="ar-SA"/>
              </w:rPr>
              <w:t>Take-off rotation / gear HOLD</w:t>
            </w:r>
          </w:p>
        </w:tc>
      </w:tr>
      <w:tr>
        <w:trPr>
          <w:cantSplit/>
        </w:trPr>
        <w:tc>
          <w:tcPr>
            <w:tcW w:w="2951"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P1, landing fuel</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1,519.8</w:t>
            </w:r>
          </w:p>
        </w:tc>
        <w:tc>
          <w:tcPr>
            <w:tcW w:w="115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3.35170</w:t>
            </w:r>
          </w:p>
        </w:tc>
        <w:tc>
          <w:tcPr>
            <w:tcW w:w="1080"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35.84%</w:t>
            </w:r>
          </w:p>
        </w:tc>
        <w:tc>
          <w:tcPr>
            <w:tcW w:w="1368"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26.51%</w:t>
            </w:r>
          </w:p>
        </w:tc>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b/>
                <w:bCs/>
                <w:color w:val="000000"/>
                <w:kern w:val="0"/>
                <w:sz w:val="24"/>
                <w:szCs w:val="24"/>
                <w:lang w:val="en-US" w:eastAsia="en-US" w:bidi="ar-SA"/>
              </w:rPr>
              <w:t>Flare / go-around / gear HOLD</w:t>
            </w:r>
          </w:p>
        </w:tc>
      </w:tr>
      <w:tr>
        <w:trPr>
          <w:cantSplit/>
        </w:trPr>
        <w:tc>
          <w:tcPr>
            <w:tcW w:w="2951"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Pilot + P1, zero fuel</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1,499.0</w:t>
            </w:r>
          </w:p>
        </w:tc>
        <w:tc>
          <w:tcPr>
            <w:tcW w:w="115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3.34618</w:t>
            </w:r>
          </w:p>
        </w:tc>
        <w:tc>
          <w:tcPr>
            <w:tcW w:w="1080"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36.14%</w:t>
            </w:r>
          </w:p>
        </w:tc>
        <w:tc>
          <w:tcPr>
            <w:tcW w:w="1368"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26.66%</w:t>
            </w:r>
          </w:p>
        </w:tc>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Ground loading endpoint</w:t>
            </w:r>
          </w:p>
        </w:tc>
      </w:tr>
    </w:tbl>
    <w:p>
      <w:pPr>
        <w:pStyle w:val="BodyText"/>
        <w:widowControl/>
        <w:rPr>
          <w:color w:val="000000"/>
        </w:rPr>
      </w:pPr>
      <w:r>
        <w:rPr>
          <w:rFonts w:eastAsia="Arial" w:cs="Arial"/>
          <w:color w:val="000000"/>
          <w:sz w:val="24"/>
        </w:rPr>
        <w:t>The design report's previous FS 3.60-3.90 analysis corresponded to about 19.5%-11.0% nose load. The revised preliminary ledger therefore produces valid front-loaded states above that former nose-load band. These points are not rejected merely because they lie forward of FS 3.600; instead, FS 3.34618 becomes the conceptual forward candidate and is carried into a dedicated elevator/rotation/gear release. Operational loading restrictions may be used only if the full required mission and safe loading/unloading sequence remain achievable.</w:t>
      </w:r>
      <w:bookmarkEnd w:id="19"/>
    </w:p>
    <w:p>
      <w:pPr>
        <w:pStyle w:val="Heading1"/>
        <w:widowControl/>
        <w:rPr/>
      </w:pPr>
      <w:bookmarkStart w:id="20" w:name="Xd6b851df64e9c81ec9b1be4debbf840815951d4"/>
      <w:r>
        <w:rPr>
          <w:rFonts w:eastAsia="Arial" w:cs="Arial" w:ascii="Arial" w:hAnsi="Arial"/>
          <w:b/>
          <w:color w:val="000000"/>
          <w:sz w:val="30"/>
        </w:rPr>
        <w:t xml:space="preserve">11. Final dispositions and handoff to </w:t>
      </w:r>
      <w:r>
        <w:rPr>
          <w:rStyle w:val="VerbatimChar"/>
          <w:rFonts w:eastAsia="Arial" w:cs="Arial" w:ascii="Arial" w:hAnsi="Arial"/>
          <w:b/>
          <w:color w:val="000000"/>
          <w:sz w:val="30"/>
        </w:rPr>
        <w:t>07_VMC_Control_Closure</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2592"/>
        <w:gridCol w:w="2303"/>
        <w:gridCol w:w="5473"/>
      </w:tblGrid>
      <w:tr>
        <w:trPr>
          <w:tblHeader w:val="true"/>
          <w:cantSplit/>
        </w:trPr>
        <w:tc>
          <w:tcPr>
            <w:tcW w:w="2592"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Item</w:t>
            </w:r>
          </w:p>
        </w:tc>
        <w:tc>
          <w:tcPr>
            <w:tcW w:w="230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Disposition</w:t>
            </w:r>
          </w:p>
        </w:tc>
        <w:tc>
          <w:tcPr>
            <w:tcW w:w="547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Controlled statement</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SM6.3B source and arithmetic</w:t>
            </w:r>
          </w:p>
        </w:tc>
        <w:tc>
          <w:tcPr>
            <w:tcW w:w="23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 / CLOSED</w:t>
            </w:r>
          </w:p>
        </w:tc>
        <w:tc>
          <w:tcPr>
            <w:tcW w:w="54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color w:val="000000"/>
                <w:kern w:val="0"/>
                <w:szCs w:val="24"/>
                <w:lang w:val="en-US" w:eastAsia="en-US" w:bidi="ar-SA"/>
              </w:rPr>
            </w:r>
            <m:oMath xmlns:m="http://schemas.openxmlformats.org/officeDocument/2006/math">
              <m:sSub>
                <m:e>
                  <m:r>
                    <w:rPr>
                      <w:rFonts w:ascii="Cambria Math" w:hAnsi="Cambria Math"/>
                    </w:rPr>
                    <m:t xml:space="preserve">C</m:t>
                  </m:r>
                </m:e>
                <m:sub>
                  <m:sSub>
                    <m:e>
                      <m:r>
                        <w:rPr>
                          <w:rFonts w:ascii="Cambria Math" w:hAnsi="Cambria Math"/>
                        </w:rPr>
                        <m:t xml:space="preserve">m</m:t>
                      </m:r>
                    </m:e>
                    <m:sub>
                      <m:r>
                        <w:rPr>
                          <w:rFonts w:ascii="Cambria Math" w:hAnsi="Cambria Math"/>
                        </w:rPr>
                        <m:t xml:space="preserve">α</m:t>
                      </m:r>
                    </m:sub>
                  </m:sSub>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sub>
              </m:sSub>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0.34028</m:t>
              </m:r>
            </m:oMath>
            <w:r>
              <w:rPr>
                <w:rFonts w:eastAsia="Arial" w:cs="Arial"/>
                <w:color w:val="000000"/>
                <w:kern w:val="0"/>
                <w:sz w:val="24"/>
                <w:szCs w:val="24"/>
                <w:lang w:val="en-US" w:eastAsia="en-US" w:bidi="ar-SA"/>
              </w:rPr>
              <w:t xml:space="preserve"> </w:t>
            </w:r>
            <w:r>
              <w:rPr>
                <w:rFonts w:eastAsia="Arial" w:cs="Arial"/>
                <w:color w:val="000000"/>
                <w:kern w:val="0"/>
                <w:sz w:val="24"/>
                <w:szCs w:val="24"/>
                <w:lang w:val="en-US" w:eastAsia="en-US" w:bidi="ar-SA"/>
              </w:rPr>
              <w:t>rad⁻¹; central NP FS 4.02894 m</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Former FS 3.900 aft gate</w:t>
            </w:r>
          </w:p>
        </w:tc>
        <w:tc>
          <w:tcPr>
            <w:tcW w:w="23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FAIL / CLOSED</w:t>
            </w:r>
          </w:p>
        </w:tc>
        <w:tc>
          <w:tcPr>
            <w:tcW w:w="54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6.86% MAC; no longer accepted</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SM6.4A mass-arm arithmetic</w:t>
            </w:r>
          </w:p>
        </w:tc>
        <w:tc>
          <w:tcPr>
            <w:tcW w:w="23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 - conceptual</w:t>
            </w:r>
          </w:p>
        </w:tc>
        <w:tc>
          <w:tcPr>
            <w:tcW w:w="54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1,327.0 kg, 4,551.5 kg·m, OEW CG FS 3.42993 m</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SM6.4B nominal loading cloud</w:t>
            </w:r>
          </w:p>
        </w:tc>
        <w:tc>
          <w:tcPr>
            <w:tcW w:w="23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c>
          <w:tcPr>
            <w:tcW w:w="54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1,280 endpoint records; aft limit FS 3.70312 m</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Nominal aft static margin</w:t>
            </w:r>
          </w:p>
        </w:tc>
        <w:tc>
          <w:tcPr>
            <w:tcW w:w="23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w:t>
            </w:r>
          </w:p>
        </w:tc>
        <w:tc>
          <w:tcPr>
            <w:tcW w:w="54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17.16% MAC on U20 screen</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Independent-uniform 95% screen</w:t>
            </w:r>
          </w:p>
        </w:tc>
        <w:tc>
          <w:tcPr>
            <w:tcW w:w="23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PASS - sensitivity only</w:t>
            </w:r>
          </w:p>
        </w:tc>
        <w:tc>
          <w:tcPr>
            <w:tcW w:w="54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FS 3.76080 m; 14.09% MAC</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All-at-bounds arm screen</w:t>
            </w:r>
          </w:p>
        </w:tc>
        <w:tc>
          <w:tcPr>
            <w:tcW w:w="23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FAIL / HOLD</w:t>
            </w:r>
          </w:p>
        </w:tc>
        <w:tc>
          <w:tcPr>
            <w:tcW w:w="54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FS 3.91324 m; measured/CAD centroids required</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Forward loading containment</w:t>
            </w:r>
          </w:p>
        </w:tc>
        <w:tc>
          <w:tcPr>
            <w:tcW w:w="23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HOLD</w:t>
            </w:r>
          </w:p>
        </w:tc>
        <w:tc>
          <w:tcPr>
            <w:tcW w:w="54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Valid cases reach FS 3.34618 m; controls and gear must release</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Tail resize decision</w:t>
            </w:r>
          </w:p>
        </w:tc>
        <w:tc>
          <w:tcPr>
            <w:tcW w:w="230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DEFER / NOT INDICATED</w:t>
            </w:r>
          </w:p>
        </w:tc>
        <w:tc>
          <w:tcPr>
            <w:tcW w:w="547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Nominal aft cloud retains 7.16% MAC beyond the 10% gate</w:t>
            </w:r>
          </w:p>
        </w:tc>
      </w:tr>
      <w:tr>
        <w:trPr>
          <w:cantSplit/>
        </w:trPr>
        <w:tc>
          <w:tcPr>
            <w:tcW w:w="2592"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kern w:val="0"/>
                <w:szCs w:val="24"/>
                <w:lang w:val="en-US" w:eastAsia="en-US" w:bidi="ar-SA"/>
              </w:rPr>
            </w:pPr>
            <w:r>
              <w:rPr>
                <w:rFonts w:eastAsia="Arial" w:cs="Arial"/>
                <w:color w:val="000000"/>
                <w:kern w:val="0"/>
                <w:sz w:val="24"/>
                <w:szCs w:val="24"/>
                <w:lang w:val="en-US" w:eastAsia="en-US" w:bidi="ar-SA"/>
              </w:rPr>
              <w:t xml:space="preserve">Overall </w:t>
            </w:r>
            <w:r>
              <w:rPr>
                <w:rStyle w:val="VerbatimChar"/>
                <w:rFonts w:eastAsia="Arial" w:cs="Arial"/>
                <w:color w:val="000000"/>
                <w:kern w:val="0"/>
                <w:sz w:val="24"/>
                <w:szCs w:val="24"/>
                <w:lang w:val="en-US" w:eastAsia="en-US" w:bidi="ar-SA"/>
              </w:rPr>
              <w:t>06_CG_Static_Margin</w:t>
            </w:r>
          </w:p>
        </w:tc>
        <w:tc>
          <w:tcPr>
            <w:tcW w:w="230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b/>
                <w:bCs/>
                <w:color w:val="000000"/>
                <w:kern w:val="0"/>
                <w:sz w:val="24"/>
                <w:szCs w:val="24"/>
                <w:lang w:val="en-US" w:eastAsia="en-US" w:bidi="ar-SA"/>
              </w:rPr>
              <w:t>CONDITIONAL ANALYSIS PASS / RELEASE HOLD</w:t>
            </w:r>
          </w:p>
        </w:tc>
        <w:tc>
          <w:tcPr>
            <w:tcW w:w="547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Adequate basis to proceed; not an approved operational envelope</w:t>
            </w:r>
          </w:p>
        </w:tc>
      </w:tr>
    </w:tbl>
    <w:p>
      <w:pPr>
        <w:pStyle w:val="Heading2"/>
        <w:widowControl/>
        <w:rPr>
          <w:color w:val="000000"/>
        </w:rPr>
      </w:pPr>
      <w:r>
        <w:rPr>
          <w:rFonts w:eastAsia="Arial" w:cs="Arial" w:ascii="Arial" w:hAnsi="Arial"/>
          <w:b/>
          <w:color w:val="000000"/>
          <w:sz w:val="26"/>
        </w:rPr>
        <w:t>11.1 Controlled VMC input cases</w:t>
      </w:r>
    </w:p>
    <w:p>
      <w:pPr>
        <w:pStyle w:val="FirstParagraph"/>
        <w:widowControl/>
        <w:rPr/>
      </w:pPr>
      <w:r>
        <w:rPr>
          <w:rStyle w:val="VerbatimChar"/>
          <w:rFonts w:eastAsia="Arial" w:cs="Arial"/>
          <w:color w:val="000000"/>
          <w:sz w:val="24"/>
        </w:rPr>
        <w:t>07_VMC_Control_Closure</w:t>
      </w:r>
      <w:r>
        <w:rPr>
          <w:rFonts w:eastAsia="Arial" w:cs="Arial"/>
          <w:color w:val="000000"/>
          <w:sz w:val="24"/>
        </w:rPr>
        <w:t xml:space="preserve"> should no longer use FS 3.900 as an assumed real loading point. It should screen the following states and retain the U20 limit only as an uncertainty/sensitivity bound.</w:t>
      </w:r>
    </w:p>
    <w:tbl>
      <w:tblPr>
        <w:tblStyle w:val="Table"/>
        <w:tblW w:w="10368" w:type="dxa"/>
        <w:jc w:val="left"/>
        <w:tblInd w:w="0" w:type="dxa"/>
        <w:tblLayout w:type="fixed"/>
        <w:tblCellMar>
          <w:top w:w="60" w:type="dxa"/>
          <w:left w:w="80" w:type="dxa"/>
          <w:bottom w:w="60" w:type="dxa"/>
          <w:right w:w="80" w:type="dxa"/>
        </w:tblCellMar>
        <w:tblLook w:val="0020" w:firstRow="1" w:noVBand="0" w:lastRow="0" w:firstColumn="0" w:lastColumn="0" w:noHBand="0"/>
      </w:tblPr>
      <w:tblGrid>
        <w:gridCol w:w="1007"/>
        <w:gridCol w:w="1225"/>
        <w:gridCol w:w="1223"/>
        <w:gridCol w:w="3817"/>
        <w:gridCol w:w="3096"/>
      </w:tblGrid>
      <w:tr>
        <w:trPr>
          <w:tblHeader w:val="true"/>
          <w:cantSplit/>
        </w:trPr>
        <w:tc>
          <w:tcPr>
            <w:tcW w:w="1007"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Case ID</w:t>
            </w:r>
          </w:p>
        </w:tc>
        <w:tc>
          <w:tcPr>
            <w:tcW w:w="1225"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Mass (kg)</w:t>
            </w:r>
          </w:p>
        </w:tc>
        <w:tc>
          <w:tcPr>
            <w:tcW w:w="1223"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right"/>
              <w:rPr>
                <w:color w:val="000000"/>
                <w:kern w:val="0"/>
                <w:szCs w:val="24"/>
                <w:lang w:val="en-US" w:eastAsia="en-US" w:bidi="ar-SA"/>
              </w:rPr>
            </w:pPr>
            <w:r>
              <w:rPr>
                <w:rFonts w:eastAsia="Arial" w:cs="Arial"/>
                <w:b/>
                <w:color w:val="000000"/>
                <w:kern w:val="0"/>
                <w:sz w:val="24"/>
                <w:szCs w:val="24"/>
                <w:lang w:val="en-US" w:eastAsia="en-US" w:bidi="ar-SA"/>
              </w:rPr>
              <w:t>FS CG (m)</w:t>
            </w:r>
          </w:p>
        </w:tc>
        <w:tc>
          <w:tcPr>
            <w:tcW w:w="3817"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Configuration meaning</w:t>
            </w:r>
          </w:p>
        </w:tc>
        <w:tc>
          <w:tcPr>
            <w:tcW w:w="3096" w:type="dxa"/>
            <w:tcBorders>
              <w:top w:val="single" w:sz="4" w:space="0" w:color="A6B3BF"/>
              <w:left w:val="single" w:sz="4" w:space="0" w:color="A6B3BF"/>
              <w:bottom w:val="single" w:sz="6" w:space="0" w:color="000000"/>
              <w:right w:val="single" w:sz="4" w:space="0" w:color="A6B3BF"/>
            </w:tcBorders>
            <w:shd w:fill="D9EAF7" w:val="clear"/>
            <w:vAlign w:val="center"/>
          </w:tcPr>
          <w:p>
            <w:pPr>
              <w:pStyle w:val="Compact"/>
              <w:spacing w:lineRule="auto" w:line="240" w:before="0" w:after="30"/>
              <w:jc w:val="left"/>
              <w:rPr>
                <w:color w:val="000000"/>
                <w:kern w:val="0"/>
                <w:szCs w:val="24"/>
                <w:lang w:val="en-US" w:eastAsia="en-US" w:bidi="ar-SA"/>
              </w:rPr>
            </w:pPr>
            <w:r>
              <w:rPr>
                <w:rFonts w:eastAsia="Arial" w:cs="Arial"/>
                <w:b/>
                <w:color w:val="000000"/>
                <w:kern w:val="0"/>
                <w:sz w:val="24"/>
                <w:szCs w:val="24"/>
                <w:lang w:val="en-US" w:eastAsia="en-US" w:bidi="ar-SA"/>
              </w:rPr>
              <w:t>Use in VMC work</w:t>
            </w:r>
          </w:p>
        </w:tc>
      </w:tr>
      <w:tr>
        <w:trPr>
          <w:cantSplit/>
        </w:trPr>
        <w:tc>
          <w:tcPr>
            <w:tcW w:w="100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VMC-A</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1,894.8</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3.70312</w:t>
            </w:r>
          </w:p>
        </w:tc>
        <w:tc>
          <w:tcPr>
            <w:tcW w:w="381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Most-aft nominal conservative departure screen; dispatch fuel</w:t>
            </w:r>
          </w:p>
        </w:tc>
        <w:tc>
          <w:tcPr>
            <w:tcW w:w="30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Primary actual-loading case</w:t>
            </w:r>
          </w:p>
        </w:tc>
      </w:tr>
      <w:tr>
        <w:trPr>
          <w:cantSplit/>
        </w:trPr>
        <w:tc>
          <w:tcPr>
            <w:tcW w:w="100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VMC-B</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2,000.0</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3.65023</w:t>
            </w:r>
          </w:p>
        </w:tc>
        <w:tc>
          <w:tcPr>
            <w:tcW w:w="381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Most-aft MTOM case; five occupants + 133.2 kg aft cargo</w:t>
            </w:r>
          </w:p>
        </w:tc>
        <w:tc>
          <w:tcPr>
            <w:tcW w:w="309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MTOM comparison</w:t>
            </w:r>
          </w:p>
        </w:tc>
      </w:tr>
      <w:tr>
        <w:trPr>
          <w:cantSplit/>
        </w:trPr>
        <w:tc>
          <w:tcPr>
            <w:tcW w:w="100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VMC-C</w:t>
            </w:r>
          </w:p>
        </w:tc>
        <w:tc>
          <w:tcPr>
            <w:tcW w:w="1225"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1,900.0</w:t>
            </w:r>
          </w:p>
        </w:tc>
        <w:tc>
          <w:tcPr>
            <w:tcW w:w="1223"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3.63687</w:t>
            </w:r>
          </w:p>
        </w:tc>
        <w:tc>
          <w:tcPr>
            <w:tcW w:w="3817"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Most-aft planned landing-mass case</w:t>
            </w:r>
          </w:p>
        </w:tc>
        <w:tc>
          <w:tcPr>
            <w:tcW w:w="3096" w:type="dxa"/>
            <w:tcBorders>
              <w:top w:val="single" w:sz="4" w:space="0" w:color="A6B3BF"/>
              <w:left w:val="single" w:sz="4" w:space="0" w:color="A6B3BF"/>
              <w:bottom w:val="single" w:sz="4" w:space="0" w:color="A6B3BF"/>
              <w:right w:val="single" w:sz="4" w:space="0" w:color="A6B3BF"/>
            </w:tcBorders>
            <w:shd w:fill="FFFFFF"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Approach/go-around comparison</w:t>
            </w:r>
          </w:p>
        </w:tc>
      </w:tr>
      <w:tr>
        <w:trPr>
          <w:cantSplit/>
        </w:trPr>
        <w:tc>
          <w:tcPr>
            <w:tcW w:w="100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VMC-U</w:t>
            </w:r>
          </w:p>
        </w:tc>
        <w:tc>
          <w:tcPr>
            <w:tcW w:w="1225"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Variable</w:t>
            </w:r>
          </w:p>
        </w:tc>
        <w:tc>
          <w:tcPr>
            <w:tcW w:w="1223"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right"/>
              <w:rPr>
                <w:color w:val="000000"/>
                <w:kern w:val="0"/>
                <w:szCs w:val="24"/>
                <w:lang w:val="en-US" w:eastAsia="en-US" w:bidi="ar-SA"/>
              </w:rPr>
            </w:pPr>
            <w:r>
              <w:rPr>
                <w:rFonts w:eastAsia="Arial" w:cs="Arial"/>
                <w:color w:val="000000"/>
                <w:kern w:val="0"/>
                <w:sz w:val="24"/>
                <w:szCs w:val="24"/>
                <w:lang w:val="en-US" w:eastAsia="en-US" w:bidi="ar-SA"/>
              </w:rPr>
              <w:t>3.83778</w:t>
            </w:r>
          </w:p>
        </w:tc>
        <w:tc>
          <w:tcPr>
            <w:tcW w:w="3817"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U20 exact 10% boundary; not an actual nominal loading point</w:t>
            </w:r>
          </w:p>
        </w:tc>
        <w:tc>
          <w:tcPr>
            <w:tcW w:w="3096" w:type="dxa"/>
            <w:tcBorders>
              <w:top w:val="single" w:sz="4" w:space="0" w:color="A6B3BF"/>
              <w:left w:val="single" w:sz="4" w:space="0" w:color="A6B3BF"/>
              <w:bottom w:val="single" w:sz="4" w:space="0" w:color="A6B3BF"/>
              <w:right w:val="single" w:sz="4" w:space="0" w:color="A6B3BF"/>
            </w:tcBorders>
            <w:shd w:fill="F2F4F6" w:val="clear"/>
            <w:vAlign w:val="center"/>
          </w:tcPr>
          <w:p>
            <w:pPr>
              <w:pStyle w:val="Compact"/>
              <w:spacing w:lineRule="auto" w:line="240" w:before="0" w:after="30"/>
              <w:jc w:val="left"/>
              <w:rPr>
                <w:color w:val="000000"/>
                <w:kern w:val="0"/>
                <w:szCs w:val="24"/>
                <w:lang w:val="en-US" w:eastAsia="en-US" w:bidi="ar-SA"/>
              </w:rPr>
            </w:pPr>
            <w:r>
              <w:rPr>
                <w:rFonts w:eastAsia="Arial" w:cs="Arial"/>
                <w:color w:val="000000"/>
                <w:kern w:val="0"/>
                <w:sz w:val="24"/>
                <w:szCs w:val="24"/>
                <w:lang w:val="en-US" w:eastAsia="en-US" w:bidi="ar-SA"/>
              </w:rPr>
              <w:t>Conservative CG sensitivity only</w:t>
            </w:r>
          </w:p>
        </w:tc>
      </w:tr>
    </w:tbl>
    <w:p>
      <w:pPr>
        <w:pStyle w:val="BodyText"/>
        <w:widowControl/>
        <w:rPr>
          <w:color w:val="000000"/>
        </w:rPr>
      </w:pPr>
      <w:r>
        <w:rPr>
          <w:rFonts w:eastAsia="Arial" w:cs="Arial"/>
          <w:color w:val="000000"/>
          <w:sz w:val="24"/>
        </w:rPr>
        <w:t>The VMC analysis may therefore proceed without an immediate longitudinal geometry change. It must still solve simultaneous yaw, roll and sideslip equilibrium with finite rudder/aileron limits and left/right critical-engine cases. In parallel, the later forward-control closure must use FS 3.37374 m at 1,608.8 kg for take-off rotation and FS 3.35170 m at 1,519.8 kg for landing/flare/go-around screening. The 30-line arm ledger must be updated when CAD centroids become available; any updated point exceeding FS 3.83778 m reopens the tail/layout gate automatically.</w:t>
      </w:r>
    </w:p>
    <w:p>
      <w:pPr>
        <w:pStyle w:val="BodyText"/>
        <w:widowControl/>
        <w:rPr/>
      </w:pPr>
      <w:r>
        <w:rPr>
          <w:rFonts w:eastAsia="Arial" w:cs="Arial"/>
          <w:b/>
          <w:bCs/>
          <w:color w:val="000000"/>
          <w:sz w:val="24"/>
        </w:rPr>
        <w:t>Final closure statement.</w:t>
      </w:r>
      <w:r>
        <w:rPr>
          <w:rFonts w:eastAsia="Arial" w:cs="Arial"/>
          <w:color w:val="000000"/>
          <w:sz w:val="24"/>
        </w:rPr>
        <w:t xml:space="preserve"> SM6.3B is closed as a verified conceptual fuselage correction. SM6.4 now contains a reproducible geometry-based component ledger and complete endpoint loading cloud. The nominal aft-CG design question passes and does not justify resizing the horizontal tail before VMC analysis. The operational release remains on HOLD because the hard arm-bound screen fails and the forward loading edge lies outside the former design range. The controlled next action is </w:t>
      </w:r>
      <w:r>
        <w:rPr>
          <w:rStyle w:val="VerbatimChar"/>
          <w:rFonts w:eastAsia="Arial" w:cs="Arial"/>
          <w:color w:val="000000"/>
          <w:sz w:val="24"/>
        </w:rPr>
        <w:t>07_VMC_Control_Closure</w:t>
      </w:r>
      <w:r>
        <w:rPr>
          <w:rFonts w:eastAsia="Arial" w:cs="Arial"/>
          <w:color w:val="000000"/>
          <w:sz w:val="24"/>
        </w:rPr>
        <w:t>, using VMC-A through VMC-U above, followed by forward-CG elevator/rotation/flare and landing-gear closure.</w:t>
      </w:r>
      <w:bookmarkEnd w:id="20"/>
    </w:p>
    <w:p>
      <w:pPr>
        <w:pStyle w:val="Heading1"/>
        <w:widowControl/>
        <w:rPr>
          <w:color w:val="000000"/>
        </w:rPr>
      </w:pPr>
      <w:bookmarkStart w:id="21" w:name="references-and-controlled-evidence"/>
      <w:r>
        <w:rPr>
          <w:rFonts w:eastAsia="Arial" w:cs="Arial" w:ascii="Arial" w:hAnsi="Arial"/>
          <w:b/>
          <w:color w:val="000000"/>
          <w:sz w:val="30"/>
        </w:rPr>
        <w:t>References and controlled evidence</w:t>
      </w:r>
    </w:p>
    <w:p>
      <w:pPr>
        <w:pStyle w:val="FirstParagraph"/>
        <w:widowControl/>
        <w:rPr>
          <w:color w:val="000000"/>
        </w:rPr>
      </w:pPr>
      <w:r>
        <w:rPr>
          <w:rFonts w:eastAsia="Arial" w:cs="Arial"/>
          <w:color w:val="000000"/>
          <w:sz w:val="24"/>
        </w:rPr>
        <w:t xml:space="preserve">[1] S. Gudmundsson, </w:t>
      </w:r>
      <w:r>
        <w:rPr>
          <w:rFonts w:eastAsia="Arial" w:cs="Arial"/>
          <w:i/>
          <w:iCs/>
          <w:color w:val="000000"/>
          <w:sz w:val="24"/>
        </w:rPr>
        <w:t>General Aviation Aircraft Design: Applied Methods and Procedures</w:t>
      </w:r>
      <w:r>
        <w:rPr>
          <w:rFonts w:eastAsia="Arial" w:cs="Arial"/>
          <w:color w:val="000000"/>
          <w:sz w:val="24"/>
        </w:rPr>
        <w:t>, 1st ed., Butterworth-Heinemann/Elsevier, 2014, Sections 6.6.5, 6.6.11-6.6.12 and Chapter 11 / Appendix C1.</w:t>
      </w:r>
    </w:p>
    <w:p>
      <w:pPr>
        <w:pStyle w:val="BodyText"/>
        <w:widowControl/>
        <w:rPr>
          <w:color w:val="000000"/>
        </w:rPr>
      </w:pPr>
      <w:r>
        <w:rPr>
          <w:rFonts w:eastAsia="Arial" w:cs="Arial"/>
          <w:color w:val="000000"/>
          <w:sz w:val="24"/>
        </w:rPr>
        <w:t xml:space="preserve">[2] H. Multhopp, </w:t>
      </w:r>
      <w:r>
        <w:rPr>
          <w:rFonts w:eastAsia="Arial" w:cs="Arial"/>
          <w:i/>
          <w:iCs/>
          <w:color w:val="000000"/>
          <w:sz w:val="24"/>
        </w:rPr>
        <w:t>Aerodynamics of the Fuselage</w:t>
      </w:r>
      <w:r>
        <w:rPr>
          <w:rFonts w:eastAsia="Arial" w:cs="Arial"/>
          <w:color w:val="000000"/>
          <w:sz w:val="24"/>
        </w:rPr>
        <w:t>, NACA Technical Memorandum 1036, 1942.</w:t>
      </w:r>
    </w:p>
    <w:p>
      <w:pPr>
        <w:pStyle w:val="BodyText"/>
        <w:widowControl/>
        <w:rPr>
          <w:color w:val="000000"/>
        </w:rPr>
      </w:pPr>
      <w:r>
        <w:rPr>
          <w:rFonts w:eastAsia="Arial" w:cs="Arial"/>
          <w:color w:val="000000"/>
          <w:sz w:val="24"/>
        </w:rPr>
        <w:t>[3] A. ul Haque, W. Asrar and E. Sulaeman, “A Revisit to Munk-Multhopp's Method for Estimating the Pitching Moment of a Fuselage Immersed in a High Wing Flow,” AIAC-2017-066, 2017.</w:t>
      </w:r>
    </w:p>
    <w:p>
      <w:pPr>
        <w:pStyle w:val="BodyText"/>
        <w:widowControl/>
        <w:rPr>
          <w:color w:val="000000"/>
        </w:rPr>
      </w:pPr>
      <w:r>
        <w:rPr>
          <w:rFonts w:eastAsia="Arial" w:cs="Arial"/>
          <w:color w:val="000000"/>
          <w:sz w:val="24"/>
        </w:rPr>
        <w:t xml:space="preserve">[4] Royal Aeronautical Society, </w:t>
      </w:r>
      <w:r>
        <w:rPr>
          <w:rFonts w:eastAsia="Arial" w:cs="Arial"/>
          <w:i/>
          <w:iCs/>
          <w:color w:val="000000"/>
          <w:sz w:val="24"/>
        </w:rPr>
        <w:t>International Light Aircraft Design Competition Rules 2025/26</w:t>
      </w:r>
      <w:r>
        <w:rPr>
          <w:rFonts w:eastAsia="Arial" w:cs="Arial"/>
          <w:color w:val="000000"/>
          <w:sz w:val="24"/>
        </w:rPr>
        <w:t>, stability-and-control and Final Design Report mass-breakdown/validation requirements.</w:t>
      </w:r>
    </w:p>
    <w:p>
      <w:pPr>
        <w:pStyle w:val="BodyText"/>
        <w:widowControl/>
        <w:rPr>
          <w:color w:val="000000"/>
        </w:rPr>
      </w:pPr>
      <w:r>
        <w:rPr>
          <w:rFonts w:eastAsia="Arial" w:cs="Arial"/>
          <w:color w:val="000000"/>
          <w:sz w:val="24"/>
        </w:rPr>
        <w:t xml:space="preserve">[5] </w:t>
      </w:r>
      <w:r>
        <w:rPr>
          <w:rFonts w:eastAsia="Arial" w:cs="Arial"/>
          <w:i/>
          <w:iCs/>
          <w:color w:val="000000"/>
          <w:sz w:val="24"/>
        </w:rPr>
        <w:t>Tyche R2-T1 Conceptual Design Report</w:t>
      </w:r>
      <w:r>
        <w:rPr>
          <w:rFonts w:eastAsia="Arial" w:cs="Arial"/>
          <w:color w:val="000000"/>
          <w:sz w:val="24"/>
        </w:rPr>
        <w:t>, controlled 30-line Table 6.1 mass statement, Table 5.3 fuel statement, cabin arrangement, landing-gear stations and configuration definition.</w:t>
      </w:r>
    </w:p>
    <w:p>
      <w:pPr>
        <w:pStyle w:val="BodyText"/>
        <w:widowControl/>
        <w:rPr>
          <w:color w:val="000000"/>
        </w:rPr>
      </w:pPr>
      <w:r>
        <w:rPr>
          <w:rFonts w:eastAsia="Arial" w:cs="Arial"/>
          <w:color w:val="000000"/>
          <w:sz w:val="24"/>
        </w:rPr>
        <w:t>[6] Tyche R2-T1 G1.3 analysis-ready geometry record, frozen 10.750 m seven-station fuselage and 5.90 m quarter-chord tail-arm definition.</w:t>
      </w:r>
    </w:p>
    <w:p>
      <w:pPr>
        <w:pStyle w:val="BodyText"/>
        <w:widowControl/>
        <w:rPr/>
      </w:pPr>
      <w:r>
        <w:rPr>
          <w:rFonts w:eastAsia="Arial" w:cs="Arial"/>
          <w:color w:val="000000"/>
          <w:sz w:val="24"/>
        </w:rPr>
        <w:t xml:space="preserve">[7] </w:t>
      </w:r>
      <w:r>
        <w:rPr>
          <w:rStyle w:val="VerbatimChar"/>
          <w:rFonts w:eastAsia="Arial" w:cs="Arial"/>
          <w:color w:val="000000"/>
          <w:sz w:val="24"/>
        </w:rPr>
        <w:t>G5_CGSM_ALPHA_M2_P2(1).csv</w:t>
      </w:r>
      <w:r>
        <w:rPr>
          <w:rFonts w:eastAsia="Arial" w:cs="Arial"/>
          <w:color w:val="000000"/>
          <w:sz w:val="24"/>
        </w:rPr>
        <w:t>, SM6.1 five-point local static-stability sweep.</w:t>
      </w:r>
    </w:p>
    <w:p>
      <w:pPr>
        <w:pStyle w:val="BodyText"/>
        <w:widowControl/>
        <w:rPr/>
      </w:pPr>
      <w:r>
        <w:rPr>
          <w:rFonts w:eastAsia="Arial" w:cs="Arial"/>
          <w:color w:val="000000"/>
          <w:sz w:val="24"/>
        </w:rPr>
        <w:t xml:space="preserve">[8] </w:t>
      </w:r>
      <w:r>
        <w:rPr>
          <w:rStyle w:val="VerbatimChar"/>
          <w:rFonts w:eastAsia="Arial" w:cs="Arial"/>
          <w:color w:val="000000"/>
          <w:sz w:val="24"/>
        </w:rPr>
        <w:t>G5_CGSM_XREF390_CHECK.csv</w:t>
      </w:r>
      <w:r>
        <w:rPr>
          <w:rFonts w:eastAsia="Arial" w:cs="Arial"/>
          <w:color w:val="000000"/>
          <w:sz w:val="24"/>
        </w:rPr>
        <w:t>, SM6.2 moment-reference invariance audit.</w:t>
      </w:r>
    </w:p>
    <w:p>
      <w:pPr>
        <w:pStyle w:val="BodyText"/>
        <w:widowControl/>
        <w:rPr/>
      </w:pPr>
      <w:r>
        <w:rPr>
          <w:rFonts w:eastAsia="Arial" w:cs="Arial"/>
          <w:color w:val="000000"/>
          <w:sz w:val="24"/>
        </w:rPr>
        <w:t xml:space="preserve">[9] </w:t>
      </w:r>
      <w:r>
        <w:rPr>
          <w:rStyle w:val="VerbatimChar"/>
          <w:rFonts w:eastAsia="Arial" w:cs="Arial"/>
          <w:color w:val="000000"/>
          <w:sz w:val="24"/>
        </w:rPr>
        <w:t>G5_SM63_WING_ONLY_ALPHA_M2_P2.csv</w:t>
      </w:r>
      <w:r>
        <w:rPr>
          <w:rFonts w:eastAsia="Arial" w:cs="Arial"/>
          <w:color w:val="000000"/>
          <w:sz w:val="24"/>
        </w:rPr>
        <w:t>, SM6.3A MainWing-only support run.</w:t>
      </w:r>
    </w:p>
    <w:p>
      <w:pPr>
        <w:pStyle w:val="BodyText"/>
        <w:widowControl/>
        <w:spacing w:before="0" w:after="120"/>
        <w:rPr>
          <w:color w:val="000000"/>
        </w:rPr>
      </w:pPr>
      <w:r>
        <w:rPr>
          <w:rFonts w:eastAsia="Arial" w:cs="Arial"/>
          <w:color w:val="000000"/>
          <w:sz w:val="24"/>
        </w:rPr>
        <w:t xml:space="preserve">[10] </w:t>
      </w:r>
      <w:r>
        <w:rPr>
          <w:rFonts w:eastAsia="Arial" w:cs="Arial"/>
          <w:i/>
          <w:iCs/>
          <w:color w:val="000000"/>
          <w:sz w:val="24"/>
        </w:rPr>
        <w:t>Tyche R2-T1 SM6.3B Verification and SM6.4 CG-Envelope Closure</w:t>
      </w:r>
      <w:r>
        <w:rPr>
          <w:rFonts w:eastAsia="Arial" w:cs="Arial"/>
          <w:color w:val="000000"/>
          <w:sz w:val="24"/>
        </w:rPr>
        <w:t>, verified antecedent analysis record, 21 August 2026.</w:t>
      </w:r>
      <w:bookmarkEnd w:id="21"/>
    </w:p>
    <w:sectPr>
      <w:headerReference w:type="even" r:id="rId3"/>
      <w:headerReference w:type="first" r:id="rId4"/>
      <w:footerReference w:type="even" r:id="rId5"/>
      <w:footerReference w:type="default" r:id="rId6"/>
      <w:footerReference w:type="first" r:id="rId7"/>
      <w:type w:val="nextPage"/>
      <w:pgSz w:w="12240" w:h="15840"/>
      <w:pgMar w:left="936" w:right="936" w:gutter="0" w:header="0" w:top="403" w:footer="403" w:bottom="93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rFonts w:eastAsia="Arial" w:cs="Arial"/>
        <w:color w:val="5A6772"/>
        <w:sz w:val="18"/>
      </w:rPr>
      <w:t xml:space="preserve">Page </w:t>
    </w:r>
    <w:r>
      <w:rPr>
        <w:rFonts w:eastAsia="Arial" w:cs="Arial"/>
        <w:color w:val="203040"/>
        <w:sz w:val="24"/>
      </w:rPr>
      <w:fldChar w:fldCharType="begin"/>
    </w:r>
    <w:r>
      <w:rPr>
        <w:rFonts w:eastAsia="Arial" w:cs="Arial"/>
        <w:color w:val="203040"/>
        <w:sz w:val="24"/>
      </w:rPr>
      <w:instrText xml:space="preserve"> PAGE </w:instrText>
    </w:r>
    <w:r>
      <w:rPr>
        <w:rFonts w:eastAsia="Arial" w:cs="Arial"/>
        <w:color w:val="203040"/>
        <w:sz w:val="24"/>
      </w:rPr>
      <w:fldChar w:fldCharType="separate"/>
    </w:r>
    <w:r>
      <w:rPr>
        <w:rFonts w:eastAsia="Arial" w:cs="Arial"/>
        <w:color w:val="203040"/>
        <w:sz w:val="24"/>
      </w:rPr>
      <w:t>12</w:t>
    </w:r>
    <w:r>
      <w:rPr>
        <w:rFonts w:eastAsia="Arial" w:cs="Arial"/>
        <w:color w:val="203040"/>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rFonts w:eastAsia="Arial" w:cs="Arial"/>
        <w:color w:val="5A6772"/>
        <w:sz w:val="18"/>
      </w:rPr>
      <w:t xml:space="preserve">Page </w:t>
    </w:r>
    <w:r>
      <w:rPr>
        <w:rFonts w:eastAsia="Arial" w:cs="Arial"/>
        <w:color w:val="203040"/>
        <w:sz w:val="24"/>
      </w:rPr>
      <w:fldChar w:fldCharType="begin"/>
    </w:r>
    <w:r>
      <w:rPr>
        <w:rFonts w:eastAsia="Arial" w:cs="Arial"/>
        <w:color w:val="203040"/>
        <w:sz w:val="24"/>
      </w:rPr>
      <w:instrText xml:space="preserve"> PAGE </w:instrText>
    </w:r>
    <w:r>
      <w:rPr>
        <w:rFonts w:eastAsia="Arial" w:cs="Arial"/>
        <w:color w:val="203040"/>
        <w:sz w:val="24"/>
      </w:rPr>
      <w:fldChar w:fldCharType="separate"/>
    </w:r>
    <w:r>
      <w:rPr>
        <w:rFonts w:eastAsia="Arial" w:cs="Arial"/>
        <w:color w:val="203040"/>
        <w:sz w:val="24"/>
      </w:rPr>
      <w:t>12</w:t>
    </w:r>
    <w:r>
      <w:rPr>
        <w:rFonts w:eastAsia="Arial" w:cs="Arial"/>
        <w:color w:val="203040"/>
        <w:sz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9" w:before="0" w:after="120"/>
      <w:jc w:val="left"/>
    </w:pPr>
    <w:rPr>
      <w:rFonts w:ascii="Arial" w:hAnsi="Arial" w:eastAsia="Arial" w:cs="Arial"/>
      <w:b w:val="false"/>
      <w:color w:val="203040"/>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widowControl/>
      <w:spacing w:lineRule="auto" w:line="259" w:before="0" w:after="120"/>
    </w:pPr>
    <w:rPr>
      <w:rFonts w:ascii="Arial" w:hAnsi="Arial" w:eastAsia="Arial" w:cs="Arial"/>
      <w:b w:val="false"/>
      <w:color w:val="203040"/>
      <w:sz w:val="24"/>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widowControl/>
      <w:spacing w:lineRule="auto" w:line="259" w:before="0" w:after="120"/>
    </w:pPr>
    <w:rPr>
      <w:rFonts w:ascii="Arial" w:hAnsi="Arial" w:eastAsia="Arial" w:cs="Arial"/>
      <w:b w:val="false"/>
      <w:color w:val="203040"/>
      <w:sz w:val="24"/>
    </w:rPr>
  </w:style>
  <w:style w:type="paragraph" w:styleId="Compact" w:customStyle="1">
    <w:name w:val="Compact"/>
    <w:basedOn w:val="BodyText"/>
    <w:qFormat/>
    <w:pPr>
      <w:widowControl/>
      <w:spacing w:lineRule="auto" w:line="250" w:before="0" w:after="80"/>
    </w:pPr>
    <w:rPr>
      <w:rFonts w:ascii="Arial" w:hAnsi="Arial" w:eastAsia="Arial" w:cs="Arial"/>
      <w:b w:val="false"/>
      <w:color w:val="203040"/>
      <w:sz w:val="24"/>
    </w:rPr>
  </w:style>
  <w:style w:type="paragraph" w:styleId="Title">
    <w:name w:val="Title"/>
    <w:basedOn w:val="Normal"/>
    <w:next w:val="BodyText"/>
    <w:qFormat/>
    <w:pPr>
      <w:keepNext w:val="true"/>
      <w:keepLines/>
      <w:widowControl/>
      <w:spacing w:lineRule="auto" w:line="240" w:before="0" w:after="80"/>
      <w:jc w:val="center"/>
    </w:pPr>
    <w:rPr>
      <w:rFonts w:ascii="Calibri" w:hAnsi="Calibri" w:eastAsia="" w:cs="" w:asciiTheme="majorHAnsi" w:cstheme="majorBidi" w:eastAsiaTheme="majorEastAsia" w:hAnsiTheme="majorHAnsi"/>
      <w:b/>
      <w:bCs/>
      <w:color w:val="1F4E79"/>
      <w:sz w:val="44"/>
      <w:szCs w:val="36"/>
    </w:rPr>
  </w:style>
  <w:style w:type="paragraph" w:styleId="Subtitle">
    <w:name w:val="Subtitle"/>
    <w:basedOn w:val="Title"/>
    <w:next w:val="BodyText"/>
    <w:qFormat/>
    <w:pPr>
      <w:keepNext w:val="true"/>
      <w:keepLines/>
      <w:widowControl/>
      <w:spacing w:lineRule="auto" w:line="240" w:before="0" w:after="200"/>
      <w:jc w:val="center"/>
    </w:pPr>
    <w:rPr>
      <w:rFonts w:ascii="Arial" w:hAnsi="Arial" w:eastAsia="Arial" w:cs="Arial"/>
      <w:b w:val="false"/>
      <w:color w:val="203040"/>
      <w:sz w:val="30"/>
      <w:szCs w:val="30"/>
    </w:rPr>
  </w:style>
  <w:style w:type="paragraph" w:styleId="Author" w:customStyle="1">
    <w:name w:val="Author"/>
    <w:next w:val="BodyText"/>
    <w:qFormat/>
    <w:pPr>
      <w:keepNext w:val="true"/>
      <w:keepLines/>
      <w:widowControl/>
      <w:bidi w:val="0"/>
      <w:spacing w:lineRule="auto" w:line="240" w:before="0" w:after="40"/>
      <w:jc w:val="center"/>
    </w:pPr>
    <w:rPr>
      <w:rFonts w:ascii="Arial" w:hAnsi="Arial" w:eastAsia="Arial" w:cs="Arial"/>
      <w:b w:val="false"/>
      <w:color w:val="5A6772"/>
      <w:kern w:val="0"/>
      <w:sz w:val="24"/>
      <w:szCs w:val="24"/>
      <w:lang w:val="en-US" w:eastAsia="en-US" w:bidi="ar-SA"/>
    </w:rPr>
  </w:style>
  <w:style w:type="paragraph" w:styleId="Date">
    <w:name w:val="Date"/>
    <w:next w:val="BodyText"/>
    <w:qFormat/>
    <w:pPr>
      <w:keepNext w:val="true"/>
      <w:keepLines/>
      <w:widowControl/>
      <w:bidi w:val="0"/>
      <w:spacing w:lineRule="auto" w:line="240" w:before="0" w:after="200"/>
      <w:jc w:val="center"/>
    </w:pPr>
    <w:rPr>
      <w:rFonts w:ascii="Arial" w:hAnsi="Arial" w:eastAsia="Arial" w:cs="Arial"/>
      <w:b w:val="false"/>
      <w:color w:val="5A6772"/>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pPr>
      <w:spacing w:before="0" w:after="0" w:line="240" w:lineRule="auto"/>
    </w:pPr>
    <w:rPr>
      <w:b w:val="0"/>
      <w:sz w:val="24"/>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LibreOffice/26.2.5.2$Windows_X86_64 LibreOffice_project/cd7284b4cbbfeb507e630c1aac019f4157393acb</Application>
  <AppVersion>15.0000</AppVersion>
  <Pages>14</Pages>
  <Words>3350</Words>
  <Characters>19092</Characters>
  <CharactersWithSpaces>21609</CharactersWithSpaces>
  <Paragraphs>867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2026-08-21T18:41:30Z</dcterms:created>
  <dc:creator>Tyche Design Team</dc:creator>
  <dc:description/>
  <cp:keywords>Tyche R2-T1 CG static margin Munk-Multhopp loading envelope VMC</cp:keywords>
  <dc:language>en-IN</dc:language>
  <cp:lastModifiedBy/>
  <dcterms:modified xsi:type="dcterms:W3CDTF">2026-08-22T00:19:18Z</dcterms:modified>
  <cp:revision>1</cp:revision>
  <dc:subject>Final integrated static-margin, mass-arm and loading-cloud record before VMC closure</dc:subject>
  <dc:title>Tyche R2-T1 SM6.3B Verification and Integrated SM6.4 CG Closure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August 2026</vt:lpwstr>
  </property>
  <property fmtid="{D5CDD505-2E9C-101B-9397-08002B2CF9AE}" pid="3" name="subtitle">
    <vt:lpwstr>SM6.3B Verification and Integrated SM6.4 Mass-Properties / CG-Envelope Closure</vt:lpwstr>
  </property>
</Properties>
</file>