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40"/>
        </w:rPr>
        <w:t>TYCHE R2-T1</w:t>
      </w:r>
    </w:p>
    <w:p>
      <w:pPr>
        <w:spacing w:before="0" w:after="60"/>
        <w:jc w:val="center"/>
      </w:pPr>
      <w:r>
        <w:rPr>
          <w:rFonts w:ascii="Arial" w:hAnsi="Arial"/>
          <w:b/>
          <w:sz w:val="44"/>
        </w:rPr>
        <w:t>SM6.3B Verification and SM6.4 CG-Envelope Closure</w:t>
      </w:r>
    </w:p>
    <w:p>
      <w:pPr>
        <w:spacing w:before="0" w:after="140"/>
        <w:jc w:val="center"/>
      </w:pPr>
      <w:r>
        <w:rPr>
          <w:rFonts w:ascii="Arial" w:hAnsi="Arial"/>
          <w:b/>
          <w:sz w:val="25"/>
        </w:rPr>
        <w:t>Corrected Munk-Multhopp audit, provisional 10%-MAC boundary, and mass-loading evidence gate</w:t>
      </w:r>
    </w:p>
    <w:tbl>
      <w:tblPr>
        <w:tblStyle w:val="TableGrid"/>
        <w:tblW w:type="dxa" w:w="10080"/>
        <w:jc w:val="left"/>
        <w:tblLayout w:type="fixed"/>
        <w:tblLook w:firstColumn="1" w:firstRow="1" w:lastColumn="0" w:lastRow="0" w:noHBand="0" w:noVBand="1" w:val="04A0"/>
        <w:tblInd w:w="0" w:type="dxa"/>
      </w:tblPr>
      <w:tblGrid>
        <w:gridCol w:w="4850"/>
        <w:gridCol w:w="5230"/>
      </w:tblGrid>
      <w:tr>
        <w:trPr>
          <w:tblHeader w:val="true"/>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20"/>
              </w:rPr>
              <w:t>Headline quantity</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20"/>
              </w:rPr>
              <w:t>Verified result</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SM6.3B equation and central arithmetic</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20"/>
              </w:rPr>
              <w:t>PASS - independently reproduced</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Fuselage Cₘα correction</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+0.34028 rad⁻¹ (+0.005939 deg⁻¹)</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Fuselage-corrected Cₘα</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-0.83324 rad⁻¹</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Fuselage-corrected neutral point</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FS 4.02894 m = 52.04% MAC</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Static margin at FS 3.600 / 3.900</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22.80% / 6.86% MAC</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Central aft-CG station for 10% MAC</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FS 3.84084 m = 42.04% MAC</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Defined 20-region numerical screen</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FS 3.83778 m aft limit</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SM6.4 actual loading-cloud calculation</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20"/>
              </w:rPr>
              <w:t>HOLD - component mass arms are absent</w:t>
            </w:r>
          </w:p>
        </w:tc>
      </w:tr>
      <w:tr>
        <w:trPr>
          <w:trHeight w:hRule="atLeast"/>
        </w:trPr>
        <w:tc>
          <w:tcPr>
            <w:tcW w:type="dxa" w:w="4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Overall 06_CG_Static_Margin disposition</w:t>
            </w:r>
          </w:p>
        </w:tc>
        <w:tc>
          <w:tcPr>
            <w:tcW w:type="dxa" w:w="5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20"/>
              </w:rPr>
              <w:t>OPEN - aft-CG/tail-sizing gate reopened</w:t>
            </w:r>
          </w:p>
        </w:tc>
      </w:tr>
    </w:tbl>
    <w:p>
      <w:pPr>
        <w:spacing w:after="0" w:before="0"/>
      </w:pPr>
    </w:p>
    <w:p>
      <w:r>
        <w:rPr>
          <w:rFonts w:ascii="Arial" w:hAnsi="Arial"/>
          <w:b/>
          <w:sz w:val="22"/>
        </w:rPr>
        <w:t xml:space="preserve">Engineering conclusion. </w:t>
      </w:r>
      <w:r>
        <w:rPr>
          <w:rFonts w:ascii="Arial" w:hAnsi="Arial"/>
          <w:sz w:val="22"/>
        </w:rPr>
        <w:t>The original 14-region Munk-Multhopp arithmetic is correct and the current FS 3.900 m aft design boundary fails the 10%-MAC gate. The prior coarse/fine sensitivity rows are replaced here because their alternative segment boundaries were not recorded. Reproducible 11-, 14-, and 20-region meshes all retain the same FAIL conclusion. SM6.4 cannot demonstrate an actual loading-envelope pass because the controlled R2-T1 report explicitly leaves the component mass-arm ledger open. Accordingly, FS 3.900 m is not retained as an acceptable aft boundary; the design gate is reopened pending a complete loading ledger and body/nacelle/propeller validation.</w:t>
      </w:r>
    </w:p>
    <w:p>
      <w:pPr>
        <w:pStyle w:val="Heading1"/>
        <w:keepNext/>
        <w:keepLines/>
      </w:pPr>
      <w:r>
        <w:t>1. Verification scope and evidence basis</w:t>
      </w:r>
    </w:p>
    <w:p>
      <w:r>
        <w:rPr>
          <w:rFonts w:ascii="Arial" w:hAnsi="Arial"/>
          <w:sz w:val="22"/>
        </w:rPr>
        <w:t>This record verifies the supplied SM6.3B document at four levels: source-equation fidelity, controlled-input consistency, independent station arithmetic, and conclusion logic. It then advances SM6.4 only as far as the available controlled evidence permits. Numerical precision is not treated as aerodynamic validation: the Munk-Multhopp result remains a conceptual fuselage correction to the reference-invariant thin lifting-system solution.</w:t>
      </w:r>
    </w:p>
    <w:tbl>
      <w:tblPr>
        <w:tblStyle w:val="TableGrid"/>
        <w:tblW w:type="dxa" w:w="10080"/>
        <w:jc w:val="left"/>
        <w:tblLayout w:type="fixed"/>
        <w:tblLook w:firstColumn="1" w:firstRow="1" w:lastColumn="0" w:lastRow="0" w:noHBand="0" w:noVBand="1" w:val="04A0"/>
        <w:tblInd w:w="0" w:type="dxa"/>
      </w:tblPr>
      <w:tblGrid>
        <w:gridCol w:w="2750"/>
        <w:gridCol w:w="5450"/>
        <w:gridCol w:w="1880"/>
      </w:tblGrid>
      <w:tr>
        <w:trPr>
          <w:tblHeader w:val="true"/>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Audit item</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Finding</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Disposition</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Governing strip integral</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Matches Gudmundsson Appendix C1 discrete form</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36.5 constant and units</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Equation returns per degree; multiplied by 180/π</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Forward upwash curves</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Coefficients and x/c branch selection reproduced</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Aft downwash relation</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xᵢ/lₕ [1 - dε/dα] reproduced</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Wing-covered interval</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Root LE to root TE assigned zero per method map</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Frozen station interpolation</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Piecewise-linear width; endpoint-average w_f</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14-region central result</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Integral and all downstream results reproduced</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Original sensitivity rows</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Alternative boundaries not stated; not reproducible</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REPLACED</w:t>
            </w:r>
          </w:p>
        </w:tc>
      </w:tr>
      <w:tr>
        <w:trPr>
          <w:trHeight w:hRule="atLeast"/>
        </w:trPr>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Complete-aircraft status</w:t>
            </w:r>
          </w:p>
        </w:tc>
        <w:tc>
          <w:tcPr>
            <w:tcW w:type="dxa" w:w="54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Nacelle, propeller and fuselage-lift effects omitted</w:t>
            </w:r>
          </w:p>
        </w:tc>
        <w:tc>
          <w:tcPr>
            <w:tcW w:type="dxa" w:w="1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HOLD</w:t>
            </w:r>
          </w:p>
        </w:tc>
      </w:tr>
    </w:tbl>
    <w:p>
      <w:pPr>
        <w:spacing w:after="0" w:before="0"/>
      </w:pPr>
    </w:p>
    <w:p>
      <w:pPr>
        <w:pStyle w:val="Heading1"/>
        <w:keepNext/>
        <w:keepLines/>
      </w:pPr>
      <w:r>
        <w:t>1.1 Controlled quantities</w:t>
      </w:r>
    </w:p>
    <w:tbl>
      <w:tblPr>
        <w:tblStyle w:val="TableGrid"/>
        <w:tblW w:type="dxa" w:w="10080"/>
        <w:jc w:val="left"/>
        <w:tblLayout w:type="fixed"/>
        <w:tblLook w:firstColumn="1" w:firstRow="1" w:lastColumn="0" w:lastRow="0" w:noHBand="0" w:noVBand="1" w:val="04A0"/>
        <w:tblInd w:w="0" w:type="dxa"/>
      </w:tblPr>
      <w:tblGrid>
        <w:gridCol w:w="4000"/>
        <w:gridCol w:w="3330"/>
        <w:gridCol w:w="2750"/>
      </w:tblGrid>
      <w:tr>
        <w:trPr>
          <w:tblHeader w:val="true"/>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Controlled quantity</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Value</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Evidence</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Wing reference area, S</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30.000 m²</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G5 / SM6.1</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Reference chord, c̄</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1.881 m</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G5 / SM6.1</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Wing span, b</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16.400 m</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G1.3</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Aspect ratio</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8.96533</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Derived</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Moment reference</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FS 3.750 m</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SM6.1</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MAC leading edge</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FS 3.050 m</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G1.3</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Wing root LE / TE</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FS 2.930079 / 5.290425 m</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G1.3</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HT aerodynamic centre</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FS 9.420166 m</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G1.3</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TE-to-HT-AC distance, lₕ</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4.129741 m</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Derived</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MainWing-only C_Lα,w</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4.88866 rad⁻¹</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SM6.3A</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Lifting-system C_Lα</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5.61880 rad⁻¹</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SM6.1</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Lifting-system Cₘα</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-1.17352 rad⁻¹</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SM6.1</w:t>
            </w:r>
          </w:p>
        </w:tc>
      </w:tr>
      <w:tr>
        <w:trPr>
          <w:trHeight w:hRule="atLeast"/>
        </w:trPr>
        <w:tc>
          <w:tcPr>
            <w:tcW w:type="dxa" w:w="4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Lifting-system neutral point</w:t>
            </w:r>
          </w:p>
        </w:tc>
        <w:tc>
          <w:tcPr>
            <w:tcW w:type="dxa" w:w="33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FS 4.14286 m</w:t>
            </w:r>
          </w:p>
        </w:tc>
        <w:tc>
          <w:tcPr>
            <w:tcW w:type="dxa" w:w="27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SM6.1 / SM6.2</w:t>
            </w:r>
          </w:p>
        </w:tc>
      </w:tr>
    </w:tbl>
    <w:p>
      <w:pPr>
        <w:spacing w:after="0" w:before="0"/>
      </w:pPr>
    </w:p>
    <w:p>
      <w:pPr>
        <w:pStyle w:val="Heading1"/>
        <w:keepNext/>
        <w:keepLines/>
      </w:pPr>
      <w:r>
        <w:t>2. Verified Munk-Multhopp methodology</w:t>
      </w:r>
    </w:p>
    <w:p>
      <w:r>
        <w:rPr>
          <w:rFonts w:ascii="Arial" w:hAnsi="Arial"/>
          <w:sz w:val="22"/>
        </w:rPr>
        <w:t>Gudmundsson's Appendix C1 implements the Munk-Multhopp fuselage or nacelle correction by dividing the body into forward, wing-covered, and aft regions. The angle-of-attack-dependent pitching-moment slope is computed from local body width, local flow-angle gradient, and segment length. With dimensions used consistently in metres, the dimensional ratio w_f²Δx/(Sc̄) is unchanged.</w:t>
      </w:r>
    </w:p>
    <w:p>
      <w:pPr>
        <w:pStyle w:val="Equation"/>
        <w:keepNext/>
        <w:keepLines/>
        <w:jc w:val="center"/>
      </w:pPr>
      <w:r>
        <w:rPr>
          <w:rFonts w:ascii="Cambria Math" w:hAnsi="Cambria Math"/>
          <w:sz w:val="22"/>
        </w:rPr>
        <w:t>Cₘα,FUS,deg = [1 / (36.5 S c̄)] Σᵢ [w_f,i² (∂β/∂α)ᵢ Δxᵢ]</w:t>
      </w:r>
      <w:r>
        <w:rPr>
          <w:rFonts w:ascii="Arial" w:hAnsi="Arial"/>
          <w:sz w:val="20"/>
        </w:rPr>
        <w:t xml:space="preserve">    (SM6.3B-1)</w:t>
      </w:r>
    </w:p>
    <w:p>
      <w:pPr>
        <w:pStyle w:val="Equation"/>
        <w:keepNext/>
        <w:keepLines/>
        <w:jc w:val="center"/>
      </w:pPr>
      <w:r>
        <w:rPr>
          <w:rFonts w:ascii="Cambria Math" w:hAnsi="Cambria Math"/>
          <w:sz w:val="22"/>
        </w:rPr>
        <w:t>Cₘα,FUS,rad = (180/π) Cₘα,FUS,deg</w:t>
      </w:r>
      <w:r>
        <w:rPr>
          <w:rFonts w:ascii="Arial" w:hAnsi="Arial"/>
          <w:sz w:val="20"/>
        </w:rPr>
        <w:t xml:space="preserve">    (SM6.3B-2)</w:t>
      </w:r>
    </w:p>
    <w:p>
      <w:r>
        <w:rPr>
          <w:rFonts w:ascii="Arial" w:hAnsi="Arial"/>
          <w:sz w:val="22"/>
        </w:rPr>
        <w:t>The 36.5 form is the degree-based implementation: the slope from Equation (SM6.3B-1) is per degree. The previous document handled this conversion correctly.</w:t>
      </w:r>
    </w:p>
    <w:p>
      <w:pPr>
        <w:pStyle w:val="Heading2"/>
        <w:keepNext/>
        <w:keepLines/>
      </w:pPr>
      <w:r>
        <w:t>2.1 Wing downwash input</w:t>
      </w:r>
    </w:p>
    <w:p>
      <w:pPr>
        <w:pStyle w:val="Equation"/>
        <w:keepNext/>
        <w:keepLines/>
        <w:jc w:val="center"/>
      </w:pPr>
      <w:r>
        <w:rPr>
          <w:rFonts w:ascii="Cambria Math" w:hAnsi="Cambria Math"/>
          <w:sz w:val="22"/>
        </w:rPr>
        <w:t>AR = b²/S = 16.4²/30.0 = 8.96533</w:t>
      </w:r>
      <w:r>
        <w:rPr>
          <w:rFonts w:ascii="Arial" w:hAnsi="Arial"/>
          <w:sz w:val="20"/>
        </w:rPr>
        <w:t xml:space="preserve">    (SM6.3B-3)</w:t>
      </w:r>
    </w:p>
    <w:p>
      <w:pPr>
        <w:pStyle w:val="Equation"/>
        <w:keepNext/>
        <w:keepLines/>
        <w:jc w:val="center"/>
      </w:pPr>
      <w:r>
        <w:rPr>
          <w:rFonts w:ascii="Cambria Math" w:hAnsi="Cambria Math"/>
          <w:sz w:val="22"/>
        </w:rPr>
        <w:t>dε/dα = 2C_Lα,w/(πAR) = 2(4.88866)/[π(8.96533)] = 0.347139</w:t>
      </w:r>
      <w:r>
        <w:rPr>
          <w:rFonts w:ascii="Arial" w:hAnsi="Arial"/>
          <w:sz w:val="20"/>
        </w:rPr>
        <w:t xml:space="preserve">    (SM6.3B-4)</w:t>
      </w:r>
    </w:p>
    <w:p>
      <w:r>
        <w:rPr>
          <w:rFonts w:ascii="Arial" w:hAnsi="Arial"/>
          <w:sz w:val="22"/>
        </w:rPr>
        <w:t>This is the conceptual elliptical-wing approximation used only in the aft-region flow-angle relation; it is not applied uniformly to the forward body.</w:t>
      </w:r>
    </w:p>
    <w:p>
      <w:pPr>
        <w:pStyle w:val="Heading2"/>
        <w:keepNext/>
        <w:keepLines/>
      </w:pPr>
      <w:r>
        <w:t>2.2 Forward and aft flow-angle gradients</w:t>
      </w:r>
    </w:p>
    <w:p>
      <w:r>
        <w:rPr>
          <w:rFonts w:ascii="Arial" w:hAnsi="Arial"/>
          <w:sz w:val="22"/>
        </w:rPr>
        <w:t>For forward-body stations, x is the positive distance from the wing root leading edge to the segment midpoint. Curve 1 applies for x/c̄ ≥ 1; Curve 2 applies for x/c̄ &lt; 1.</w:t>
      </w:r>
    </w:p>
    <w:p>
      <w:pPr>
        <w:pStyle w:val="Equation"/>
        <w:keepNext/>
        <w:keepLines/>
        <w:jc w:val="center"/>
      </w:pPr>
      <w:r>
        <w:rPr>
          <w:rFonts w:ascii="Cambria Math" w:hAnsi="Cambria Math"/>
          <w:sz w:val="22"/>
        </w:rPr>
        <w:t>(∂β/∂α)₁ = 1.4758 - 0.40485(x/c̄) + 0.09107(x/c̄)²</w:t>
      </w:r>
      <w:r>
        <w:rPr>
          <w:rFonts w:ascii="Arial" w:hAnsi="Arial"/>
          <w:sz w:val="20"/>
        </w:rPr>
        <w:t xml:space="preserve">    (SM6.3B-5)</w:t>
      </w:r>
    </w:p>
    <w:p>
      <w:pPr>
        <w:pStyle w:val="Equation"/>
        <w:keepNext/>
        <w:keepLines/>
        <w:jc w:val="center"/>
      </w:pPr>
      <w:r>
        <w:rPr>
          <w:rFonts w:ascii="Cambria Math" w:hAnsi="Cambria Math"/>
          <w:sz w:val="22"/>
        </w:rPr>
        <w:t>(∂β/∂α)₂ = 1.74611(x/c̄)⁻⁰·⁴²⁵⁴</w:t>
      </w:r>
      <w:r>
        <w:rPr>
          <w:rFonts w:ascii="Arial" w:hAnsi="Arial"/>
          <w:sz w:val="20"/>
        </w:rPr>
        <w:t xml:space="preserve">    (SM6.3B-6)</w:t>
      </w:r>
    </w:p>
    <w:p>
      <w:r>
        <w:rPr>
          <w:rFonts w:ascii="Arial" w:hAnsi="Arial"/>
          <w:sz w:val="22"/>
        </w:rPr>
        <w:t>For aft-body stations, xᵢ is the distance aft of the wing root trailing edge and lₕ is the root-TE to horizontal-tail aerodynamic-centre distance.</w:t>
      </w:r>
    </w:p>
    <w:p>
      <w:pPr>
        <w:pStyle w:val="Equation"/>
        <w:keepNext/>
        <w:keepLines/>
        <w:jc w:val="center"/>
      </w:pPr>
      <w:r>
        <w:rPr>
          <w:rFonts w:ascii="Cambria Math" w:hAnsi="Cambria Math"/>
          <w:sz w:val="22"/>
        </w:rPr>
        <w:t>(∂β/∂α)ᵢ = (xᵢ/lₕ)[1 - dε/dα]</w:t>
      </w:r>
      <w:r>
        <w:rPr>
          <w:rFonts w:ascii="Arial" w:hAnsi="Arial"/>
          <w:sz w:val="20"/>
        </w:rPr>
        <w:t xml:space="preserve">    (SM6.3B-7)</w:t>
      </w:r>
    </w:p>
    <w:p>
      <w:r>
        <w:rPr>
          <w:rFonts w:ascii="Arial" w:hAnsi="Arial"/>
          <w:sz w:val="22"/>
        </w:rPr>
        <w:t>The root-wing-covered interval FS 2.930079 to 5.290425 m is retained as a zero-contribution row, consistent with the source implementation map. The upwash Curve 2 singularity as x/c̄ approaches zero is integrable but creates mesh-placement sensitivity; this is explicitly audited in Section 6.</w:t>
      </w:r>
    </w:p>
    <w:p>
      <w:pPr>
        <w:pStyle w:val="Heading2"/>
        <w:keepNext/>
        <w:keepLines/>
      </w:pPr>
      <w:r>
        <w:t>2.3 Neutral point and static margin</w:t>
      </w:r>
    </w:p>
    <w:p>
      <w:pPr>
        <w:pStyle w:val="Equation"/>
        <w:keepNext/>
        <w:keepLines/>
        <w:jc w:val="center"/>
      </w:pPr>
      <w:r>
        <w:rPr>
          <w:rFonts w:ascii="Cambria Math" w:hAnsi="Cambria Math"/>
          <w:sz w:val="22"/>
        </w:rPr>
        <w:t>Cₘα,corr = Cₘα,LS + Cₘα,FUS</w:t>
      </w:r>
      <w:r>
        <w:rPr>
          <w:rFonts w:ascii="Arial" w:hAnsi="Arial"/>
          <w:sz w:val="20"/>
        </w:rPr>
        <w:t xml:space="preserve">    (SM6.3B-8)</w:t>
      </w:r>
    </w:p>
    <w:p>
      <w:pPr>
        <w:pStyle w:val="Equation"/>
        <w:keepNext/>
        <w:keepLines/>
        <w:jc w:val="center"/>
      </w:pPr>
      <w:r>
        <w:rPr>
          <w:rFonts w:ascii="Cambria Math" w:hAnsi="Cambria Math"/>
          <w:sz w:val="22"/>
        </w:rPr>
        <w:t>x_NP,corr = x_ref - c̄(Cₘα,corr/C_Lα,LS)</w:t>
      </w:r>
      <w:r>
        <w:rPr>
          <w:rFonts w:ascii="Arial" w:hAnsi="Arial"/>
          <w:sz w:val="20"/>
        </w:rPr>
        <w:t xml:space="preserve">    (SM6.3B-9)</w:t>
      </w:r>
    </w:p>
    <w:p>
      <w:pPr>
        <w:pStyle w:val="Equation"/>
        <w:keepNext/>
        <w:keepLines/>
        <w:jc w:val="center"/>
      </w:pPr>
      <w:r>
        <w:rPr>
          <w:rFonts w:ascii="Cambria Math" w:hAnsi="Cambria Math"/>
          <w:sz w:val="22"/>
        </w:rPr>
        <w:t>SM(x_CG) = (x_NP,corr - x_CG)/c̄</w:t>
      </w:r>
      <w:r>
        <w:rPr>
          <w:rFonts w:ascii="Arial" w:hAnsi="Arial"/>
          <w:sz w:val="20"/>
        </w:rPr>
        <w:t xml:space="preserve">    (SM6.3B-10)</w:t>
      </w:r>
    </w:p>
    <w:p>
      <w:r>
        <w:rPr>
          <w:rFonts w:ascii="Arial" w:hAnsi="Arial"/>
          <w:sz w:val="22"/>
        </w:rPr>
        <w:t>No separate fuselage lift-curve-slope term is added in this conceptual implementation. Therefore the result is a fuselage-moment-corrected lifting-system neutral point, not a complete-aircraft CFD-equivalent neutral point.</w:t>
      </w:r>
    </w:p>
    <w:p>
      <w:pPr>
        <w:pStyle w:val="Heading1"/>
        <w:keepNext/>
        <w:keepLines/>
      </w:pPr>
      <w:r>
        <w:t>3. Frozen 10.750 m G1.3 fuselage geometry</w:t>
      </w:r>
    </w:p>
    <w:tbl>
      <w:tblPr>
        <w:tblStyle w:val="TableGrid"/>
        <w:tblW w:type="dxa" w:w="10080"/>
        <w:jc w:val="left"/>
        <w:tblLayout w:type="fixed"/>
        <w:tblLook w:firstColumn="1" w:firstRow="1" w:lastColumn="0" w:lastRow="0" w:noHBand="0" w:noVBand="1" w:val="04A0"/>
        <w:tblInd w:w="0" w:type="dxa"/>
      </w:tblPr>
      <w:tblGrid>
        <w:gridCol w:w="3400"/>
        <w:gridCol w:w="2200"/>
        <w:gridCol w:w="2240"/>
        <w:gridCol w:w="2240"/>
      </w:tblGrid>
      <w:tr>
        <w:trPr>
          <w:tblHeader w:val="true"/>
        </w:trPr>
        <w:tc>
          <w:tcPr>
            <w:tcW w:type="dxa" w:w="3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9"/>
              </w:rPr>
              <w:t>G1.3 station</w:t>
            </w:r>
          </w:p>
        </w:tc>
        <w:tc>
          <w:tcPr>
            <w:tcW w:type="dxa" w:w="2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9"/>
              </w:rPr>
              <w:t>FS x (m)</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9"/>
              </w:rPr>
              <w:t>Width (m)</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9"/>
              </w:rPr>
              <w:t>Height (m)</w:t>
            </w:r>
          </w:p>
        </w:tc>
      </w:tr>
      <w:tr>
        <w:trPr>
          <w:trHeight w:hRule="atLeast"/>
        </w:trPr>
        <w:tc>
          <w:tcPr>
            <w:tcW w:type="dxa" w:w="3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Nose point</w:t>
            </w:r>
          </w:p>
        </w:tc>
        <w:tc>
          <w:tcPr>
            <w:tcW w:type="dxa" w:w="2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0.0000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0.000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0.000</w:t>
            </w:r>
          </w:p>
        </w:tc>
      </w:tr>
      <w:tr>
        <w:trPr>
          <w:trHeight w:hRule="atLeast"/>
        </w:trPr>
        <w:tc>
          <w:tcPr>
            <w:tcW w:type="dxa" w:w="3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Nose</w:t>
            </w:r>
          </w:p>
        </w:tc>
        <w:tc>
          <w:tcPr>
            <w:tcW w:type="dxa" w:w="2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0.5375</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0.800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0.900</w:t>
            </w:r>
          </w:p>
        </w:tc>
      </w:tr>
      <w:tr>
        <w:trPr>
          <w:trHeight w:hRule="atLeast"/>
        </w:trPr>
        <w:tc>
          <w:tcPr>
            <w:tcW w:type="dxa" w:w="3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Cabin front</w:t>
            </w:r>
          </w:p>
        </w:tc>
        <w:tc>
          <w:tcPr>
            <w:tcW w:type="dxa" w:w="2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2.3650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1.550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1.700</w:t>
            </w:r>
          </w:p>
        </w:tc>
      </w:tr>
      <w:tr>
        <w:trPr>
          <w:trHeight w:hRule="atLeast"/>
        </w:trPr>
        <w:tc>
          <w:tcPr>
            <w:tcW w:type="dxa" w:w="3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Cabin rear</w:t>
            </w:r>
          </w:p>
        </w:tc>
        <w:tc>
          <w:tcPr>
            <w:tcW w:type="dxa" w:w="2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5.3750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1.550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1.700</w:t>
            </w:r>
          </w:p>
        </w:tc>
      </w:tr>
      <w:tr>
        <w:trPr>
          <w:trHeight w:hRule="atLeast"/>
        </w:trPr>
        <w:tc>
          <w:tcPr>
            <w:tcW w:type="dxa" w:w="3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Upsweep</w:t>
            </w:r>
          </w:p>
        </w:tc>
        <w:tc>
          <w:tcPr>
            <w:tcW w:type="dxa" w:w="2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7.0950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1.250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1.340</w:t>
            </w:r>
          </w:p>
        </w:tc>
      </w:tr>
      <w:tr>
        <w:trPr>
          <w:trHeight w:hRule="atLeast"/>
        </w:trPr>
        <w:tc>
          <w:tcPr>
            <w:tcW w:type="dxa" w:w="3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Tail boom</w:t>
            </w:r>
          </w:p>
        </w:tc>
        <w:tc>
          <w:tcPr>
            <w:tcW w:type="dxa" w:w="2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9.1375</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0.780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0.800</w:t>
            </w:r>
          </w:p>
        </w:tc>
      </w:tr>
      <w:tr>
        <w:trPr>
          <w:trHeight w:hRule="atLeast"/>
        </w:trPr>
        <w:tc>
          <w:tcPr>
            <w:tcW w:type="dxa" w:w="3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Tail point</w:t>
            </w:r>
          </w:p>
        </w:tc>
        <w:tc>
          <w:tcPr>
            <w:tcW w:type="dxa" w:w="2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10.7500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0.000</w:t>
            </w:r>
          </w:p>
        </w:tc>
        <w:tc>
          <w:tcPr>
            <w:tcW w:type="dxa" w:w="224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9"/>
              </w:rPr>
              <w:t>0.000</w:t>
            </w:r>
          </w:p>
        </w:tc>
      </w:tr>
    </w:tbl>
    <w:p>
      <w:pPr>
        <w:spacing w:after="0" w:before="0"/>
      </w:pPr>
    </w:p>
    <w:p>
      <w:r>
        <w:rPr>
          <w:rFonts w:ascii="Arial" w:hAnsi="Arial"/>
          <w:sz w:val="22"/>
        </w:rPr>
        <w:t>Widths are linearly interpolated between these frozen stations. Each segment uses the mean of its two endpoint widths, matching the source's strip implementation. Height is retained for geometry traceability but does not enter the stated width-based slope equation.</w:t>
      </w:r>
    </w:p>
    <w:p>
      <w:pPr>
        <w:pStyle w:val="Heading1"/>
        <w:keepNext/>
        <w:keepLines/>
      </w:pPr>
      <w:r>
        <w:t>4. Independent reproduction of the 14-region integration</w:t>
      </w:r>
    </w:p>
    <w:p>
      <w:r>
        <w:rPr>
          <w:rFonts w:ascii="Arial" w:hAnsi="Arial"/>
          <w:sz w:val="22"/>
        </w:rPr>
        <w:t>The supplied baseline uses five forward segments, one zero wing-covered interval, and eight aft segments. All values below were recomputed from the controlled inputs rather than copied from the document.</w:t>
      </w:r>
    </w:p>
    <w:p>
      <w:pPr>
        <w:pStyle w:val="Heading2"/>
        <w:keepNext/>
        <w:keepLines/>
      </w:pPr>
      <w:r>
        <w:t>4.1 Forward and wing-covered regions</w:t>
      </w:r>
    </w:p>
    <w:tbl>
      <w:tblPr>
        <w:tblStyle w:val="TableGrid"/>
        <w:tblW w:type="dxa" w:w="10080"/>
        <w:jc w:val="left"/>
        <w:tblLayout w:type="fixed"/>
        <w:tblLook w:firstColumn="1" w:firstRow="1" w:lastColumn="0" w:lastRow="0" w:noHBand="0" w:noVBand="1" w:val="04A0"/>
        <w:tblInd w:w="0" w:type="dxa"/>
      </w:tblPr>
      <w:tblGrid>
        <w:gridCol w:w="650"/>
        <w:gridCol w:w="2100"/>
        <w:gridCol w:w="1150"/>
        <w:gridCol w:w="1100"/>
        <w:gridCol w:w="1800"/>
        <w:gridCol w:w="1500"/>
        <w:gridCol w:w="1780"/>
      </w:tblGrid>
      <w:tr>
        <w:trPr>
          <w:tblHeader w:val="true"/>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ID</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x₀-x₁ (m)</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Δx</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w_f</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x/c̄ or xᵢ/lₕ</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∂β/∂α</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Term (m³)</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F1</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0.0000-0.5375</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0.5375</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0.4000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1.4148</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1.0853</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0.09334</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F2</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0.5375-1.1467</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0.6092</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0.9250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1.1100</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1.1386</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0.59351</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F3</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1.1467-1.7558</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0.6091</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1.1750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0.7862</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1.9343</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1.62659</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F4</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1.7558-2.3650</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0.6092</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1.4250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0.4623</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2.4243</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2.99902</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F5</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2.3650-2.9301</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0.5651</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1.5500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0.1502</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3.9112</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5.30982</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W</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2.9301-5.2904</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2.3603</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1.5500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0.0000</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0.00000</w:t>
            </w:r>
          </w:p>
        </w:tc>
      </w:tr>
    </w:tbl>
    <w:p>
      <w:pPr>
        <w:spacing w:after="0" w:before="0"/>
      </w:pPr>
    </w:p>
    <w:p>
      <w:r>
        <w:rPr>
          <w:rFonts w:ascii="Arial" w:hAnsi="Arial"/>
          <w:sz w:val="22"/>
        </w:rPr>
        <w:t>Forward-body integral = 10.622273 m³. The wing-covered interval contributes zero by definition in this implementation.</w:t>
      </w:r>
    </w:p>
    <w:p>
      <w:r>
        <w:br w:type="page"/>
      </w:r>
    </w:p>
    <w:p>
      <w:pPr>
        <w:pStyle w:val="Heading2"/>
        <w:keepNext/>
        <w:keepLines/>
      </w:pPr>
      <w:r>
        <w:t>4.2 Aft-body regions</w:t>
      </w:r>
    </w:p>
    <w:tbl>
      <w:tblPr>
        <w:tblStyle w:val="TableGrid"/>
        <w:tblW w:type="dxa" w:w="10080"/>
        <w:jc w:val="left"/>
        <w:tblLayout w:type="fixed"/>
        <w:tblLook w:firstColumn="1" w:firstRow="1" w:lastColumn="0" w:lastRow="0" w:noHBand="0" w:noVBand="1" w:val="04A0"/>
        <w:tblInd w:w="0" w:type="dxa"/>
      </w:tblPr>
      <w:tblGrid>
        <w:gridCol w:w="650"/>
        <w:gridCol w:w="2100"/>
        <w:gridCol w:w="1150"/>
        <w:gridCol w:w="1100"/>
        <w:gridCol w:w="1800"/>
        <w:gridCol w:w="1500"/>
        <w:gridCol w:w="1780"/>
      </w:tblGrid>
      <w:tr>
        <w:trPr>
          <w:tblHeader w:val="true"/>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ID</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x₀-x₁ (m)</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Δx</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w_f</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x/c̄ or xᵢ/lₕ</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∂β/∂α</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Term (m³)</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A1</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5.2904-5.3750</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0.0846</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1.5500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0.0102</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0.0067</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0.00136</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A2</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5.3750-6.2350</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0.8600</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1.4750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0.1246</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0.0813</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0.15221</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A3</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6.2350-7.0950</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0.8600</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1.3250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0.3328</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0.2173</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0.32809</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A4</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7.0950-8.1163</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1.0213</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1.1325</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0.5606</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0.3660</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0.47942</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A5</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8.1163-9.1375</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1.0212</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0.8975</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0.8079</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0.5275</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0.43387</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A6</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9.1375-9.6750</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0.5375</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0.6500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0.9966</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0.6507</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0.14776</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A7</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9.6750-10.2125</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0.5375</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0.3900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1.1268</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0.7356</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0.06014</w:t>
            </w:r>
          </w:p>
        </w:tc>
      </w:tr>
      <w:tr>
        <w:trPr>
          <w:trHeight w:hRule="atLeast"/>
        </w:trPr>
        <w:tc>
          <w:tcPr>
            <w:tcW w:type="dxa" w:w="6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A8</w:t>
            </w:r>
          </w:p>
        </w:tc>
        <w:tc>
          <w:tcPr>
            <w:tcW w:type="dxa" w:w="2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10.2125-10.7500</w:t>
            </w:r>
          </w:p>
        </w:tc>
        <w:tc>
          <w:tcPr>
            <w:tcW w:type="dxa" w:w="1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0.5375</w:t>
            </w:r>
          </w:p>
        </w:tc>
        <w:tc>
          <w:tcPr>
            <w:tcW w:type="dxa" w:w="1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0.1300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1.2569</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0.8206</w:t>
            </w:r>
          </w:p>
        </w:tc>
        <w:tc>
          <w:tcPr>
            <w:tcW w:type="dxa" w:w="17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0.00745</w:t>
            </w:r>
          </w:p>
        </w:tc>
      </w:tr>
    </w:tbl>
    <w:p>
      <w:pPr>
        <w:spacing w:after="0" w:before="0"/>
      </w:pPr>
    </w:p>
    <w:p>
      <w:r>
        <w:rPr>
          <w:rFonts w:ascii="Arial" w:hAnsi="Arial"/>
          <w:sz w:val="22"/>
        </w:rPr>
        <w:t>Aft-body integral = 1.610303 m³. Total integral = 12.232575 m³. The forward body supplies 86.8% and the aft body 13.2% of the positive destabilising integral.</w:t>
      </w:r>
    </w:p>
    <w:p>
      <w:pPr>
        <w:pStyle w:val="Heading1"/>
        <w:keepNext/>
        <w:keepLines/>
      </w:pPr>
      <w:r>
        <w:t>5. Verified central SM6.3B result</w:t>
      </w:r>
    </w:p>
    <w:p>
      <w:pPr>
        <w:pStyle w:val="Equation"/>
        <w:keepNext/>
        <w:keepLines/>
        <w:jc w:val="center"/>
      </w:pPr>
      <w:r>
        <w:rPr>
          <w:rFonts w:ascii="Cambria Math" w:hAnsi="Cambria Math"/>
          <w:sz w:val="22"/>
        </w:rPr>
        <w:t>Cₘα,FUS = 12.232575/[36.5(30.000)(1.881)] = +0.005939 deg⁻¹</w:t>
      </w:r>
      <w:r>
        <w:rPr>
          <w:rFonts w:ascii="Arial" w:hAnsi="Arial"/>
          <w:sz w:val="20"/>
        </w:rPr>
        <w:t xml:space="preserve">    (SM6.3B-11)</w:t>
      </w:r>
    </w:p>
    <w:p>
      <w:pPr>
        <w:pStyle w:val="Equation"/>
        <w:keepNext/>
        <w:keepLines/>
        <w:jc w:val="center"/>
      </w:pPr>
      <w:r>
        <w:rPr>
          <w:rFonts w:ascii="Cambria Math" w:hAnsi="Cambria Math"/>
          <w:sz w:val="22"/>
        </w:rPr>
        <w:t>Cₘα,FUS = +0.34028 rad⁻¹</w:t>
      </w:r>
      <w:r>
        <w:rPr>
          <w:rFonts w:ascii="Arial" w:hAnsi="Arial"/>
          <w:sz w:val="20"/>
        </w:rPr>
        <w:t xml:space="preserve">    (SM6.3B-12)</w:t>
      </w:r>
    </w:p>
    <w:p>
      <w:pPr>
        <w:pStyle w:val="Equation"/>
        <w:keepNext/>
        <w:keepLines/>
        <w:jc w:val="center"/>
      </w:pPr>
      <w:r>
        <w:rPr>
          <w:rFonts w:ascii="Cambria Math" w:hAnsi="Cambria Math"/>
          <w:sz w:val="22"/>
        </w:rPr>
        <w:t>Cₘα,corr = -1.17352 + 0.34028 = -0.83324 rad⁻¹</w:t>
      </w:r>
      <w:r>
        <w:rPr>
          <w:rFonts w:ascii="Arial" w:hAnsi="Arial"/>
          <w:sz w:val="20"/>
        </w:rPr>
        <w:t xml:space="preserve">    (SM6.3B-13)</w:t>
      </w:r>
    </w:p>
    <w:p>
      <w:pPr>
        <w:pStyle w:val="Equation"/>
        <w:keepNext/>
        <w:keepLines/>
        <w:jc w:val="center"/>
      </w:pPr>
      <w:r>
        <w:rPr>
          <w:rFonts w:ascii="Cambria Math" w:hAnsi="Cambria Math"/>
          <w:sz w:val="22"/>
        </w:rPr>
        <w:t>x_NP,corr = 3.750 - 1.881(-0.83324/5.61880) = 4.02894 m</w:t>
      </w:r>
      <w:r>
        <w:rPr>
          <w:rFonts w:ascii="Arial" w:hAnsi="Arial"/>
          <w:sz w:val="20"/>
        </w:rPr>
        <w:t xml:space="preserve">    (SM6.3B-14)</w:t>
      </w:r>
    </w:p>
    <w:tbl>
      <w:tblPr>
        <w:tblStyle w:val="TableGrid"/>
        <w:tblW w:type="dxa" w:w="10080"/>
        <w:jc w:val="left"/>
        <w:tblLayout w:type="fixed"/>
        <w:tblLook w:firstColumn="1" w:firstRow="1" w:lastColumn="0" w:lastRow="0" w:noHBand="0" w:noVBand="1" w:val="04A0"/>
        <w:tblInd w:w="0" w:type="dxa"/>
      </w:tblPr>
      <w:tblGrid>
        <w:gridCol w:w="3100"/>
        <w:gridCol w:w="1800"/>
        <w:gridCol w:w="1700"/>
        <w:gridCol w:w="3480"/>
      </w:tblGrid>
      <w:tr>
        <w:trPr>
          <w:tblHeader w:val="true"/>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Item</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FS x (m)</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 MAC</w:t>
            </w:r>
          </w:p>
        </w:tc>
        <w:tc>
          <w:tcPr>
            <w:tcW w:type="dxa" w:w="3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Assessment</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Lifting-system NP</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4.14286</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58.10%</w:t>
            </w:r>
          </w:p>
        </w:tc>
        <w:tc>
          <w:tcPr>
            <w:tcW w:type="dxa" w:w="3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Reference-invariant thin model</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Fuselage-corrected NP</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4.02894</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52.04%</w:t>
            </w:r>
          </w:p>
        </w:tc>
        <w:tc>
          <w:tcPr>
            <w:tcW w:type="dxa" w:w="3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Central conceptual estimate</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Forward design CG</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3.60000</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29.24%</w:t>
            </w:r>
          </w:p>
        </w:tc>
        <w:tc>
          <w:tcPr>
            <w:tcW w:type="dxa" w:w="3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 = 22.80%</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Current aft design CG</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3.90000</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45.19%</w:t>
            </w:r>
          </w:p>
        </w:tc>
        <w:tc>
          <w:tcPr>
            <w:tcW w:type="dxa" w:w="3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 = 6.86% - FAIL</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NP required for 10% at FS 3.900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4.08810</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55.19%</w:t>
            </w:r>
          </w:p>
        </w:tc>
        <w:tc>
          <w:tcPr>
            <w:tcW w:type="dxa" w:w="3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Required</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Central aft CG for exactly 10%</w:t>
            </w:r>
          </w:p>
        </w:tc>
        <w:tc>
          <w:tcPr>
            <w:tcW w:type="dxa" w:w="18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3.84084</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42.04%</w:t>
            </w:r>
          </w:p>
        </w:tc>
        <w:tc>
          <w:tcPr>
            <w:tcW w:type="dxa" w:w="3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Provisional central limit</w:t>
            </w:r>
          </w:p>
        </w:tc>
      </w:tr>
    </w:tbl>
    <w:p>
      <w:pPr>
        <w:spacing w:after="0" w:before="0"/>
      </w:pPr>
    </w:p>
    <w:p>
      <w:r>
        <w:rPr>
          <w:rFonts w:ascii="Arial" w:hAnsi="Arial"/>
          <w:b/>
          <w:sz w:val="22"/>
        </w:rPr>
        <w:t xml:space="preserve">10% MAC gate decision. </w:t>
      </w:r>
      <w:r>
        <w:rPr>
          <w:rFonts w:ascii="Arial" w:hAnsi="Arial"/>
          <w:sz w:val="22"/>
        </w:rPr>
        <w:t>FS 3.900 m retains only 6.86% MAC, which is 3.14 percentage points below the 10% floor. The corrected neutral point is 0.0592 m forward of the value required to retain FS 3.900. Holding the central corrected neutral point fixed requires moving the aft boundary forward by 0.0592 m to FS 3.84084 m.</w:t>
      </w:r>
    </w:p>
    <w:p>
      <w:r>
        <w:br w:type="page"/>
      </w:r>
    </w:p>
    <w:p>
      <w:pPr>
        <w:pStyle w:val="Heading1"/>
        <w:keepNext/>
        <w:keepLines/>
      </w:pPr>
      <w:r>
        <w:t>6. Corrected discretisation and model-form audit</w:t>
      </w:r>
    </w:p>
    <w:p>
      <w:r>
        <w:rPr>
          <w:rFonts w:ascii="Arial" w:hAnsi="Arial"/>
          <w:sz w:val="22"/>
        </w:rPr>
        <w:t>The previous document listed 11- and 20-region sensitivity values but did not give their segment boundaries. Those rows could not be independently reproduced and are therefore replaced, not carried forward. The following audit defines every alternative mesh: U11 = four uniform forward + one wing-covered + six uniform aft; U14 = five + one + eight; U20 = eight + one + eleven. S14 is the original station-aligned baseline reproduced in Section 4.</w:t>
      </w:r>
    </w:p>
    <w:tbl>
      <w:tblPr>
        <w:tblStyle w:val="TableGrid"/>
        <w:tblW w:type="dxa" w:w="10080"/>
        <w:jc w:val="left"/>
        <w:tblLayout w:type="fixed"/>
        <w:tblLook w:firstColumn="1" w:firstRow="1" w:lastColumn="0" w:lastRow="0" w:noHBand="0" w:noVBand="1" w:val="04A0"/>
        <w:tblInd w:w="0" w:type="dxa"/>
      </w:tblPr>
      <w:tblGrid>
        <w:gridCol w:w="1250"/>
        <w:gridCol w:w="2500"/>
        <w:gridCol w:w="850"/>
        <w:gridCol w:w="1350"/>
        <w:gridCol w:w="1250"/>
        <w:gridCol w:w="1400"/>
        <w:gridCol w:w="1480"/>
      </w:tblGrid>
      <w:tr>
        <w:trPr>
          <w:tblHeader w:val="true"/>
        </w:trPr>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6"/>
              </w:rPr>
              <w:t>Case</w:t>
            </w:r>
          </w:p>
        </w:tc>
        <w:tc>
          <w:tcPr>
            <w:tcW w:type="dxa" w:w="2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6"/>
              </w:rPr>
              <w:t>Definition</w:t>
            </w:r>
          </w:p>
        </w:tc>
        <w:tc>
          <w:tcPr>
            <w:tcW w:type="dxa" w:w="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6"/>
              </w:rPr>
              <w:t>Regions</w:t>
            </w:r>
          </w:p>
        </w:tc>
        <w:tc>
          <w:tcPr>
            <w:tcW w:type="dxa" w:w="13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6"/>
              </w:rPr>
              <w:t>Cₘα,FUS</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6"/>
              </w:rPr>
              <w:t>x_NP</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6"/>
              </w:rPr>
              <w:t>SM @ 3.90</w:t>
            </w:r>
          </w:p>
        </w:tc>
        <w:tc>
          <w:tcPr>
            <w:tcW w:type="dxa" w:w="1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6"/>
              </w:rPr>
              <w:t>10% aft limit</w:t>
            </w:r>
          </w:p>
        </w:tc>
      </w:tr>
      <w:tr>
        <w:trPr>
          <w:trHeight w:hRule="atLeast"/>
        </w:trPr>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U11</w:t>
            </w:r>
          </w:p>
        </w:tc>
        <w:tc>
          <w:tcPr>
            <w:tcW w:type="dxa" w:w="2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4 F + 1 W + 6 A, uniform by region</w:t>
            </w:r>
          </w:p>
        </w:tc>
        <w:tc>
          <w:tcPr>
            <w:tcW w:type="dxa" w:w="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11</w:t>
            </w:r>
          </w:p>
        </w:tc>
        <w:tc>
          <w:tcPr>
            <w:tcW w:type="dxa" w:w="13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0.32977</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4.03246</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7.04%</w:t>
            </w:r>
          </w:p>
        </w:tc>
        <w:tc>
          <w:tcPr>
            <w:tcW w:type="dxa" w:w="1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3.84436</w:t>
            </w:r>
          </w:p>
        </w:tc>
      </w:tr>
      <w:tr>
        <w:trPr>
          <w:trHeight w:hRule="atLeast"/>
        </w:trPr>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U14</w:t>
            </w:r>
          </w:p>
        </w:tc>
        <w:tc>
          <w:tcPr>
            <w:tcW w:type="dxa" w:w="2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5 F + 1 W + 8 A, uniform by region</w:t>
            </w:r>
          </w:p>
        </w:tc>
        <w:tc>
          <w:tcPr>
            <w:tcW w:type="dxa" w:w="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14</w:t>
            </w:r>
          </w:p>
        </w:tc>
        <w:tc>
          <w:tcPr>
            <w:tcW w:type="dxa" w:w="13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0.33711</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4.03000</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6.91%</w:t>
            </w:r>
          </w:p>
        </w:tc>
        <w:tc>
          <w:tcPr>
            <w:tcW w:type="dxa" w:w="1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3.84190</w:t>
            </w:r>
          </w:p>
        </w:tc>
      </w:tr>
      <w:tr>
        <w:trPr>
          <w:trHeight w:hRule="atLeast"/>
        </w:trPr>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S14</w:t>
            </w:r>
          </w:p>
        </w:tc>
        <w:tc>
          <w:tcPr>
            <w:tcW w:type="dxa" w:w="2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5 F + 1 W + 8 A, station-aligned</w:t>
            </w:r>
          </w:p>
        </w:tc>
        <w:tc>
          <w:tcPr>
            <w:tcW w:type="dxa" w:w="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14</w:t>
            </w:r>
          </w:p>
        </w:tc>
        <w:tc>
          <w:tcPr>
            <w:tcW w:type="dxa" w:w="13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0.34028</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4.02894</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6.86%</w:t>
            </w:r>
          </w:p>
        </w:tc>
        <w:tc>
          <w:tcPr>
            <w:tcW w:type="dxa" w:w="1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3.84084</w:t>
            </w:r>
          </w:p>
        </w:tc>
      </w:tr>
      <w:tr>
        <w:trPr>
          <w:trHeight w:hRule="atLeast"/>
        </w:trPr>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U20</w:t>
            </w:r>
          </w:p>
        </w:tc>
        <w:tc>
          <w:tcPr>
            <w:tcW w:type="dxa" w:w="2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8 F + 1 W + 11 A, uniform by region</w:t>
            </w:r>
          </w:p>
        </w:tc>
        <w:tc>
          <w:tcPr>
            <w:tcW w:type="dxa" w:w="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20</w:t>
            </w:r>
          </w:p>
        </w:tc>
        <w:tc>
          <w:tcPr>
            <w:tcW w:type="dxa" w:w="13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0.34943</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4.02588</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6.69%</w:t>
            </w:r>
          </w:p>
        </w:tc>
        <w:tc>
          <w:tcPr>
            <w:tcW w:type="dxa" w:w="1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3.83778</w:t>
            </w:r>
          </w:p>
        </w:tc>
      </w:tr>
      <w:tr>
        <w:trPr>
          <w:trHeight w:hRule="atLeast"/>
        </w:trPr>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Quadrature check</w:t>
            </w:r>
          </w:p>
        </w:tc>
        <w:tc>
          <w:tcPr>
            <w:tcW w:type="dxa" w:w="2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Fine continuous-width midpoint audit; not selected</w:t>
            </w:r>
          </w:p>
        </w:tc>
        <w:tc>
          <w:tcPr>
            <w:tcW w:type="dxa" w:w="8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w:t>
            </w:r>
          </w:p>
        </w:tc>
        <w:tc>
          <w:tcPr>
            <w:tcW w:type="dxa" w:w="13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0.38902</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4.01263</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5.99%</w:t>
            </w:r>
          </w:p>
        </w:tc>
        <w:tc>
          <w:tcPr>
            <w:tcW w:type="dxa" w:w="14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6"/>
              </w:rPr>
              <w:t>3.82453</w:t>
            </w:r>
          </w:p>
        </w:tc>
      </w:tr>
    </w:tbl>
    <w:p>
      <w:pPr>
        <w:spacing w:after="0" w:before="0"/>
      </w:pPr>
    </w:p>
    <w:p>
      <w:r>
        <w:rPr>
          <w:rFonts w:ascii="Arial" w:hAnsi="Arial"/>
          <w:b/>
          <w:sz w:val="22"/>
        </w:rPr>
        <w:t xml:space="preserve">Result robustness. </w:t>
      </w:r>
      <w:r>
        <w:rPr>
          <w:rFonts w:ascii="Arial" w:hAnsi="Arial"/>
          <w:sz w:val="22"/>
        </w:rPr>
        <w:t>Every defined mesh fails the FS 3.900 m 10%-MAC gate. Within the source's 10-to-20-region conceptual range, the most restrictive defined result is U20: x_NP = 4.02588 m and a 10% aft limit of FS 3.83778 m. The fine quadrature check is more restrictive because it resolves the integrable near-leading-edge upwash singularity; it is retained as a numerical warning, not substituted for the source's strip method.</w:t>
      </w:r>
    </w:p>
    <w:p>
      <w:pPr>
        <w:pStyle w:val="Heading2"/>
        <w:keepNext/>
        <w:keepLines/>
      </w:pPr>
      <w:r>
        <w:t>6.1 Model-form boundary</w:t>
      </w:r>
    </w:p>
    <w:p>
      <w:r>
        <w:rPr>
          <w:rFonts w:ascii="Arial" w:hAnsi="Arial"/>
          <w:sz w:val="22"/>
        </w:rPr>
        <w:t>Discretisation agreement does not validate the classical model for Tyche's high-wing, rounded-rectangle fuselage. Published high-wing testing has reported that the uncorrected classical slope can underpredict fuselage pitching-moment slope. A configuration-specific correction factor is not transferred here because Tyche's geometry and test basis differ. Instead, this becomes a validation and uncertainty requirement.</w:t>
      </w:r>
    </w:p>
    <w:p>
      <w:pPr>
        <w:pStyle w:val="ListBullet"/>
        <w:spacing w:after="40"/>
      </w:pPr>
      <w:r>
        <w:rPr>
          <w:rFonts w:ascii="Arial" w:hAnsi="Arial"/>
          <w:sz w:val="22"/>
        </w:rPr>
        <w:t>Nacelle Munk-Multhopp terms are not included because their full station shapes and confirmed longitudinal datum were not in the controlled SM6.3B input set.</w:t>
      </w:r>
    </w:p>
    <w:p>
      <w:pPr>
        <w:pStyle w:val="ListBullet"/>
        <w:spacing w:after="40"/>
      </w:pPr>
      <w:r>
        <w:rPr>
          <w:rFonts w:ascii="Arial" w:hAnsi="Arial"/>
          <w:sz w:val="22"/>
        </w:rPr>
        <w:t>Powered-propeller normal-force derivatives are not included.</w:t>
      </w:r>
    </w:p>
    <w:p>
      <w:pPr>
        <w:pStyle w:val="ListBullet"/>
        <w:spacing w:after="40"/>
      </w:pPr>
      <w:r>
        <w:rPr>
          <w:rFonts w:ascii="Arial" w:hAnsi="Arial"/>
          <w:sz w:val="22"/>
        </w:rPr>
        <w:t>A separate fuselage lift-curve-slope contribution is not included; the denominator remains the lifting-system C_Lα.</w:t>
      </w:r>
    </w:p>
    <w:p>
      <w:pPr>
        <w:pStyle w:val="ListBullet"/>
        <w:spacing w:after="40"/>
      </w:pPr>
      <w:r>
        <w:rPr>
          <w:rFonts w:ascii="Arial" w:hAnsi="Arial"/>
          <w:sz w:val="22"/>
        </w:rPr>
        <w:t>The accepted central value is therefore a conceptual fuselage-moment correction, not a certification-level complete-aircraft neutral point.</w:t>
      </w:r>
    </w:p>
    <w:p>
      <w:pPr>
        <w:pStyle w:val="Heading2"/>
        <w:keepNext/>
        <w:keepLines/>
      </w:pPr>
      <w:r>
        <w:t>6.2 SM6.3B corrected disposition</w:t>
      </w:r>
    </w:p>
    <w:tbl>
      <w:tblPr>
        <w:tblStyle w:val="TableGrid"/>
        <w:tblW w:type="dxa" w:w="10080"/>
        <w:jc w:val="left"/>
        <w:tblLayout w:type="fixed"/>
        <w:tblLook w:firstColumn="1" w:firstRow="1" w:lastColumn="0" w:lastRow="0" w:noHBand="0" w:noVBand="1" w:val="04A0"/>
        <w:tblInd w:w="0" w:type="dxa"/>
      </w:tblPr>
      <w:tblGrid>
        <w:gridCol w:w="3550"/>
        <w:gridCol w:w="4300"/>
        <w:gridCol w:w="2230"/>
      </w:tblGrid>
      <w:tr>
        <w:trPr>
          <w:tblHeader w:val="true"/>
        </w:trPr>
        <w:tc>
          <w:tcPr>
            <w:tcW w:type="dxa" w:w="35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Gate / quantity</w:t>
            </w:r>
          </w:p>
        </w:tc>
        <w:tc>
          <w:tcPr>
            <w:tcW w:type="dxa" w:w="4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Result</w:t>
            </w:r>
          </w:p>
        </w:tc>
        <w:tc>
          <w:tcPr>
            <w:tcW w:type="dxa" w:w="2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Disposition</w:t>
            </w:r>
          </w:p>
        </w:tc>
      </w:tr>
      <w:tr>
        <w:trPr>
          <w:trHeight w:hRule="atLeast"/>
        </w:trPr>
        <w:tc>
          <w:tcPr>
            <w:tcW w:type="dxa" w:w="35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Source equations and branch map</w:t>
            </w:r>
          </w:p>
        </w:tc>
        <w:tc>
          <w:tcPr>
            <w:tcW w:type="dxa" w:w="4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Verified</w:t>
            </w:r>
          </w:p>
        </w:tc>
        <w:tc>
          <w:tcPr>
            <w:tcW w:type="dxa" w:w="2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35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14-region station arithmetic</w:t>
            </w:r>
          </w:p>
        </w:tc>
        <w:tc>
          <w:tcPr>
            <w:tcW w:type="dxa" w:w="4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Cₘα,FUS = +0.34028 rad⁻¹</w:t>
            </w:r>
          </w:p>
        </w:tc>
        <w:tc>
          <w:tcPr>
            <w:tcW w:type="dxa" w:w="2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35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Reference neutral-point calculation</w:t>
            </w:r>
          </w:p>
        </w:tc>
        <w:tc>
          <w:tcPr>
            <w:tcW w:type="dxa" w:w="4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FS 4.02894 m</w:t>
            </w:r>
          </w:p>
        </w:tc>
        <w:tc>
          <w:tcPr>
            <w:tcW w:type="dxa" w:w="2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r>
      <w:tr>
        <w:trPr>
          <w:trHeight w:hRule="atLeast"/>
        </w:trPr>
        <w:tc>
          <w:tcPr>
            <w:tcW w:type="dxa" w:w="35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Current FS 3.900 10% gate</w:t>
            </w:r>
          </w:p>
        </w:tc>
        <w:tc>
          <w:tcPr>
            <w:tcW w:type="dxa" w:w="4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 = 6.86%</w:t>
            </w:r>
          </w:p>
        </w:tc>
        <w:tc>
          <w:tcPr>
            <w:tcW w:type="dxa" w:w="2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FAIL</w:t>
            </w:r>
          </w:p>
        </w:tc>
      </w:tr>
      <w:tr>
        <w:trPr>
          <w:trHeight w:hRule="atLeast"/>
        </w:trPr>
        <w:tc>
          <w:tcPr>
            <w:tcW w:type="dxa" w:w="35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Defined discretisation screen</w:t>
            </w:r>
          </w:p>
        </w:tc>
        <w:tc>
          <w:tcPr>
            <w:tcW w:type="dxa" w:w="4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 = 6.69% to 7.04%</w:t>
            </w:r>
          </w:p>
        </w:tc>
        <w:tc>
          <w:tcPr>
            <w:tcW w:type="dxa" w:w="2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FAIL robust</w:t>
            </w:r>
          </w:p>
        </w:tc>
      </w:tr>
      <w:tr>
        <w:trPr>
          <w:trHeight w:hRule="atLeast"/>
        </w:trPr>
        <w:tc>
          <w:tcPr>
            <w:tcW w:type="dxa" w:w="35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Complete-aircraft model validation</w:t>
            </w:r>
          </w:p>
        </w:tc>
        <w:tc>
          <w:tcPr>
            <w:tcW w:type="dxa" w:w="4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Nacelle/prop/body-lift effects open</w:t>
            </w:r>
          </w:p>
        </w:tc>
        <w:tc>
          <w:tcPr>
            <w:tcW w:type="dxa" w:w="2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HOLD</w:t>
            </w:r>
          </w:p>
        </w:tc>
      </w:tr>
      <w:tr>
        <w:trPr>
          <w:trHeight w:hRule="atLeast"/>
        </w:trPr>
        <w:tc>
          <w:tcPr>
            <w:tcW w:type="dxa" w:w="35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Overall SM6.3B</w:t>
            </w:r>
          </w:p>
        </w:tc>
        <w:tc>
          <w:tcPr>
            <w:tcW w:type="dxa" w:w="4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Calculation closed; design gate not closed</w:t>
            </w:r>
          </w:p>
        </w:tc>
        <w:tc>
          <w:tcPr>
            <w:tcW w:type="dxa" w:w="22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CLOSED / FAIL gate</w:t>
            </w:r>
          </w:p>
        </w:tc>
      </w:tr>
    </w:tbl>
    <w:p>
      <w:pPr>
        <w:spacing w:after="0" w:before="0"/>
      </w:pPr>
    </w:p>
    <w:p>
      <w:pPr>
        <w:pStyle w:val="Heading1"/>
        <w:keepNext/>
        <w:keepLines/>
      </w:pPr>
      <w:r>
        <w:t>7. SM6.4 - corrected CG-envelope and loading-cloud assessment</w:t>
      </w:r>
    </w:p>
    <w:p>
      <w:r>
        <w:rPr>
          <w:rFonts w:ascii="Arial" w:hAnsi="Arial"/>
          <w:sz w:val="22"/>
        </w:rPr>
        <w:t>SM6.4 must compare every actual R2-T1 loading state against the corrected aft stability boundary. This requires a component mass-arm ledger. The controlled Chapters 7-9 report states that FS 3.60-3.90 m remains a design range until a complete ledger proves every occupant, cargo, and fuel state inside it; its validation matrix separately marks CG and inertia as open. The available R2-T1 study likewise calls for a source-backed 30-line mass ledger but does not provide the longitudinal arms. Therefore an actual CG cloud cannot be reconstructed without inventing geometry.</w:t>
      </w:r>
    </w:p>
    <w:p>
      <w:pPr>
        <w:pStyle w:val="Heading2"/>
        <w:keepNext/>
        <w:keepLines/>
      </w:pPr>
      <w:r>
        <w:t>7.1 SM6.4 governing equations</w:t>
      </w:r>
    </w:p>
    <w:p>
      <w:pPr>
        <w:pStyle w:val="Equation"/>
        <w:keepNext/>
        <w:keepLines/>
        <w:jc w:val="center"/>
      </w:pPr>
      <w:r>
        <w:rPr>
          <w:rFonts w:ascii="Cambria Math" w:hAnsi="Cambria Math"/>
          <w:sz w:val="22"/>
        </w:rPr>
        <w:t>x_CG,k = [Σⱼ mⱼ,k xⱼ] / [Σⱼ mⱼ,k]</w:t>
      </w:r>
      <w:r>
        <w:rPr>
          <w:rFonts w:ascii="Arial" w:hAnsi="Arial"/>
          <w:sz w:val="20"/>
        </w:rPr>
        <w:t xml:space="preserve">    (SM6.4-1)</w:t>
      </w:r>
    </w:p>
    <w:p>
      <w:pPr>
        <w:pStyle w:val="Equation"/>
        <w:keepNext/>
        <w:keepLines/>
        <w:jc w:val="center"/>
      </w:pPr>
      <w:r>
        <w:rPr>
          <w:rFonts w:ascii="Cambria Math" w:hAnsi="Cambria Math"/>
          <w:sz w:val="22"/>
        </w:rPr>
        <w:t>h_CG,k = (x_CG,k - 3.050)/1.881</w:t>
      </w:r>
      <w:r>
        <w:rPr>
          <w:rFonts w:ascii="Arial" w:hAnsi="Arial"/>
          <w:sz w:val="20"/>
        </w:rPr>
        <w:t xml:space="preserve">    (SM6.4-2)</w:t>
      </w:r>
    </w:p>
    <w:p>
      <w:pPr>
        <w:pStyle w:val="Equation"/>
        <w:keepNext/>
        <w:keepLines/>
        <w:jc w:val="center"/>
      </w:pPr>
      <w:r>
        <w:rPr>
          <w:rFonts w:ascii="Cambria Math" w:hAnsi="Cambria Math"/>
          <w:sz w:val="22"/>
        </w:rPr>
        <w:t>SM_k = (4.02894 - x_CG,k)/1.881</w:t>
      </w:r>
      <w:r>
        <w:rPr>
          <w:rFonts w:ascii="Arial" w:hAnsi="Arial"/>
          <w:sz w:val="20"/>
        </w:rPr>
        <w:t xml:space="preserve">    (SM6.4-3)</w:t>
      </w:r>
    </w:p>
    <w:p>
      <w:pPr>
        <w:pStyle w:val="Equation"/>
        <w:keepNext/>
        <w:keepLines/>
        <w:jc w:val="center"/>
      </w:pPr>
      <w:r>
        <w:rPr>
          <w:rFonts w:ascii="Cambria Math" w:hAnsi="Cambria Math"/>
          <w:sz w:val="22"/>
        </w:rPr>
        <w:t>x_CG,max,10% = 4.02894 - 0.10(1.881) = 3.84084 m</w:t>
      </w:r>
      <w:r>
        <w:rPr>
          <w:rFonts w:ascii="Arial" w:hAnsi="Arial"/>
          <w:sz w:val="20"/>
        </w:rPr>
        <w:t xml:space="preserve">    (SM6.4-4)</w:t>
      </w:r>
    </w:p>
    <w:p>
      <w:pPr>
        <w:pStyle w:val="Equation"/>
        <w:keepNext/>
        <w:keepLines/>
        <w:jc w:val="center"/>
      </w:pPr>
      <w:r>
        <w:rPr>
          <w:rFonts w:ascii="Cambria Math" w:hAnsi="Cambria Math"/>
          <w:sz w:val="22"/>
        </w:rPr>
        <w:t>x_CG,max,U20 = 4.02588 - 0.10(1.881) = 3.83778 m</w:t>
      </w:r>
      <w:r>
        <w:rPr>
          <w:rFonts w:ascii="Arial" w:hAnsi="Arial"/>
          <w:sz w:val="20"/>
        </w:rPr>
        <w:t xml:space="preserve">    (SM6.4-5)</w:t>
      </w:r>
    </w:p>
    <w:p>
      <w:r>
        <w:rPr>
          <w:rFonts w:ascii="Arial" w:hAnsi="Arial"/>
          <w:sz w:val="22"/>
        </w:rPr>
        <w:t>For a later uncertainty-aware closure, the deterministic gate must be extended to include aft CG uncertainty and forward neutral-point uncertainty:</w:t>
      </w:r>
    </w:p>
    <w:p>
      <w:pPr>
        <w:pStyle w:val="Equation"/>
        <w:keepNext/>
        <w:keepLines/>
        <w:jc w:val="center"/>
      </w:pPr>
      <w:r>
        <w:rPr>
          <w:rFonts w:ascii="Cambria Math" w:hAnsi="Cambria Math"/>
          <w:sz w:val="22"/>
        </w:rPr>
        <w:t>SM_rob,k = [x_NP,corr - Δx_NP,model - x_CG,k - Δx_CG,k]/c̄ ≥ 0.10</w:t>
      </w:r>
      <w:r>
        <w:rPr>
          <w:rFonts w:ascii="Arial" w:hAnsi="Arial"/>
          <w:sz w:val="20"/>
        </w:rPr>
        <w:t xml:space="preserve">    (SM6.4-6)</w:t>
      </w:r>
    </w:p>
    <w:p>
      <w:r>
        <w:rPr>
          <w:rFonts w:ascii="Arial" w:hAnsi="Arial"/>
          <w:sz w:val="22"/>
        </w:rPr>
        <w:t>Neither uncertainty allowance has yet been established, so Equation (SM6.4-6) cannot currently be closed.</w:t>
      </w:r>
    </w:p>
    <w:p>
      <w:pPr>
        <w:pStyle w:val="Heading2"/>
        <w:keepNext/>
        <w:keepLines/>
      </w:pPr>
      <w:r>
        <w:t>7.2 Known mass cases and missing evidence</w:t>
      </w:r>
    </w:p>
    <w:tbl>
      <w:tblPr>
        <w:tblStyle w:val="TableGrid"/>
        <w:tblW w:type="dxa" w:w="10080"/>
        <w:jc w:val="left"/>
        <w:tblLayout w:type="fixed"/>
        <w:tblLook w:firstColumn="1" w:firstRow="1" w:lastColumn="0" w:lastRow="0" w:noHBand="0" w:noVBand="1" w:val="04A0"/>
        <w:tblInd w:w="0" w:type="dxa"/>
      </w:tblPr>
      <w:tblGrid>
        <w:gridCol w:w="2250"/>
        <w:gridCol w:w="1250"/>
        <w:gridCol w:w="1400"/>
        <w:gridCol w:w="1200"/>
        <w:gridCol w:w="1300"/>
        <w:gridCol w:w="2680"/>
      </w:tblGrid>
      <w:tr>
        <w:trPr>
          <w:tblHeader w:val="true"/>
        </w:trPr>
        <w:tc>
          <w:tcPr>
            <w:tcW w:type="dxa" w:w="2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Case</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OEW kg</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Payload kg</w:t>
            </w:r>
          </w:p>
        </w:tc>
        <w:tc>
          <w:tcPr>
            <w:tcW w:type="dxa" w:w="1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Fuel kg</w:t>
            </w:r>
          </w:p>
        </w:tc>
        <w:tc>
          <w:tcPr>
            <w:tcW w:type="dxa" w:w="1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Total kg</w:t>
            </w:r>
          </w:p>
        </w:tc>
        <w:tc>
          <w:tcPr>
            <w:tcW w:type="dxa" w:w="26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CG evidence</w:t>
            </w:r>
          </w:p>
        </w:tc>
      </w:tr>
      <w:tr>
        <w:trPr>
          <w:trHeight w:hRule="atLeast"/>
        </w:trPr>
        <w:tc>
          <w:tcPr>
            <w:tcW w:type="dxa" w:w="2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Operating empty</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1327.0</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w:t>
            </w:r>
          </w:p>
        </w:tc>
        <w:tc>
          <w:tcPr>
            <w:tcW w:type="dxa" w:w="1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w:t>
            </w:r>
          </w:p>
        </w:tc>
        <w:tc>
          <w:tcPr>
            <w:tcW w:type="dxa" w:w="1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1327.0</w:t>
            </w:r>
          </w:p>
        </w:tc>
        <w:tc>
          <w:tcPr>
            <w:tcW w:type="dxa" w:w="26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OEW arm absent; CG unknown</w:t>
            </w:r>
          </w:p>
        </w:tc>
      </w:tr>
      <w:tr>
        <w:trPr>
          <w:trHeight w:hRule="atLeast"/>
        </w:trPr>
        <w:tc>
          <w:tcPr>
            <w:tcW w:type="dxa" w:w="2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505 km MTOM case</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1327.0</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563.2</w:t>
            </w:r>
          </w:p>
        </w:tc>
        <w:tc>
          <w:tcPr>
            <w:tcW w:type="dxa" w:w="1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109.8</w:t>
            </w:r>
          </w:p>
        </w:tc>
        <w:tc>
          <w:tcPr>
            <w:tcW w:type="dxa" w:w="1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2000.0</w:t>
            </w:r>
          </w:p>
        </w:tc>
        <w:tc>
          <w:tcPr>
            <w:tcW w:type="dxa" w:w="26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Payload/fuel arms absent</w:t>
            </w:r>
          </w:p>
        </w:tc>
      </w:tr>
      <w:tr>
        <w:trPr>
          <w:trHeight w:hRule="atLeast"/>
        </w:trPr>
        <w:tc>
          <w:tcPr>
            <w:tcW w:type="dxa" w:w="2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Full RFP arithmetic</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1327.0</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716.0</w:t>
            </w:r>
          </w:p>
        </w:tc>
        <w:tc>
          <w:tcPr>
            <w:tcW w:type="dxa" w:w="1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109.8</w:t>
            </w:r>
          </w:p>
        </w:tc>
        <w:tc>
          <w:tcPr>
            <w:tcW w:type="dxa" w:w="1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2152.8</w:t>
            </w:r>
          </w:p>
        </w:tc>
        <w:tc>
          <w:tcPr>
            <w:tcW w:type="dxa" w:w="26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Mass FAIL; not flyable</w:t>
            </w:r>
          </w:p>
        </w:tc>
      </w:tr>
      <w:tr>
        <w:trPr>
          <w:trHeight w:hRule="atLeast"/>
        </w:trPr>
        <w:tc>
          <w:tcPr>
            <w:tcW w:type="dxa" w:w="2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Full payload, zero fuel</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1327.0</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716.0</w:t>
            </w:r>
          </w:p>
        </w:tc>
        <w:tc>
          <w:tcPr>
            <w:tcW w:type="dxa" w:w="1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0</w:t>
            </w:r>
          </w:p>
        </w:tc>
        <w:tc>
          <w:tcPr>
            <w:tcW w:type="dxa" w:w="1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2043.0</w:t>
            </w:r>
          </w:p>
        </w:tc>
        <w:tc>
          <w:tcPr>
            <w:tcW w:type="dxa" w:w="26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Mass FAIL; not flyable</w:t>
            </w:r>
          </w:p>
        </w:tc>
      </w:tr>
      <w:tr>
        <w:trPr>
          <w:trHeight w:hRule="atLeast"/>
        </w:trPr>
        <w:tc>
          <w:tcPr>
            <w:tcW w:type="dxa" w:w="2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Hot-high landing limit</w:t>
            </w:r>
          </w:p>
        </w:tc>
        <w:tc>
          <w:tcPr>
            <w:tcW w:type="dxa" w:w="1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w:t>
            </w:r>
          </w:p>
        </w:tc>
        <w:tc>
          <w:tcPr>
            <w:tcW w:type="dxa" w:w="12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w:t>
            </w:r>
          </w:p>
        </w:tc>
        <w:tc>
          <w:tcPr>
            <w:tcW w:type="dxa" w:w="13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1900.0</w:t>
            </w:r>
          </w:p>
        </w:tc>
        <w:tc>
          <w:tcPr>
            <w:tcW w:type="dxa" w:w="26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Loading distribution absent</w:t>
            </w:r>
          </w:p>
        </w:tc>
      </w:tr>
    </w:tbl>
    <w:p>
      <w:pPr>
        <w:spacing w:after="0" w:before="0"/>
      </w:pPr>
    </w:p>
    <w:p>
      <w:r>
        <w:rPr>
          <w:rFonts w:ascii="Arial" w:hAnsi="Arial"/>
          <w:sz w:val="22"/>
        </w:rPr>
        <w:t>The mass arithmetic above is useful for mass compliance but cannot determine longitudinal CG: at least the OEW CG, each occupant/seat arm, cargo-zone arms, and fuel-tank arm variation are required. The overweight 2152.8 kg and 2043.0 kg states are excluded from aerodynamic or field-performance passes, but their component data can still inform redesign loads.</w:t>
      </w:r>
    </w:p>
    <w:p>
      <w:pPr>
        <w:pStyle w:val="Heading2"/>
        <w:keepNext/>
        <w:keepLines/>
      </w:pPr>
      <w:r>
        <w:t>7.3 Provisional corrected stability corridor</w:t>
      </w:r>
    </w:p>
    <w:tbl>
      <w:tblPr>
        <w:tblStyle w:val="TableGrid"/>
        <w:tblW w:type="dxa" w:w="10080"/>
        <w:jc w:val="left"/>
        <w:tblLayout w:type="fixed"/>
        <w:tblLook w:firstColumn="1" w:firstRow="1" w:lastColumn="0" w:lastRow="0" w:noHBand="0" w:noVBand="1" w:val="04A0"/>
        <w:tblInd w:w="0" w:type="dxa"/>
      </w:tblPr>
      <w:tblGrid>
        <w:gridCol w:w="2600"/>
        <w:gridCol w:w="1500"/>
        <w:gridCol w:w="1400"/>
        <w:gridCol w:w="1700"/>
        <w:gridCol w:w="2880"/>
      </w:tblGrid>
      <w:tr>
        <w:trPr>
          <w:tblHeader w:val="true"/>
        </w:trPr>
        <w:tc>
          <w:tcPr>
            <w:tcW w:type="dxa" w:w="2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Boundary</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FS x (m)</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 MAC</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Static margin</w:t>
            </w:r>
          </w:p>
        </w:tc>
        <w:tc>
          <w:tcPr>
            <w:tcW w:type="dxa" w:w="2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Disposition</w:t>
            </w:r>
          </w:p>
        </w:tc>
      </w:tr>
      <w:tr>
        <w:trPr>
          <w:trHeight w:hRule="atLeast"/>
        </w:trPr>
        <w:tc>
          <w:tcPr>
            <w:tcW w:type="dxa" w:w="2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Forward design boundary</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3.60000</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29.24%</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22.80%</w:t>
            </w:r>
          </w:p>
        </w:tc>
        <w:tc>
          <w:tcPr>
            <w:tcW w:type="dxa" w:w="2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Static-stability PASS; rotation/trim remains separate</w:t>
            </w:r>
          </w:p>
        </w:tc>
      </w:tr>
      <w:tr>
        <w:trPr>
          <w:trHeight w:hRule="atLeast"/>
        </w:trPr>
        <w:tc>
          <w:tcPr>
            <w:tcW w:type="dxa" w:w="2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U20 screening aft boundary</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3.83778</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41.88%</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10.00% on U20</w:t>
            </w:r>
          </w:p>
        </w:tc>
        <w:tc>
          <w:tcPr>
            <w:tcW w:type="dxa" w:w="2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Preferred deterministic screen pending ledger</w:t>
            </w:r>
          </w:p>
        </w:tc>
      </w:tr>
      <w:tr>
        <w:trPr>
          <w:trHeight w:hRule="atLeast"/>
        </w:trPr>
        <w:tc>
          <w:tcPr>
            <w:tcW w:type="dxa" w:w="2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Central 14-region aft boundary</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3.84084</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42.04%</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10.00%</w:t>
            </w:r>
          </w:p>
        </w:tc>
        <w:tc>
          <w:tcPr>
            <w:tcW w:type="dxa" w:w="2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Central conceptual limit</w:t>
            </w:r>
          </w:p>
        </w:tc>
      </w:tr>
      <w:tr>
        <w:trPr>
          <w:trHeight w:hRule="atLeast"/>
        </w:trPr>
        <w:tc>
          <w:tcPr>
            <w:tcW w:type="dxa" w:w="2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Previous aft design boundary</w:t>
            </w:r>
          </w:p>
        </w:tc>
        <w:tc>
          <w:tcPr>
            <w:tcW w:type="dxa" w:w="15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3.90000</w:t>
            </w:r>
          </w:p>
        </w:tc>
        <w:tc>
          <w:tcPr>
            <w:tcW w:type="dxa" w:w="14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45.19%</w:t>
            </w:r>
          </w:p>
        </w:tc>
        <w:tc>
          <w:tcPr>
            <w:tcW w:type="dxa" w:w="17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7"/>
              </w:rPr>
              <w:t>6.86%</w:t>
            </w:r>
          </w:p>
        </w:tc>
        <w:tc>
          <w:tcPr>
            <w:tcW w:type="dxa" w:w="2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7"/>
              </w:rPr>
              <w:t>FAIL - do not retain as acceptable</w:t>
            </w:r>
          </w:p>
        </w:tc>
      </w:tr>
    </w:tbl>
    <w:p>
      <w:pPr>
        <w:spacing w:after="0" w:before="0"/>
      </w:pPr>
    </w:p>
    <w:p>
      <w:r>
        <w:rPr>
          <w:rFonts w:ascii="Arial" w:hAnsi="Arial"/>
          <w:sz w:val="22"/>
        </w:rPr>
        <w:t>The provisional deterministic screening corridor is therefore FS 3.600 to 3.83778 m when the reproducible 20-region numerical screen is used. This is an analysis corridor, not an approved operational envelope. The central 14-region limit is FS 3.84084 m. The interval from FS 3.84084 to 3.90000 m is demonstrably below 10% MAC under the central model.</w:t>
      </w:r>
    </w:p>
    <w:p>
      <w:pPr>
        <w:pStyle w:val="Heading2"/>
        <w:keepNext/>
        <w:keepLines/>
      </w:pPr>
      <w:r>
        <w:t>7.4 Decision logic for the future loading cloud</w:t>
      </w:r>
    </w:p>
    <w:tbl>
      <w:tblPr>
        <w:tblStyle w:val="TableGrid"/>
        <w:tblW w:type="dxa" w:w="10080"/>
        <w:jc w:val="left"/>
        <w:tblLayout w:type="fixed"/>
        <w:tblLook w:firstColumn="1" w:firstRow="1" w:lastColumn="0" w:lastRow="0" w:noHBand="0" w:noVBand="1" w:val="04A0"/>
        <w:tblInd w:w="0" w:type="dxa"/>
      </w:tblPr>
      <w:tblGrid>
        <w:gridCol w:w="3100"/>
        <w:gridCol w:w="3600"/>
        <w:gridCol w:w="3380"/>
      </w:tblGrid>
      <w:tr>
        <w:trPr>
          <w:tblHeader w:val="true"/>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Future loading result</w:t>
            </w:r>
          </w:p>
        </w:tc>
        <w:tc>
          <w:tcPr>
            <w:tcW w:type="dxa" w:w="3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Stability meaning</w:t>
            </w:r>
          </w:p>
        </w:tc>
        <w:tc>
          <w:tcPr>
            <w:tcW w:type="dxa" w:w="33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Disposition</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x_CG &lt; 3.600 m</w:t>
            </w:r>
          </w:p>
        </w:tc>
        <w:tc>
          <w:tcPr>
            <w:tcW w:type="dxa" w:w="3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Static margin exceeds forward case</w:t>
            </w:r>
          </w:p>
        </w:tc>
        <w:tc>
          <w:tcPr>
            <w:tcW w:type="dxa" w:w="33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HOLD unless rotation, trim and gear loads pass</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3.600 ≤ x_CG ≤ 3.83778 m</w:t>
            </w:r>
          </w:p>
        </w:tc>
        <w:tc>
          <w:tcPr>
            <w:tcW w:type="dxa" w:w="3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≥10% on all defined 10-to-20-region screens</w:t>
            </w:r>
          </w:p>
        </w:tc>
        <w:tc>
          <w:tcPr>
            <w:tcW w:type="dxa" w:w="33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Deterministic PASS; model validation still open</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3.83778 &lt; x_CG ≤ 3.84084 m</w:t>
            </w:r>
          </w:p>
        </w:tc>
        <w:tc>
          <w:tcPr>
            <w:tcW w:type="dxa" w:w="3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Passes central S14 only</w:t>
            </w:r>
          </w:p>
        </w:tc>
        <w:tc>
          <w:tcPr>
            <w:tcW w:type="dxa" w:w="33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HOLD - discretisation sensitive</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3.84084 &lt; x_CG ≤ 3.900 m</w:t>
            </w:r>
          </w:p>
        </w:tc>
        <w:tc>
          <w:tcPr>
            <w:tcW w:type="dxa" w:w="3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&lt;10% central static margin</w:t>
            </w:r>
          </w:p>
        </w:tc>
        <w:tc>
          <w:tcPr>
            <w:tcW w:type="dxa" w:w="33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FAIL - load/layout or tail change required</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x_CG &gt; 3.900 m</w:t>
            </w:r>
          </w:p>
        </w:tc>
        <w:tc>
          <w:tcPr>
            <w:tcW w:type="dxa" w:w="36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Outside original design range</w:t>
            </w:r>
          </w:p>
        </w:tc>
        <w:tc>
          <w:tcPr>
            <w:tcW w:type="dxa" w:w="33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FAIL</w:t>
            </w:r>
          </w:p>
        </w:tc>
      </w:tr>
    </w:tbl>
    <w:p>
      <w:pPr>
        <w:spacing w:after="0" w:before="0"/>
      </w:pPr>
    </w:p>
    <w:p>
      <w:pPr>
        <w:pStyle w:val="Heading1"/>
        <w:keepNext/>
        <w:keepLines/>
      </w:pPr>
      <w:r>
        <w:t>8. Evidence required to close SM6.4</w:t>
      </w:r>
    </w:p>
    <w:p>
      <w:r>
        <w:rPr>
          <w:rFonts w:ascii="Arial" w:hAnsi="Arial"/>
          <w:sz w:val="22"/>
        </w:rPr>
        <w:t>The next controlled artifact must be a component mass-arm ledger, not another aerodynamic sweep. It should use the same fuselage-station datum and preserve source, confidence, and configuration identity for every row.</w:t>
      </w:r>
    </w:p>
    <w:tbl>
      <w:tblPr>
        <w:tblStyle w:val="TableGrid"/>
        <w:tblW w:type="dxa" w:w="10080"/>
        <w:jc w:val="left"/>
        <w:tblLayout w:type="fixed"/>
        <w:tblLook w:firstColumn="1" w:firstRow="1" w:lastColumn="0" w:lastRow="0" w:noHBand="0" w:noVBand="1" w:val="04A0"/>
        <w:tblInd w:w="0" w:type="dxa"/>
      </w:tblPr>
      <w:tblGrid>
        <w:gridCol w:w="2000"/>
        <w:gridCol w:w="4930"/>
        <w:gridCol w:w="3150"/>
      </w:tblGrid>
      <w:tr>
        <w:trPr>
          <w:tblHeader w:val="true"/>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Ledger block</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Minimum content</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Required fields</w:t>
            </w:r>
          </w:p>
        </w:tc>
      </w:tr>
      <w:tr>
        <w:trPr>
          <w:trHeight w:hRule="atLeast"/>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Structure</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Fuselage, wing, HT, VT, struts, control surfaces</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Mass, FS arm, source, uncertainty</w:t>
            </w:r>
          </w:p>
        </w:tc>
      </w:tr>
      <w:tr>
        <w:trPr>
          <w:trHeight w:hRule="atLeast"/>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Propulsion</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Two engines, nacelles, propellers, mounts, cooling</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Left/right mass and FS arm</w:t>
            </w:r>
          </w:p>
        </w:tc>
      </w:tr>
      <w:tr>
        <w:trPr>
          <w:trHeight w:hRule="atLeast"/>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Hybrid/electrical</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Motors, inverters, batteries, cabling, protection</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Installed mass and service-removal state</w:t>
            </w:r>
          </w:p>
        </w:tc>
      </w:tr>
      <w:tr>
        <w:trPr>
          <w:trHeight w:hRule="atLeast"/>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Landing gear</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Nose and main gear, wheels, brakes, retraction/fairings</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Mass and deployed/stowed arm if relevant</w:t>
            </w:r>
          </w:p>
        </w:tc>
      </w:tr>
      <w:tr>
        <w:trPr>
          <w:trHeight w:hRule="atLeast"/>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Systems/interior</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Avionics, flight controls, seats, cabin equipment</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Installed mass and FS arm</w:t>
            </w:r>
          </w:p>
        </w:tc>
      </w:tr>
      <w:tr>
        <w:trPr>
          <w:trHeight w:hRule="atLeast"/>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Fuel</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Each tank and unusable fuel</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Tank geometry; CG versus fuel quantity</w:t>
            </w:r>
          </w:p>
        </w:tc>
      </w:tr>
      <w:tr>
        <w:trPr>
          <w:trHeight w:hRule="atLeast"/>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Occupants</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Pilot and each of five passenger seats</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86 kg design mass and seat reference point</w:t>
            </w:r>
          </w:p>
        </w:tc>
      </w:tr>
      <w:tr>
        <w:trPr>
          <w:trHeight w:hRule="atLeast"/>
        </w:trPr>
        <w:tc>
          <w:tcPr>
            <w:tcW w:type="dxa" w:w="20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Cargo</w:t>
            </w:r>
          </w:p>
        </w:tc>
        <w:tc>
          <w:tcPr>
            <w:tcW w:type="dxa" w:w="493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200 kg additional payload and baggage zones</w:t>
            </w:r>
          </w:p>
        </w:tc>
        <w:tc>
          <w:tcPr>
            <w:tcW w:type="dxa" w:w="31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Forward/aft loading zones and tie-down limits</w:t>
            </w:r>
          </w:p>
        </w:tc>
      </w:tr>
    </w:tbl>
    <w:p>
      <w:pPr>
        <w:spacing w:after="0" w:before="0"/>
      </w:pPr>
    </w:p>
    <w:p>
      <w:pPr>
        <w:pStyle w:val="Heading2"/>
        <w:keepNext/>
        <w:keepLines/>
      </w:pPr>
      <w:r>
        <w:t>8.1 Minimum loading cases</w:t>
      </w:r>
    </w:p>
    <w:p>
      <w:pPr>
        <w:pStyle w:val="ListBullet"/>
        <w:spacing w:after="40"/>
      </w:pPr>
      <w:r>
        <w:rPr>
          <w:rFonts w:ascii="Arial" w:hAnsi="Arial"/>
          <w:sz w:val="22"/>
        </w:rPr>
        <w:t>Operating empty aircraft; pilot-only; minimum crew; and zero-fuel states.</w:t>
      </w:r>
    </w:p>
    <w:p>
      <w:pPr>
        <w:pStyle w:val="ListBullet"/>
        <w:spacing w:after="40"/>
      </w:pPr>
      <w:r>
        <w:rPr>
          <w:rFonts w:ascii="Arial" w:hAnsi="Arial"/>
          <w:sz w:val="22"/>
        </w:rPr>
        <w:t>Each sequential passenger-loading permutation that can drive forward or aft CG, including forward-first and aft-first loading.</w:t>
      </w:r>
    </w:p>
    <w:p>
      <w:pPr>
        <w:pStyle w:val="ListBullet"/>
        <w:spacing w:after="40"/>
      </w:pPr>
      <w:r>
        <w:rPr>
          <w:rFonts w:ascii="Arial" w:hAnsi="Arial"/>
          <w:sz w:val="22"/>
        </w:rPr>
        <w:t>Maximum forward cargo, maximum aft cargo, and combined passenger-plus-cargo states subject to the 2000 kg mass cap.</w:t>
      </w:r>
    </w:p>
    <w:p>
      <w:pPr>
        <w:pStyle w:val="ListBullet"/>
        <w:spacing w:after="40"/>
      </w:pPr>
      <w:r>
        <w:rPr>
          <w:rFonts w:ascii="Arial" w:hAnsi="Arial"/>
          <w:sz w:val="22"/>
        </w:rPr>
        <w:t>Fuel at unusable, reserve, mission, and full-usable quantities, plus the continuous fuel-burn trajectory for each critical payload state.</w:t>
      </w:r>
    </w:p>
    <w:p>
      <w:pPr>
        <w:pStyle w:val="ListBullet"/>
        <w:spacing w:after="40"/>
      </w:pPr>
      <w:r>
        <w:rPr>
          <w:rFonts w:ascii="Arial" w:hAnsi="Arial"/>
          <w:sz w:val="22"/>
        </w:rPr>
        <w:t>Take-off at 2000 kg, hot-high landing at 1900 kg, go-around, and dispatch-limitation cases.</w:t>
      </w:r>
    </w:p>
    <w:p>
      <w:pPr>
        <w:pStyle w:val="ListBullet"/>
        <w:spacing w:after="40"/>
      </w:pPr>
      <w:r>
        <w:rPr>
          <w:rFonts w:ascii="Arial" w:hAnsi="Arial"/>
          <w:sz w:val="22"/>
        </w:rPr>
        <w:t>Loading/unloading transients in which passengers or cargo are removed in an order that can temporarily drive the CG outside the corridor.</w:t>
      </w:r>
    </w:p>
    <w:p>
      <w:pPr>
        <w:pStyle w:val="Heading2"/>
        <w:keepNext/>
        <w:keepLines/>
      </w:pPr>
      <w:r>
        <w:t>8.2 SM6.4 acceptance criteria</w:t>
      </w:r>
    </w:p>
    <w:tbl>
      <w:tblPr>
        <w:tblStyle w:val="TableGrid"/>
        <w:tblW w:type="dxa" w:w="10080"/>
        <w:jc w:val="left"/>
        <w:tblLayout w:type="fixed"/>
        <w:tblLook w:firstColumn="1" w:firstRow="1" w:lastColumn="0" w:lastRow="0" w:noHBand="0" w:noVBand="1" w:val="04A0"/>
        <w:tblInd w:w="0" w:type="dxa"/>
      </w:tblPr>
      <w:tblGrid>
        <w:gridCol w:w="3100"/>
        <w:gridCol w:w="6980"/>
      </w:tblGrid>
      <w:tr>
        <w:trPr>
          <w:tblHeader w:val="true"/>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Gate</w:t>
            </w:r>
          </w:p>
        </w:tc>
        <w:tc>
          <w:tcPr>
            <w:tcW w:type="dxa" w:w="69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Acceptance condition</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Mass closure</w:t>
            </w:r>
          </w:p>
        </w:tc>
        <w:tc>
          <w:tcPr>
            <w:tcW w:type="dxa" w:w="69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Every flyable state ≤ 2000 kg; landing state ≤ declared 1900 kg hot-high limit</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Forward containment</w:t>
            </w:r>
          </w:p>
        </w:tc>
        <w:tc>
          <w:tcPr>
            <w:tcW w:type="dxa" w:w="69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x_CG ≥ FS 3.600 m unless a new rotation/trim release proves a farther-forward state</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Aft deterministic screen</w:t>
            </w:r>
          </w:p>
        </w:tc>
        <w:tc>
          <w:tcPr>
            <w:tcW w:type="dxa" w:w="69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Every loading point and burn path ≤ FS 3.83778 m</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Central comparison</w:t>
            </w:r>
          </w:p>
        </w:tc>
        <w:tc>
          <w:tcPr>
            <w:tcW w:type="dxa" w:w="69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Every loading point also reported against FS 3.84084 m</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Uncertainty</w:t>
            </w:r>
          </w:p>
        </w:tc>
        <w:tc>
          <w:tcPr>
            <w:tcW w:type="dxa" w:w="69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Equation SM6.4-6 passes after x_CG and model uncertainties are quantified</w:t>
            </w:r>
          </w:p>
        </w:tc>
      </w:tr>
      <w:tr>
        <w:trPr>
          <w:trHeight w:hRule="atLeast"/>
        </w:trPr>
        <w:tc>
          <w:tcPr>
            <w:tcW w:type="dxa" w:w="310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Traceability</w:t>
            </w:r>
          </w:p>
        </w:tc>
        <w:tc>
          <w:tcPr>
            <w:tcW w:type="dxa" w:w="69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Mass, arm, source, revision and loading-case ID retained for every component</w:t>
            </w:r>
          </w:p>
        </w:tc>
      </w:tr>
    </w:tbl>
    <w:p>
      <w:pPr>
        <w:spacing w:after="0" w:before="0"/>
      </w:pPr>
    </w:p>
    <w:p>
      <w:pPr>
        <w:pStyle w:val="Heading1"/>
        <w:keepNext/>
        <w:keepLines/>
      </w:pPr>
      <w:r>
        <w:t>9. Final dispositions and design handoff</w:t>
      </w:r>
    </w:p>
    <w:tbl>
      <w:tblPr>
        <w:tblStyle w:val="TableGrid"/>
        <w:tblW w:type="dxa" w:w="10080"/>
        <w:jc w:val="left"/>
        <w:tblLayout w:type="fixed"/>
        <w:tblLook w:firstColumn="1" w:firstRow="1" w:lastColumn="0" w:lastRow="0" w:noHBand="0" w:noVBand="1" w:val="04A0"/>
        <w:tblInd w:w="0" w:type="dxa"/>
      </w:tblPr>
      <w:tblGrid>
        <w:gridCol w:w="3250"/>
        <w:gridCol w:w="1950"/>
        <w:gridCol w:w="4880"/>
      </w:tblGrid>
      <w:tr>
        <w:trPr>
          <w:tblHeader w:val="true"/>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Item</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Disposition</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Controlled statement</w:t>
            </w:r>
          </w:p>
        </w:tc>
      </w:tr>
      <w:tr>
        <w:trPr>
          <w:trHeight w:hRule="atLeast"/>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SM6.3B source-method verification</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Equations, branches, unit conversion verified</w:t>
            </w:r>
          </w:p>
        </w:tc>
      </w:tr>
      <w:tr>
        <w:trPr>
          <w:trHeight w:hRule="atLeast"/>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SM6.3B central arithmetic</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PASS</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Cₘα,FUS = +0.34028 rad⁻¹; x_NP = 4.02894 m</w:t>
            </w:r>
          </w:p>
        </w:tc>
      </w:tr>
      <w:tr>
        <w:trPr>
          <w:trHeight w:hRule="atLeast"/>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SM6.3B FS 3.900 gate</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FAIL</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6.86% MAC &lt; 10%</w:t>
            </w:r>
          </w:p>
        </w:tc>
      </w:tr>
      <w:tr>
        <w:trPr>
          <w:trHeight w:hRule="atLeast"/>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SM6.3B model completeness</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HOLD</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Nacelle, propeller, body-lift and validation uncertainty open</w:t>
            </w:r>
          </w:p>
        </w:tc>
      </w:tr>
      <w:tr>
        <w:trPr>
          <w:trHeight w:hRule="atLeast"/>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SM6.4 corrected screening boundary</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DEFINED</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Central 3.84084 m; U20 screen 3.83778 m</w:t>
            </w:r>
          </w:p>
        </w:tc>
      </w:tr>
      <w:tr>
        <w:trPr>
          <w:trHeight w:hRule="atLeast"/>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SM6.4 actual mass/loading CG cloud</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sz w:val="18"/>
              </w:rPr>
              <w:t>HOLD / OPEN</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Component longitudinal arms not available</w:t>
            </w:r>
          </w:p>
        </w:tc>
      </w:tr>
      <w:tr>
        <w:trPr>
          <w:trHeight w:hRule="atLeast"/>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Aft-CG/tail-sizing design gate</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REOPENED</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FS 3.900 cannot be retained without redesign or validation</w:t>
            </w:r>
          </w:p>
        </w:tc>
      </w:tr>
      <w:tr>
        <w:trPr>
          <w:trHeight w:hRule="atLeast"/>
        </w:trPr>
        <w:tc>
          <w:tcPr>
            <w:tcW w:type="dxa" w:w="32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Overall 06_CG_Static_Margin</w:t>
            </w:r>
          </w:p>
        </w:tc>
        <w:tc>
          <w:tcPr>
            <w:tcW w:type="dxa" w:w="195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OPEN</w:t>
            </w:r>
          </w:p>
        </w:tc>
        <w:tc>
          <w:tcPr>
            <w:tcW w:type="dxa" w:w="4880"/>
            <w:vAlign w:val="center"/>
            <w:tcMar>
              <w:top w:w="70" w:type="dxa"/>
              <w:start w:w="90" w:type="dxa"/>
              <w:bottom w:w="70" w:type="dxa"/>
              <w:end w:w="90" w:type="dxa"/>
            </w:tcMar>
            <w:tcBorders>
              <w:top w:val="single" w:sz="4" w:color="000000" w:space="0"/>
              <w:start w:val="single" w:sz="4" w:color="000000" w:space="0"/>
              <w:bottom w:val="single" w:sz="4" w:color="000000" w:space="0"/>
              <w:end w:val="single" w:sz="4" w:color="000000" w:space="0"/>
              <w:insideH w:val="single" w:sz="4" w:color="000000" w:space="0"/>
              <w:insideV w:val="single" w:sz="4" w:color="000000" w:space="0"/>
            </w:tcBorders>
          </w:tcPr>
          <w:p>
            <w:pPr>
              <w:spacing w:after="0" w:line="240" w:lineRule="auto"/>
              <w:jc w:val="left"/>
            </w:pPr>
            <w:r>
              <w:rPr>
                <w:rFonts w:ascii="Arial" w:hAnsi="Arial"/>
                <w:b w:val="0"/>
                <w:sz w:val="18"/>
              </w:rPr>
              <w:t>Close only after ledger, loading cloud, and uncertainty audit</w:t>
            </w:r>
          </w:p>
        </w:tc>
      </w:tr>
    </w:tbl>
    <w:p>
      <w:pPr>
        <w:spacing w:after="0" w:before="0"/>
      </w:pPr>
    </w:p>
    <w:p>
      <w:r>
        <w:rPr>
          <w:rFonts w:ascii="Arial" w:hAnsi="Arial"/>
          <w:b/>
          <w:sz w:val="22"/>
        </w:rPr>
        <w:t xml:space="preserve">Closure statement. </w:t>
      </w:r>
      <w:r>
        <w:rPr>
          <w:rFonts w:ascii="Arial" w:hAnsi="Arial"/>
          <w:sz w:val="22"/>
        </w:rPr>
        <w:t>SM6.3B is closed as a correctly executed central conceptual fuselage correction, but its current aft-CG design gate fails. SM6.4 advances the result into a controlled provisional corridor and establishes the exact evidence needed for a loading-cloud assessment. Because no component longitudinal arms are available, SM6.4 is not closed as a pass or a fail of actual operational loading; it is HOLD/OPEN, and the aft-CG/tail-sizing gate is formally reopened. Until the ledger is produced, FS 3.900 m must not be described as an acceptable aft CG.</w:t>
      </w:r>
    </w:p>
    <w:p>
      <w:pPr>
        <w:pStyle w:val="Heading1"/>
        <w:keepNext/>
        <w:keepLines/>
      </w:pPr>
      <w:r>
        <w:t>References and controlled evidence</w:t>
      </w:r>
    </w:p>
    <w:p>
      <w:pPr>
        <w:spacing w:after="100"/>
        <w:ind w:left="216" w:hanging="216"/>
      </w:pPr>
      <w:r>
        <w:rPr>
          <w:rFonts w:ascii="Arial" w:hAnsi="Arial"/>
          <w:sz w:val="20"/>
        </w:rPr>
        <w:t>[1] S. Gudmundsson, General Aviation Aircraft Design: Applied Methods and Procedures, 1st ed., Butterworth-Heinemann/Elsevier, 2014, Chapter 11; online Appendix C1, pp. 47-50, Equations C1-20 and C1-24 through C1-28.</w:t>
      </w:r>
    </w:p>
    <w:p>
      <w:pPr>
        <w:spacing w:after="100"/>
        <w:ind w:left="216" w:hanging="216"/>
      </w:pPr>
      <w:r>
        <w:rPr>
          <w:rFonts w:ascii="Arial" w:hAnsi="Arial"/>
          <w:sz w:val="20"/>
        </w:rPr>
        <w:t>[2] H. Multhopp, Aerodynamics of the Fuselage, NACA Technical Memorandum 1036, 1942.</w:t>
      </w:r>
    </w:p>
    <w:p>
      <w:pPr>
        <w:spacing w:after="100"/>
        <w:ind w:left="216" w:hanging="216"/>
      </w:pPr>
      <w:r>
        <w:rPr>
          <w:rFonts w:ascii="Arial" w:hAnsi="Arial"/>
          <w:sz w:val="20"/>
        </w:rPr>
        <w:t>[3] A. ul Haque, W. Asrar and E. Sulaeman, A Revisit to Munk-Multhopp's Method for Estimating the Pitching Moment of a Fuselage Immersed in a High Wing Flow, AIAC-2017-066, 9th Ankara International Aerospace Conference, 2017.</w:t>
      </w:r>
    </w:p>
    <w:p>
      <w:pPr>
        <w:spacing w:after="100"/>
        <w:ind w:left="216" w:hanging="216"/>
      </w:pPr>
      <w:r>
        <w:rPr>
          <w:rFonts w:ascii="Arial" w:hAnsi="Arial"/>
          <w:sz w:val="20"/>
        </w:rPr>
        <w:t>[4] Royal Aeronautical Society, International Light Aircraft Design Competition Rules 2025/26, Stability and Control requirement and Final Design Report mass-breakdown/validation requirements.</w:t>
      </w:r>
    </w:p>
    <w:p>
      <w:pPr>
        <w:spacing w:after="100"/>
        <w:ind w:left="216" w:hanging="216"/>
      </w:pPr>
      <w:r>
        <w:rPr>
          <w:rFonts w:ascii="Arial" w:hAnsi="Arial"/>
          <w:sz w:val="20"/>
        </w:rPr>
        <w:t>[5] Tyche R2-T1 G1.3 analysis-ready geometry record, frozen 10.750 m seven-station fuselage and 5.90 m quarter-chord tail-arm definition.</w:t>
      </w:r>
    </w:p>
    <w:p>
      <w:pPr>
        <w:spacing w:after="100"/>
        <w:ind w:left="216" w:hanging="216"/>
      </w:pPr>
      <w:r>
        <w:rPr>
          <w:rFonts w:ascii="Arial" w:hAnsi="Arial"/>
          <w:sz w:val="20"/>
        </w:rPr>
        <w:t>[6] G5_CGSM_ALPHA_M2_P2(1).csv, SM6.1 five-point local static-stability sweep: C_Lα = 5.61880 rad⁻¹, Cₘα = -1.17352 rad⁻¹.</w:t>
      </w:r>
    </w:p>
    <w:p>
      <w:pPr>
        <w:spacing w:after="100"/>
        <w:ind w:left="216" w:hanging="216"/>
      </w:pPr>
      <w:r>
        <w:rPr>
          <w:rFonts w:ascii="Arial" w:hAnsi="Arial"/>
          <w:sz w:val="20"/>
        </w:rPr>
        <w:t>[7] G5_CGSM_XREF390_CHECK.csv, SM6.2 moment-reference invariance audit.</w:t>
      </w:r>
    </w:p>
    <w:p>
      <w:pPr>
        <w:spacing w:after="100"/>
        <w:ind w:left="216" w:hanging="216"/>
      </w:pPr>
      <w:r>
        <w:rPr>
          <w:rFonts w:ascii="Arial" w:hAnsi="Arial"/>
          <w:sz w:val="20"/>
        </w:rPr>
        <w:t>[8] G5_SM63_WING_ONLY_ALPHA_M2_P2.csv, SM6.3A MainWing-only support run: C_Lα,w = 4.88866 rad⁻¹.</w:t>
      </w:r>
    </w:p>
    <w:p>
      <w:pPr>
        <w:spacing w:after="100"/>
        <w:ind w:left="216" w:hanging="216"/>
      </w:pPr>
      <w:r>
        <w:rPr>
          <w:rFonts w:ascii="Arial" w:hAnsi="Arial"/>
          <w:sz w:val="20"/>
        </w:rPr>
        <w:t>[9] Tyche R2-T1 Conceptual Design Report, Chapters 7-9, Section 7.1 and validation matrix: FS 3.60-3.90 m design range pending complete component-arm ledger; CG and inertia evidence open.</w:t>
      </w:r>
    </w:p>
    <w:p>
      <w:pPr>
        <w:spacing w:after="100"/>
        <w:ind w:left="216" w:hanging="216"/>
      </w:pPr>
      <w:r>
        <w:rPr>
          <w:rFonts w:ascii="Arial" w:hAnsi="Arial"/>
          <w:sz w:val="20"/>
        </w:rPr>
        <w:t>[10] Tyche R2 Study, controlled mass arithmetic and action list for a source-backed component mass, CG and inertia ledger.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Verified fuselage correction and CG closure | Analysis record | 21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7"/>
      </w:rPr>
      <w:t>TYCHE R2-T1 | 05_Stability / 06_CG_Static_Margin | SM6.3B + SM6.4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60"/>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Tyche R2-T1 SM6.3B Verification and SM6.4 CG-Envelope Closure</dc:title>
  <dc:subject>Verified Munk-Multhopp fuselage correction and CG loading evidence gate</dc:subject>
  <dc:creator>Tyche Design Team</dc:creator>
  <cp:keywords>Tyche R2-T1, stability, static margin, neutral point, Munk-Multhopp, fuselage, VSPAERO</cp:keywords>
  <dc:description>SM6.3B verified and corrected; SM6.4 advanced to evidence-based HOLD/OPEN disposition.</dc:description>
  <cp:lastModifiedBy/>
  <cp:revision>1</cp:revision>
  <dcterms:created xsi:type="dcterms:W3CDTF">2013-12-23T23:15:00Z</dcterms:created>
  <dcterms:modified xsi:type="dcterms:W3CDTF">2013-12-23T23:15:00Z</dcterms:modified>
  <cp:category/>
</cp:coreProperties>
</file>