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40"/>
        </w:rPr>
        <w:t>Tyche R2-T1</w:t>
        <w:br/>
        <w:t>Forward-CG Control, Gear and Final Validation Closure</w:t>
      </w:r>
    </w:p>
    <w:p>
      <w:pPr>
        <w:spacing w:line="252" w:lineRule="auto"/>
        <w:jc w:val="center"/>
      </w:pPr>
      <w:r>
        <w:rPr>
          <w:rFonts w:ascii="Arial" w:hAnsi="Arial"/>
          <w:b/>
          <w:sz w:val="32"/>
        </w:rPr>
        <w:t>Final Combined Analysis Log: FG8.0–FG8.4, VMC Atmosphere Reconciliation and Uncertainty Register</w:t>
      </w:r>
    </w:p>
    <w:p>
      <w:pPr>
        <w:spacing w:line="252" w:lineRule="auto"/>
        <w:jc w:val="center"/>
      </w:pPr>
      <w:r>
        <w:rPr>
          <w:rFonts w:ascii="Arial" w:hAnsi="Arial"/>
          <w:color w:val="5A5A5A"/>
          <w:sz w:val="22"/>
        </w:rPr>
        <w:t>Folder: 05_Stability/08_Forward_CG_Control_Gear_Closure</w:t>
      </w:r>
    </w:p>
    <w:p>
      <w:pPr>
        <w:spacing w:line="252" w:lineRule="auto"/>
        <w:jc w:val="center"/>
      </w:pPr>
      <w:r>
        <w:rPr>
          <w:rFonts w:ascii="Arial" w:hAnsi="Arial"/>
          <w:color w:val="5A5A5A"/>
          <w:sz w:val="22"/>
        </w:rPr>
        <w:t>Configuration: Tyche R2-T1 / G5 thin lifting-system production model</w:t>
      </w:r>
    </w:p>
    <w:p>
      <w:pPr>
        <w:spacing w:line="252" w:lineRule="auto"/>
        <w:jc w:val="center"/>
      </w:pPr>
      <w:r>
        <w:rPr>
          <w:rFonts w:ascii="Arial" w:hAnsi="Arial"/>
          <w:b/>
          <w:sz w:val="22"/>
        </w:rPr>
        <w:t>Status at issue: FG8.1 PASS | FG8.2 PASS | FG8.3 PASS | FG8.4 CLOSED | VMC atmosphere consistency repaired | uncertainty register complete</w:t>
      </w:r>
    </w:p>
    <w:p>
      <w:pPr>
        <w:spacing w:line="252" w:lineRule="auto"/>
      </w:pPr>
    </w:p>
    <w:p>
      <w:pPr>
        <w:spacing w:before="60" w:after="140" w:line="252" w:lineRule="auto"/>
        <w:ind w:left="259" w:right="259"/>
      </w:pPr>
      <w:r>
        <w:rPr>
          <w:rFonts w:ascii="Arial" w:hAnsi="Arial"/>
          <w:b/>
          <w:sz w:val="24"/>
        </w:rPr>
        <w:t>Purpose. This final controlled record supersedes the earlier FG8-through-FG8.3 issue. It consolidates the executed forward-CG control campaign, completes the analytical landing-gear load closure, recomputes VMC7.4 on explicit atmosphere-consistent bases, and assembles the final uncertainty register needed for report integration. No new simulation is introduced after FG8.3; FG8.4, the VMC consistency repair and the uncertainty register are analytical synthesis tasks.</w:t>
      </w:r>
    </w:p>
    <w:p>
      <w:pPr>
        <w:spacing w:line="252" w:lineRule="auto"/>
      </w:pPr>
      <w:r>
        <w:br w:type="page"/>
      </w:r>
    </w:p>
    <w:p>
      <w:pPr>
        <w:pStyle w:val="Heading1"/>
      </w:pPr>
      <w:r>
        <w:t>1. Scope and Controlled Analysis Basis</w:t>
      </w:r>
    </w:p>
    <w:p>
      <w:pPr>
        <w:spacing w:line="252" w:lineRule="auto"/>
      </w:pPr>
      <w:r>
        <w:t>Folder 08 was introduced after the SM6.4 loading analysis identified forward operational CG states that were more forward than the original nominal control boundary. The folder was intentionally limited to take-off rotation, landing trim/flare, and balked-landing flap-transition control. Powered free-wake VSPAERO was excluded because the VMC7.3 campaign had already established it as non-robust at the relevant low-speed, strongly blown condition.</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Item</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Controlled value / decision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Aerodynamic model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G5 thin lifting-system production model; MainWing + HTail + VTail + LiftStrut_Pair</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Thick-body model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Excluded; mixed thin/thick production use rejected in prior validation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 in VSPAERO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 for all FG8 cases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Take-off forward state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m = 1608.8 kg; xCG = FS 3.37374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Landing / go-around forward state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m = 1519.8 kg; xCG = FS 3.35170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Take-off Fowler surrogate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+12 deg, symmetric trailing-edge-down grouping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Landing Fowler surrogate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 used only for longitudinal control screening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Go-around transition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 -&gt; 20 deg -&gt; 12 deg Fowler, quasi-steady</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Elevator gains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 / -1 mirrored pair retained</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Common numerical settings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VLM; 20 wake iterations; 16 wake nodes; fixed wake OFF; relaxation 1.0</w:t>
            </w:r>
          </w:p>
        </w:tc>
      </w:tr>
    </w:tbl>
    <w:p>
      <w:pPr>
        <w:spacing w:after="0" w:line="252" w:lineRule="auto"/>
      </w:pPr>
    </w:p>
    <w:p>
      <w:pPr>
        <w:pStyle w:val="Heading2"/>
      </w:pPr>
      <w:r>
        <w:t>1.1 Configuration-control notes</w:t>
      </w:r>
    </w:p>
    <w:p>
      <w:pPr>
        <w:pStyle w:val="ListBullet"/>
        <w:spacing w:after="40"/>
      </w:pPr>
      <w:r>
        <w:rPr>
          <w:rFonts w:ascii="Arial" w:hAnsi="Arial"/>
          <w:sz w:val="24"/>
        </w:rPr>
        <w:t>The first FG8.1 positive-elevator files were initially named with “M” despite containing positive GUI commands. The log therefore records the actual GUI command sign rather than relying on the filename token.</w:t>
      </w:r>
    </w:p>
    <w:p>
      <w:pPr>
        <w:pStyle w:val="ListBullet"/>
        <w:spacing w:after="40"/>
      </w:pPr>
      <w:r>
        <w:rPr>
          <w:rFonts w:ascii="Arial" w:hAnsi="Arial"/>
          <w:sz w:val="24"/>
        </w:rPr>
        <w:t>The aerodynamic response established that negative GUI elevator command produces the required nose-up pitching-moment direction in the current G5 control grouping. Final-report wording should therefore state physical control sense (nose-up / TE-up) and avoid relying only on the OpenVSP sign.</w:t>
      </w:r>
    </w:p>
    <w:p>
      <w:pPr>
        <w:pStyle w:val="ListBullet"/>
        <w:spacing w:after="40"/>
      </w:pPr>
      <w:r>
        <w:rPr>
          <w:rFonts w:ascii="Arial" w:hAnsi="Arial"/>
          <w:sz w:val="24"/>
        </w:rPr>
        <w:t>The early FG8.1 positive-command CSVs recorded rho = 1.225 kg/m^3 while the intended hot-high condition was rho = 1.079 kg/m^3. Because propulsion was OFF and Reynolds number was imposed explicitly, their nondimensional coefficients were retained. All dimensional rotation calculations were performed with rho = 1.079 kg/m^3, and the later negative-command runs used the corrected density.</w:t>
      </w:r>
    </w:p>
    <w:p>
      <w:pPr>
        <w:pStyle w:val="Heading1"/>
      </w:pPr>
      <w:r>
        <w:t>2. FG8.0 Forward-CG Static Gear Baseline</w:t>
      </w:r>
    </w:p>
    <w:p>
      <w:pPr>
        <w:spacing w:line="252" w:lineRule="auto"/>
      </w:pPr>
      <w:r>
        <w:t>Before aerodynamic rotation/flare testing, the tricycle-gear static reaction baseline was established using the controlled nose- and main-gear stations xN = 0.750 m and xM = 4.290 m.</w:t>
      </w:r>
    </w:p>
    <w:p>
      <w:pPr>
        <w:spacing w:before="80" w:after="120" w:line="252" w:lineRule="auto"/>
        <w:jc w:val="center"/>
      </w:pPr>
      <m:oMath>
        <m:r>
          <m:rPr>
            <m:sty m:val="p"/>
          </m:rPr>
          <m:t>R_N = W (x_M - x_CG) / (x_M - x_N)</m:t>
        </m:r>
      </m:oMath>
      <w:r>
        <w:rPr>
          <w:rFonts w:ascii="Arial" w:hAnsi="Arial"/>
          <w:sz w:val="20"/>
        </w:rPr>
        <w:t xml:space="preserve">    (2.1)</w:t>
      </w:r>
    </w:p>
    <w:p>
      <w:pPr>
        <w:spacing w:before="80" w:after="120" w:line="252" w:lineRule="auto"/>
        <w:jc w:val="center"/>
      </w:pPr>
      <m:oMath>
        <m:r>
          <m:rPr>
            <m:sty m:val="p"/>
          </m:rPr>
          <m:t>R_M,total = W - R_N</m:t>
        </m:r>
      </m:oMath>
      <w:r>
        <w:rPr>
          <w:rFonts w:ascii="Arial" w:hAnsi="Arial"/>
          <w:sz w:val="20"/>
        </w:rPr>
        <w:t xml:space="preserve">    (2.2)</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trPr>
        <w:tc>
          <w:tcPr>
            <w:tcW w:type="dxa" w:w="1704"/>
            <w:vAlign w:val="center"/>
            <w:tcMar>
              <w:top w:w="80" w:type="dxa"/>
              <w:start w:w="80" w:type="dxa"/>
              <w:bottom w:w="80" w:type="dxa"/>
              <w:end w:w="80" w:type="dxa"/>
            </w:tcMar>
            <w:shd w:fill="D9EAF7"/>
          </w:tcPr>
          <w:p>
            <w:pPr>
              <w:spacing w:after="0"/>
              <w:jc w:val="center"/>
            </w:pPr>
            <w:r/>
            <w:r>
              <w:rPr>
                <w:rFonts w:ascii="Arial" w:hAnsi="Arial"/>
                <w:b/>
                <w:sz w:val="20"/>
              </w:rPr>
              <w:t>Condition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Mass (kg)</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xCG (m)</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Nose fraction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RN (kN)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20"/>
              </w:rPr>
              <w:t>Main total (kN)</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20"/>
              </w:rPr>
              <w:t>Forward take-off</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1608.8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3.37374</w:t>
            </w:r>
          </w:p>
        </w:tc>
        <w:tc>
          <w:tcPr>
            <w:tcW w:type="dxa" w:w="1704"/>
            <w:vAlign w:val="center"/>
            <w:tcMar>
              <w:top w:w="80" w:type="dxa"/>
              <w:start w:w="80" w:type="dxa"/>
              <w:bottom w:w="80" w:type="dxa"/>
              <w:end w:w="80" w:type="dxa"/>
            </w:tcMar>
          </w:tcPr>
          <w:p>
            <w:pPr>
              <w:spacing w:after="0"/>
              <w:jc w:val="center"/>
            </w:pPr>
            <w:r/>
            <w:r>
              <w:rPr>
                <w:rFonts w:ascii="Arial" w:hAnsi="Arial"/>
                <w:b w:val="0"/>
                <w:sz w:val="20"/>
              </w:rPr>
              <w:t>25.88%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4.084</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11.693</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20"/>
              </w:rPr>
              <w:t>Forward landing</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1519.8</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3.35170</w:t>
            </w:r>
          </w:p>
        </w:tc>
        <w:tc>
          <w:tcPr>
            <w:tcW w:type="dxa" w:w="1704"/>
            <w:vAlign w:val="center"/>
            <w:tcMar>
              <w:top w:w="80" w:type="dxa"/>
              <w:start w:w="80" w:type="dxa"/>
              <w:bottom w:w="80" w:type="dxa"/>
              <w:end w:w="80" w:type="dxa"/>
            </w:tcMar>
          </w:tcPr>
          <w:p>
            <w:pPr>
              <w:spacing w:after="0"/>
              <w:jc w:val="center"/>
            </w:pPr>
            <w:r/>
            <w:r>
              <w:rPr>
                <w:rFonts w:ascii="Arial" w:hAnsi="Arial"/>
                <w:b w:val="0"/>
                <w:sz w:val="20"/>
              </w:rPr>
              <w:t>26.51%</w:t>
            </w:r>
          </w:p>
        </w:tc>
        <w:tc>
          <w:tcPr>
            <w:tcW w:type="dxa" w:w="1704"/>
            <w:vAlign w:val="center"/>
            <w:tcMar>
              <w:top w:w="80" w:type="dxa"/>
              <w:start w:w="80" w:type="dxa"/>
              <w:bottom w:w="80" w:type="dxa"/>
              <w:end w:w="80" w:type="dxa"/>
            </w:tcMar>
          </w:tcPr>
          <w:p>
            <w:pPr>
              <w:spacing w:after="0"/>
              <w:jc w:val="center"/>
            </w:pPr>
            <w:r/>
            <w:r>
              <w:rPr>
                <w:rFonts w:ascii="Arial" w:hAnsi="Arial"/>
                <w:b w:val="0"/>
                <w:sz w:val="20"/>
              </w:rPr>
              <w:t>3.950</w:t>
            </w:r>
          </w:p>
        </w:tc>
        <w:tc>
          <w:tcPr>
            <w:tcW w:type="dxa" w:w="1704"/>
            <w:vAlign w:val="center"/>
            <w:tcMar>
              <w:top w:w="80" w:type="dxa"/>
              <w:start w:w="80" w:type="dxa"/>
              <w:bottom w:w="80" w:type="dxa"/>
              <w:end w:w="80" w:type="dxa"/>
            </w:tcMar>
          </w:tcPr>
          <w:p>
            <w:pPr>
              <w:spacing w:after="0"/>
              <w:jc w:val="center"/>
            </w:pPr>
            <w:r/>
            <w:r>
              <w:rPr>
                <w:rFonts w:ascii="Arial" w:hAnsi="Arial"/>
                <w:b w:val="0"/>
                <w:sz w:val="20"/>
              </w:rPr>
              <w:t>10.954</w:t>
            </w:r>
          </w:p>
        </w:tc>
      </w:tr>
    </w:tbl>
    <w:p>
      <w:pPr>
        <w:spacing w:after="0" w:line="252" w:lineRule="auto"/>
      </w:pPr>
    </w:p>
    <w:p>
      <w:pPr>
        <w:spacing w:before="60" w:after="140" w:line="252" w:lineRule="auto"/>
        <w:ind w:left="259" w:right="259"/>
      </w:pPr>
      <w:r>
        <w:rPr>
          <w:rFonts w:ascii="Arial" w:hAnsi="Arial"/>
          <w:sz w:val="24"/>
        </w:rPr>
        <w:t>Status. Static reaction baseline established. The dynamic/limit/ultimate landing-gear load closure is completed analytically in FG8.4 (Section 7 of this final issue).</w:t>
      </w:r>
    </w:p>
    <w:p>
      <w:pPr>
        <w:pStyle w:val="Heading1"/>
      </w:pPr>
      <w:r>
        <w:t>3. FG8.1 Hot-High Forward-CG Take-off Rotation</w:t>
      </w:r>
    </w:p>
    <w:p>
      <w:pPr>
        <w:spacing w:line="252" w:lineRule="auto"/>
      </w:pPr>
      <w:r>
        <w:t>FG8.1 evaluated whether the actual forward take-off loading state can unload the nose wheel at the controlled hot-high rotation condition without credit for powered lift, propeller slipstream, or thrust-line pitching moment. This is deliberately conservative.</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Parameter</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Mass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1608.8 kg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xCG / moment reference</w:t>
            </w:r>
          </w:p>
        </w:tc>
        <w:tc>
          <w:tcPr>
            <w:tcW w:type="dxa" w:w="5112"/>
            <w:vAlign w:val="center"/>
            <w:tcMar>
              <w:top w:w="80" w:type="dxa"/>
              <w:start w:w="80" w:type="dxa"/>
              <w:bottom w:w="80" w:type="dxa"/>
              <w:end w:w="80" w:type="dxa"/>
            </w:tcMar>
          </w:tcPr>
          <w:p>
            <w:pPr>
              <w:spacing w:after="0"/>
              <w:jc w:val="center"/>
            </w:pPr>
            <w:r/>
            <w:r>
              <w:rPr>
                <w:rFonts w:ascii="Arial" w:hAnsi="Arial"/>
                <w:b w:val="0"/>
                <w:sz w:val="20"/>
              </w:rPr>
              <w:t>FS 3.37374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Vinf</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22.16 m/s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rho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1.079 kg/m^3 for dimensionalization</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Mach</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0.0634</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Re(cbar)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2.41E6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Alpha / Beta</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 deg / 0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Fowler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+12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Aileron / rudder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 deg / 0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w:t>
            </w:r>
          </w:p>
        </w:tc>
      </w:tr>
    </w:tbl>
    <w:p>
      <w:pPr>
        <w:spacing w:after="0" w:line="252" w:lineRule="auto"/>
      </w:pPr>
    </w:p>
    <w:p>
      <w:pPr>
        <w:pStyle w:val="Heading2"/>
      </w:pPr>
      <w:r>
        <w:t>3.1 Rotation moment balance</w:t>
      </w:r>
    </w:p>
    <w:p>
      <w:pPr>
        <w:spacing w:before="80" w:after="120" w:line="252" w:lineRule="auto"/>
        <w:jc w:val="center"/>
      </w:pPr>
      <m:oMath>
        <m:r>
          <m:rPr>
            <m:sty m:val="p"/>
          </m:rPr>
          <m:t>C_m,MG = C_m,CG + C_L (x_M - x_CG) / c_bar</m:t>
        </m:r>
      </m:oMath>
      <w:r>
        <w:rPr>
          <w:rFonts w:ascii="Arial" w:hAnsi="Arial"/>
          <w:sz w:val="20"/>
        </w:rPr>
        <w:t xml:space="preserve">    (3.1)</w:t>
      </w:r>
    </w:p>
    <w:p>
      <w:pPr>
        <w:spacing w:before="80" w:after="120" w:line="252" w:lineRule="auto"/>
        <w:jc w:val="center"/>
      </w:pPr>
      <m:oMath>
        <m:r>
          <m:rPr>
            <m:sty m:val="p"/>
          </m:rPr>
          <m:t>M_aero,MG = q S c_bar C_m,MG</m:t>
        </m:r>
      </m:oMath>
      <w:r>
        <w:rPr>
          <w:rFonts w:ascii="Arial" w:hAnsi="Arial"/>
          <w:sz w:val="20"/>
        </w:rPr>
        <w:t xml:space="preserve">    (3.2)</w:t>
      </w:r>
    </w:p>
    <w:p>
      <w:pPr>
        <w:spacing w:before="80" w:after="120" w:line="252" w:lineRule="auto"/>
        <w:jc w:val="center"/>
      </w:pPr>
      <m:oMath>
        <m:r>
          <m:rPr>
            <m:sty m:val="p"/>
          </m:rPr>
          <m:t>R_N = [ W (x_M - x_CG) - M_aero,MG ] / (x_M - x_N)</m:t>
        </m:r>
      </m:oMath>
      <w:r>
        <w:rPr>
          <w:rFonts w:ascii="Arial" w:hAnsi="Arial"/>
          <w:sz w:val="20"/>
        </w:rPr>
        <w:t xml:space="preserve">    (3.3)</w:t>
      </w:r>
    </w:p>
    <w:p>
      <w:pPr>
        <w:spacing w:line="252" w:lineRule="auto"/>
      </w:pPr>
      <w:r>
        <w:t>The rotation condition is satisfied when the calculated nose-wheel reaction reaches or crosses zero:</w:t>
      </w:r>
    </w:p>
    <w:p>
      <w:pPr>
        <w:spacing w:before="80" w:after="120" w:line="252" w:lineRule="auto"/>
        <w:jc w:val="center"/>
      </w:pPr>
      <m:oMath>
        <m:r>
          <m:rPr>
            <m:sty m:val="p"/>
          </m:rPr>
          <m:t>R_N &lt;= 0</m:t>
        </m:r>
      </m:oMath>
      <w:r>
        <w:rPr>
          <w:rFonts w:ascii="Arial" w:hAnsi="Arial"/>
          <w:sz w:val="20"/>
        </w:rPr>
        <w:t xml:space="preserve">    (3.4)</w:t>
      </w:r>
    </w:p>
    <w:p>
      <w:pPr>
        <w:pStyle w:val="Heading2"/>
      </w:pPr>
      <w:r>
        <w:t>3.2 Executed elevator sweep and sign audit</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GUI elevator command</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CL</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Cm about CG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Interpretation / use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0.84704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+0.02659</w:t>
            </w:r>
          </w:p>
        </w:tc>
        <w:tc>
          <w:tcPr>
            <w:tcW w:type="dxa" w:w="2556"/>
            <w:vAlign w:val="center"/>
            <w:tcMar>
              <w:top w:w="80" w:type="dxa"/>
              <w:start w:w="80" w:type="dxa"/>
              <w:bottom w:w="80" w:type="dxa"/>
              <w:end w:w="80" w:type="dxa"/>
            </w:tcMar>
          </w:tcPr>
          <w:p>
            <w:pPr>
              <w:spacing w:after="0"/>
              <w:jc w:val="left"/>
            </w:pPr>
            <w:r/>
            <w:r>
              <w:rPr>
                <w:rFonts w:ascii="Arial" w:hAnsi="Arial"/>
                <w:b w:val="0"/>
                <w:sz w:val="20"/>
              </w:rPr>
              <w:t>Neutral baseline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0.91488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-0.18134</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(nose-down moment)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0.98171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-0.38562</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1.04744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-0.58513</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1.11211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-0.78034</w:t>
            </w:r>
          </w:p>
        </w:tc>
        <w:tc>
          <w:tcPr>
            <w:tcW w:type="dxa" w:w="2556"/>
            <w:vAlign w:val="center"/>
            <w:tcMar>
              <w:top w:w="80" w:type="dxa"/>
              <w:start w:w="80" w:type="dxa"/>
              <w:bottom w:w="80" w:type="dxa"/>
              <w:end w:w="80" w:type="dxa"/>
            </w:tcMar>
          </w:tcPr>
          <w:p>
            <w:pPr>
              <w:spacing w:after="0"/>
              <w:jc w:val="left"/>
            </w:pPr>
            <w:r/>
            <w:r>
              <w:rPr>
                <w:rFonts w:ascii="Arial" w:hAnsi="Arial"/>
                <w:b w:val="0"/>
                <w:sz w:val="20"/>
              </w:rPr>
              <w:t>Opposite direction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0.64114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+0.66859</w:t>
            </w:r>
          </w:p>
        </w:tc>
        <w:tc>
          <w:tcPr>
            <w:tcW w:type="dxa" w:w="2556"/>
            <w:vAlign w:val="center"/>
            <w:tcMar>
              <w:top w:w="80" w:type="dxa"/>
              <w:start w:w="80" w:type="dxa"/>
              <w:bottom w:w="80" w:type="dxa"/>
              <w:end w:w="80" w:type="dxa"/>
            </w:tcMar>
          </w:tcPr>
          <w:p>
            <w:pPr>
              <w:spacing w:after="0"/>
              <w:jc w:val="left"/>
            </w:pPr>
            <w:r/>
            <w:r>
              <w:rPr>
                <w:rFonts w:ascii="Arial" w:hAnsi="Arial"/>
                <w:b w:val="0"/>
                <w:sz w:val="20"/>
              </w:rPr>
              <w:t>Nose-up authority; rotation crossing vicinity</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0.58037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+0.86128</w:t>
            </w:r>
          </w:p>
        </w:tc>
        <w:tc>
          <w:tcPr>
            <w:tcW w:type="dxa" w:w="2556"/>
            <w:vAlign w:val="center"/>
            <w:tcMar>
              <w:top w:w="80" w:type="dxa"/>
              <w:start w:w="80" w:type="dxa"/>
              <w:bottom w:w="80" w:type="dxa"/>
              <w:end w:w="80" w:type="dxa"/>
            </w:tcMar>
          </w:tcPr>
          <w:p>
            <w:pPr>
              <w:spacing w:after="0"/>
              <w:jc w:val="left"/>
            </w:pPr>
            <w:r/>
            <w:r>
              <w:rPr>
                <w:rFonts w:ascii="Arial" w:hAnsi="Arial"/>
                <w:b w:val="0"/>
                <w:sz w:val="20"/>
              </w:rPr>
              <w:t>Nose-up authority; converged positive margin</w:t>
            </w:r>
          </w:p>
        </w:tc>
      </w:tr>
    </w:tbl>
    <w:p>
      <w:pPr>
        <w:spacing w:after="0" w:line="252" w:lineRule="auto"/>
      </w:pPr>
    </w:p>
    <w:p>
      <w:pPr>
        <w:pStyle w:val="Heading2"/>
      </w:pPr>
      <w:r>
        <w:t>3.3 Rotation result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trPr>
        <w:tc>
          <w:tcPr>
            <w:tcW w:type="dxa" w:w="2045"/>
            <w:vAlign w:val="center"/>
            <w:tcMar>
              <w:top w:w="80" w:type="dxa"/>
              <w:start w:w="80" w:type="dxa"/>
              <w:bottom w:w="80" w:type="dxa"/>
              <w:end w:w="80" w:type="dxa"/>
            </w:tcMar>
            <w:shd w:fill="D9EAF7"/>
          </w:tcPr>
          <w:p>
            <w:pPr>
              <w:spacing w:after="0"/>
              <w:jc w:val="center"/>
            </w:pPr>
            <w:r/>
            <w:r>
              <w:rPr>
                <w:rFonts w:ascii="Arial" w:hAnsi="Arial"/>
                <w:b/>
                <w:sz w:val="20"/>
              </w:rPr>
              <w:t>Case</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Cm,MG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Maero,MG (kN m)</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RN (kN)</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20"/>
              </w:rPr>
              <w:t>Convergence disposition</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0.4392</w:t>
            </w:r>
          </w:p>
        </w:tc>
        <w:tc>
          <w:tcPr>
            <w:tcW w:type="dxa" w:w="2045"/>
            <w:vAlign w:val="center"/>
            <w:tcMar>
              <w:top w:w="80" w:type="dxa"/>
              <w:start w:w="80" w:type="dxa"/>
              <w:bottom w:w="80" w:type="dxa"/>
              <w:end w:w="80" w:type="dxa"/>
            </w:tcMar>
          </w:tcPr>
          <w:p>
            <w:pPr>
              <w:spacing w:after="0"/>
              <w:jc w:val="center"/>
            </w:pPr>
            <w:r/>
            <w:r>
              <w:rPr>
                <w:rFonts w:ascii="Arial" w:hAnsi="Arial"/>
                <w:b w:val="0"/>
                <w:sz w:val="20"/>
              </w:rPr>
              <w:t>6.566</w:t>
            </w:r>
          </w:p>
        </w:tc>
        <w:tc>
          <w:tcPr>
            <w:tcW w:type="dxa" w:w="2045"/>
            <w:vAlign w:val="center"/>
            <w:tcMar>
              <w:top w:w="80" w:type="dxa"/>
              <w:start w:w="80" w:type="dxa"/>
              <w:bottom w:w="80" w:type="dxa"/>
              <w:end w:w="80" w:type="dxa"/>
            </w:tcMar>
          </w:tcPr>
          <w:p>
            <w:pPr>
              <w:spacing w:after="0"/>
              <w:jc w:val="center"/>
            </w:pPr>
            <w:r/>
            <w:r>
              <w:rPr>
                <w:rFonts w:ascii="Arial" w:hAnsi="Arial"/>
                <w:b w:val="0"/>
                <w:sz w:val="20"/>
              </w:rPr>
              <w:t>+2.229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Baseline</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-15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0.9809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14.664</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-0.059</w:t>
            </w:r>
          </w:p>
        </w:tc>
        <w:tc>
          <w:tcPr>
            <w:tcW w:type="dxa" w:w="2045"/>
            <w:vAlign w:val="center"/>
            <w:tcMar>
              <w:top w:w="80" w:type="dxa"/>
              <w:start w:w="80" w:type="dxa"/>
              <w:bottom w:w="80" w:type="dxa"/>
              <w:end w:w="80" w:type="dxa"/>
            </w:tcMar>
          </w:tcPr>
          <w:p>
            <w:pPr>
              <w:spacing w:after="0"/>
              <w:jc w:val="center"/>
            </w:pPr>
            <w:r/>
            <w:r>
              <w:rPr>
                <w:rFonts w:ascii="Arial" w:hAnsi="Arial"/>
                <w:b w:val="0"/>
                <w:sz w:val="20"/>
              </w:rPr>
              <w:t>Authority demonstrated; final-step convergence note</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20"/>
              </w:rPr>
              <w:t>-20 deg</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1.1440</w:t>
            </w:r>
          </w:p>
        </w:tc>
        <w:tc>
          <w:tcPr>
            <w:tcW w:type="dxa" w:w="2045"/>
            <w:vAlign w:val="center"/>
            <w:tcMar>
              <w:top w:w="80" w:type="dxa"/>
              <w:start w:w="80" w:type="dxa"/>
              <w:bottom w:w="80" w:type="dxa"/>
              <w:end w:w="80" w:type="dxa"/>
            </w:tcMar>
          </w:tcPr>
          <w:p>
            <w:pPr>
              <w:spacing w:after="0"/>
              <w:jc w:val="center"/>
            </w:pPr>
            <w:r/>
            <w:r>
              <w:rPr>
                <w:rFonts w:ascii="Arial" w:hAnsi="Arial"/>
                <w:b w:val="0"/>
                <w:sz w:val="20"/>
              </w:rPr>
              <w:t>17.103</w:t>
            </w:r>
          </w:p>
        </w:tc>
        <w:tc>
          <w:tcPr>
            <w:tcW w:type="dxa" w:w="2045"/>
            <w:vAlign w:val="center"/>
            <w:tcMar>
              <w:top w:w="80" w:type="dxa"/>
              <w:start w:w="80" w:type="dxa"/>
              <w:bottom w:w="80" w:type="dxa"/>
              <w:end w:w="80" w:type="dxa"/>
            </w:tcMar>
          </w:tcPr>
          <w:p>
            <w:pPr>
              <w:spacing w:after="0"/>
              <w:jc w:val="center"/>
            </w:pPr>
            <w:r/>
            <w:r>
              <w:rPr>
                <w:rFonts w:ascii="Arial" w:hAnsi="Arial"/>
                <w:b w:val="0"/>
                <w:sz w:val="20"/>
              </w:rPr>
              <w:t>-0.748</w:t>
            </w:r>
          </w:p>
        </w:tc>
        <w:tc>
          <w:tcPr>
            <w:tcW w:type="dxa" w:w="2045"/>
            <w:vAlign w:val="center"/>
            <w:tcMar>
              <w:top w:w="80" w:type="dxa"/>
              <w:start w:w="80" w:type="dxa"/>
              <w:bottom w:w="80" w:type="dxa"/>
              <w:end w:w="80" w:type="dxa"/>
            </w:tcMar>
          </w:tcPr>
          <w:p>
            <w:pPr>
              <w:spacing w:after="0"/>
              <w:jc w:val="center"/>
            </w:pPr>
            <w:r/>
            <w:r>
              <w:rPr>
                <w:rFonts w:ascii="Arial" w:hAnsi="Arial"/>
                <w:b w:val="0"/>
                <w:sz w:val="20"/>
              </w:rPr>
              <w:t>PASS; longitudinal gates satisfied</w:t>
            </w:r>
          </w:p>
        </w:tc>
      </w:tr>
    </w:tbl>
    <w:p>
      <w:pPr>
        <w:spacing w:after="0" w:line="252" w:lineRule="auto"/>
      </w:pPr>
    </w:p>
    <w:p>
      <w:pPr>
        <w:spacing w:line="252" w:lineRule="auto"/>
      </w:pPr>
      <w:r>
        <w:t>The minimum rotation demand is therefore approximately 15 deg in the demonstrated nose-up physical direction. Because the -15 deg case is noisier than the -20 deg case, the log deliberately avoids presenting a spurious high-precision minimum. The -20 deg point provides the clean positive-authority demonstration.</w:t>
      </w:r>
    </w:p>
    <w:p>
      <w:pPr>
        <w:spacing w:before="80" w:after="120" w:line="252" w:lineRule="auto"/>
        <w:jc w:val="center"/>
      </w:pPr>
      <m:oMath>
        <m:r>
          <m:rPr>
            <m:sty m:val="p"/>
          </m:rPr>
          <m:t>|delta_e,max,required| &gt;= |delta_e,rot| / 0.90</m:t>
        </m:r>
      </m:oMath>
      <w:r>
        <w:rPr>
          <w:rFonts w:ascii="Arial" w:hAnsi="Arial"/>
          <w:sz w:val="20"/>
        </w:rPr>
        <w:t xml:space="preserve">    (3.5)</w:t>
      </w:r>
    </w:p>
    <w:p>
      <w:pPr>
        <w:spacing w:line="252" w:lineRule="auto"/>
      </w:pPr>
      <w:r>
        <w:t>Using an approximately 15 deg rotation demand, a 10% geometric control-travel reserve implies a minimum design requirement of approximately 17 deg in the nose-up elevator direction.</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FG8.1 convergence item</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-15 deg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-20 deg</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Gate / interpretation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0.702%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0.199%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0.697%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CDiw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0.775%</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0.102%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&lt;0.5%; -15 NOTE, -20 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|Delta Cm| 19-&gt;20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0.01432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0.00280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&lt;0.005; -15 NOTE, -20 PASS</w:t>
            </w:r>
          </w:p>
        </w:tc>
      </w:tr>
    </w:tbl>
    <w:p>
      <w:pPr>
        <w:spacing w:after="0" w:line="252" w:lineRule="auto"/>
      </w:pPr>
    </w:p>
    <w:p>
      <w:pPr>
        <w:spacing w:before="60" w:after="140" w:line="252" w:lineRule="auto"/>
        <w:ind w:left="259" w:right="259"/>
      </w:pPr>
      <w:r>
        <w:rPr>
          <w:rFonts w:ascii="Arial" w:hAnsi="Arial"/>
          <w:b/>
          <w:sz w:val="22"/>
        </w:rPr>
        <w:t xml:space="preserve">FG8.1 conclusion. </w:t>
      </w:r>
      <w:r>
        <w:rPr>
          <w:rFonts w:ascii="Arial" w:hAnsi="Arial"/>
          <w:sz w:val="22"/>
        </w:rPr>
        <w:t>PASS. Forward-CG hot-high take-off rotation authority is demonstrated without powered-lift, propwash, or thrust-line moment credit. Approximately 15 deg nose-up elevator is required; the converged 20 deg nose-up case provides a clear positive nose-wheel-unload margin. High-deflection lateral coefficients are not used as lateral-directional validation evidence.</w:t>
      </w:r>
    </w:p>
    <w:p>
      <w:pPr>
        <w:pStyle w:val="Heading1"/>
      </w:pPr>
      <w:r>
        <w:t>4. FG8.2 Forward-CG Landing Trim and Flare Authority</w:t>
      </w:r>
    </w:p>
    <w:p>
      <w:pPr>
        <w:spacing w:line="252" w:lineRule="auto"/>
      </w:pPr>
      <w:r>
        <w:t>FG8.2 first established that the +35 deg Fowler surrogate remained sufficiently stable for longitudinal control screening, then used neutral and -10 deg elevator alpha sweeps to bracket the actual forward-CG landing trim state.</w:t>
      </w:r>
    </w:p>
    <w:p>
      <w:pPr>
        <w:pStyle w:val="Heading2"/>
      </w:pPr>
      <w:r>
        <w:t>4.1 +35 deg Fowler sanity check</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Quantity</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Final value</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19-&gt;20 change</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Disposition</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1.59808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0.064%</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CLw</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1.63859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0.267%</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CDiw</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0.11955</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0.513%</w:t>
            </w:r>
          </w:p>
        </w:tc>
        <w:tc>
          <w:tcPr>
            <w:tcW w:type="dxa" w:w="2556"/>
            <w:vAlign w:val="center"/>
            <w:tcMar>
              <w:top w:w="80" w:type="dxa"/>
              <w:start w:w="80" w:type="dxa"/>
              <w:bottom w:w="80" w:type="dxa"/>
              <w:end w:w="80" w:type="dxa"/>
            </w:tcMar>
          </w:tcPr>
          <w:p>
            <w:pPr>
              <w:spacing w:after="0"/>
              <w:jc w:val="center"/>
            </w:pPr>
            <w:r/>
            <w:r>
              <w:rPr>
                <w:rFonts w:ascii="Arial" w:hAnsi="Arial"/>
                <w:b w:val="0"/>
                <w:sz w:val="20"/>
              </w:rPr>
              <w:t>MARGINAL; not used as drag evidence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Cm</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+0.06752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0.000264 absolute</w:t>
            </w:r>
          </w:p>
        </w:tc>
        <w:tc>
          <w:tcPr>
            <w:tcW w:type="dxa" w:w="2556"/>
            <w:vAlign w:val="center"/>
            <w:tcMar>
              <w:top w:w="80" w:type="dxa"/>
              <w:start w:w="80" w:type="dxa"/>
              <w:bottom w:w="80" w:type="dxa"/>
              <w:end w:w="80" w:type="dxa"/>
            </w:tcMar>
          </w:tcPr>
          <w:p>
            <w:pPr>
              <w:spacing w:after="0"/>
              <w:jc w:val="center"/>
            </w:pPr>
            <w:r/>
            <w:r>
              <w:rPr>
                <w:rFonts w:ascii="Arial" w:hAnsi="Arial"/>
                <w:b w:val="0"/>
                <w:sz w:val="20"/>
              </w:rPr>
              <w:t>PASS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CY / Cl / Cn</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+0.00317 / +0.00206 / -0.00113</w:t>
            </w:r>
          </w:p>
        </w:tc>
        <w:tc>
          <w:tcPr>
            <w:tcW w:type="dxa" w:w="2556"/>
            <w:vAlign w:val="center"/>
            <w:tcMar>
              <w:top w:w="80" w:type="dxa"/>
              <w:start w:w="80" w:type="dxa"/>
              <w:bottom w:w="80" w:type="dxa"/>
              <w:end w:w="80" w:type="dxa"/>
            </w:tcMar>
          </w:tcPr>
          <w:p>
            <w:pPr>
              <w:spacing w:after="0"/>
              <w:jc w:val="center"/>
            </w:pPr>
            <w:r/>
            <w:r>
              <w:rPr>
                <w:rFonts w:ascii="Arial" w:hAnsi="Arial"/>
                <w:b w:val="0"/>
                <w:sz w:val="20"/>
              </w:rPr>
              <w:t>-</w:t>
            </w:r>
          </w:p>
        </w:tc>
        <w:tc>
          <w:tcPr>
            <w:tcW w:type="dxa" w:w="2556"/>
            <w:vAlign w:val="center"/>
            <w:tcMar>
              <w:top w:w="80" w:type="dxa"/>
              <w:start w:w="80" w:type="dxa"/>
              <w:bottom w:w="80" w:type="dxa"/>
              <w:end w:w="80" w:type="dxa"/>
            </w:tcMar>
          </w:tcPr>
          <w:p>
            <w:pPr>
              <w:spacing w:after="0"/>
              <w:jc w:val="center"/>
            </w:pPr>
            <w:r/>
            <w:r>
              <w:rPr>
                <w:rFonts w:ascii="Arial" w:hAnsi="Arial"/>
                <w:b w:val="0"/>
                <w:sz w:val="20"/>
              </w:rPr>
              <w:t>Numerical-bias note; not used laterally</w:t>
            </w:r>
          </w:p>
        </w:tc>
      </w:tr>
    </w:tbl>
    <w:p>
      <w:pPr>
        <w:spacing w:after="0" w:line="252" w:lineRule="auto"/>
      </w:pPr>
    </w:p>
    <w:p>
      <w:pPr>
        <w:spacing w:before="60" w:after="140" w:line="252" w:lineRule="auto"/>
        <w:ind w:left="259" w:right="259"/>
      </w:pPr>
      <w:r>
        <w:rPr>
          <w:rFonts w:ascii="Arial" w:hAnsi="Arial"/>
          <w:b/>
          <w:sz w:val="22"/>
        </w:rPr>
        <w:t xml:space="preserve">Scope boundary. </w:t>
      </w:r>
      <w:r>
        <w:rPr>
          <w:rFonts w:ascii="Arial" w:hAnsi="Arial"/>
          <w:sz w:val="22"/>
        </w:rPr>
        <w:t>The +35 deg Fowler VLM state is accepted only as a longitudinal control-authority surrogate. It is not validation of the actual double-slotted Fowler/slat CLmax, landing drag polar, or certification-level stall behaviour.</w:t>
      </w:r>
    </w:p>
    <w:p>
      <w:pPr>
        <w:pStyle w:val="Heading2"/>
      </w:pPr>
      <w:r>
        <w:t>4.2 Mass-specific forward landing reference state</w:t>
      </w:r>
    </w:p>
    <w:p>
      <w:pPr>
        <w:spacing w:before="80" w:after="120" w:line="252" w:lineRule="auto"/>
        <w:jc w:val="center"/>
      </w:pPr>
      <m:oMath>
        <m:r>
          <m:rPr>
            <m:sty m:val="p"/>
          </m:rPr>
          <m:t>C_L,req = W / (q S)</m:t>
        </m:r>
      </m:oMath>
      <w:r>
        <w:rPr>
          <w:rFonts w:ascii="Arial" w:hAnsi="Arial"/>
          <w:sz w:val="20"/>
        </w:rPr>
        <w:t xml:space="preserve">    (4.1)</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Parameter</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Mass</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1519.8 kg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xCG</w:t>
            </w:r>
          </w:p>
        </w:tc>
        <w:tc>
          <w:tcPr>
            <w:tcW w:type="dxa" w:w="5112"/>
            <w:vAlign w:val="center"/>
            <w:tcMar>
              <w:top w:w="80" w:type="dxa"/>
              <w:start w:w="80" w:type="dxa"/>
              <w:bottom w:w="80" w:type="dxa"/>
              <w:end w:w="80" w:type="dxa"/>
            </w:tcMar>
          </w:tcPr>
          <w:p>
            <w:pPr>
              <w:spacing w:after="0"/>
              <w:jc w:val="center"/>
            </w:pPr>
            <w:r/>
            <w:r>
              <w:rPr>
                <w:rFonts w:ascii="Arial" w:hAnsi="Arial"/>
                <w:b w:val="0"/>
                <w:sz w:val="20"/>
              </w:rPr>
              <w:t>FS 3.35170 m</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Vinf</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21.72 m/s</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rho</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1.079 kg/m^3</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Mach</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0.0621</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Re(cbar)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2.35E6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q</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254.51 Pa</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1.95198</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Fowler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+35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Propulsion</w:t>
            </w:r>
          </w:p>
        </w:tc>
        <w:tc>
          <w:tcPr>
            <w:tcW w:type="dxa" w:w="5112"/>
            <w:vAlign w:val="center"/>
            <w:tcMar>
              <w:top w:w="80" w:type="dxa"/>
              <w:start w:w="80" w:type="dxa"/>
              <w:bottom w:w="80" w:type="dxa"/>
              <w:end w:w="80" w:type="dxa"/>
            </w:tcMar>
          </w:tcPr>
          <w:p>
            <w:pPr>
              <w:spacing w:after="0"/>
              <w:jc w:val="center"/>
            </w:pPr>
            <w:r/>
            <w:r>
              <w:rPr>
                <w:rFonts w:ascii="Arial" w:hAnsi="Arial"/>
                <w:b w:val="0"/>
                <w:sz w:val="20"/>
              </w:rPr>
              <w:t>OFF</w:t>
            </w:r>
          </w:p>
        </w:tc>
      </w:tr>
    </w:tbl>
    <w:p>
      <w:pPr>
        <w:spacing w:after="0" w:line="252" w:lineRule="auto"/>
      </w:pPr>
    </w:p>
    <w:p>
      <w:pPr>
        <w:pStyle w:val="Heading2"/>
      </w:pPr>
      <w:r>
        <w:t>4.3 Executed trim sweeps</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20"/>
              </w:rPr>
              <w:t>Elevator</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Alpha</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CL</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20"/>
              </w:rPr>
              <w:t>Cm</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1.59819</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+0.06743</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4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1.96032</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-0.14137</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8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2.30896</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-0.36888</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1.46331</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+0.49134</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4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1.82470</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+0.28110</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20"/>
              </w:rPr>
              <w:t>-10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8 deg</w:t>
            </w:r>
          </w:p>
        </w:tc>
        <w:tc>
          <w:tcPr>
            <w:tcW w:type="dxa" w:w="2556"/>
            <w:vAlign w:val="center"/>
            <w:tcMar>
              <w:top w:w="80" w:type="dxa"/>
              <w:start w:w="80" w:type="dxa"/>
              <w:bottom w:w="80" w:type="dxa"/>
              <w:end w:w="80" w:type="dxa"/>
            </w:tcMar>
          </w:tcPr>
          <w:p>
            <w:pPr>
              <w:spacing w:after="0"/>
              <w:jc w:val="center"/>
            </w:pPr>
            <w:r/>
            <w:r>
              <w:rPr>
                <w:rFonts w:ascii="Arial" w:hAnsi="Arial"/>
                <w:b w:val="0"/>
                <w:sz w:val="20"/>
              </w:rPr>
              <w:t>2.17648</w:t>
            </w:r>
          </w:p>
        </w:tc>
        <w:tc>
          <w:tcPr>
            <w:tcW w:type="dxa" w:w="2556"/>
            <w:vAlign w:val="center"/>
            <w:tcMar>
              <w:top w:w="80" w:type="dxa"/>
              <w:start w:w="80" w:type="dxa"/>
              <w:bottom w:w="80" w:type="dxa"/>
              <w:end w:w="80" w:type="dxa"/>
            </w:tcMar>
          </w:tcPr>
          <w:p>
            <w:pPr>
              <w:spacing w:after="0"/>
              <w:jc w:val="center"/>
            </w:pPr>
            <w:r/>
            <w:r>
              <w:rPr>
                <w:rFonts w:ascii="Arial" w:hAnsi="Arial"/>
                <w:b w:val="0"/>
                <w:sz w:val="20"/>
              </w:rPr>
              <w:t>+0.05205</w:t>
            </w:r>
          </w:p>
        </w:tc>
      </w:tr>
    </w:tbl>
    <w:p>
      <w:pPr>
        <w:spacing w:after="0" w:line="252" w:lineRule="auto"/>
      </w:pPr>
    </w:p>
    <w:p>
      <w:pPr>
        <w:pStyle w:val="Heading2"/>
      </w:pPr>
      <w:r>
        <w:t>4.4 Interpolated approach trim</w:t>
      </w:r>
    </w:p>
    <w:p>
      <w:pPr>
        <w:spacing w:line="252" w:lineRule="auto"/>
      </w:pPr>
      <w:r>
        <w:t>At the required lift coefficient, the neutral-elevator sweep gives approximately alpha = 3.91 deg and Cm = -0.13656, whereas the -10 deg sweep gives approximately alpha = 5.45 deg and Cm = +0.19822. The two states therefore bracket the zero-moment trim point.</w:t>
      </w:r>
    </w:p>
    <w:p>
      <w:pPr>
        <w:spacing w:before="80" w:after="120" w:line="252" w:lineRule="auto"/>
        <w:jc w:val="center"/>
      </w:pPr>
      <m:oMath>
        <m:r>
          <m:rPr>
            <m:sty m:val="p"/>
          </m:rPr>
          <m:t>delta_e,trim ~= -4.08 deg (OpenVSP GUI command)</m:t>
        </m:r>
      </m:oMath>
      <w:r>
        <w:rPr>
          <w:rFonts w:ascii="Arial" w:hAnsi="Arial"/>
          <w:sz w:val="20"/>
        </w:rPr>
        <w:t xml:space="preserve">    (4.2)</w:t>
      </w:r>
    </w:p>
    <w:p>
      <w:pPr>
        <w:spacing w:before="80" w:after="120" w:line="252" w:lineRule="auto"/>
        <w:jc w:val="center"/>
      </w:pPr>
      <m:oMath>
        <m:r>
          <m:rPr>
            <m:sty m:val="p"/>
          </m:rPr>
          <m:t>alpha_trim ~= 4.54 deg</m:t>
        </m:r>
      </m:oMath>
      <w:r>
        <w:rPr>
          <w:rFonts w:ascii="Arial" w:hAnsi="Arial"/>
          <w:sz w:val="20"/>
        </w:rPr>
        <w:t xml:space="preserve">    (4.3)</w:t>
      </w:r>
    </w:p>
    <w:p>
      <w:pPr>
        <w:spacing w:line="252" w:lineRule="auto"/>
      </w:pPr>
      <w:r>
        <w:t>The tested -10 deg state therefore retains approximately 5.9 deg of additional demonstrated nose-up elevator movement beyond steady trim. At CL = 1.95198, its additional positive pitching moment is approximately 2.85 kN m.</w:t>
      </w:r>
    </w:p>
    <w:tbl>
      <w:tblPr>
        <w:tblStyle w:val="TableGrid"/>
        <w:tblW w:type="auto" w:w="0"/>
        <w:jc w:val="center"/>
        <w:tblLook w:firstColumn="1" w:firstRow="1" w:lastColumn="0" w:lastRow="0" w:noHBand="0" w:noVBand="1" w:val="04A0"/>
      </w:tblPr>
      <w:tblGrid>
        <w:gridCol w:w="5112"/>
        <w:gridCol w:w="5112"/>
      </w:tblGrid>
      <w:tr>
        <w:trPr>
          <w:trHeight w:hRule="atLeast"/>
          <w:tblHeader w:val="true"/>
        </w:trPr>
        <w:tc>
          <w:tcPr>
            <w:tcW w:type="dxa" w:w="5112"/>
            <w:vAlign w:val="center"/>
            <w:tcMar>
              <w:top w:w="80" w:type="dxa"/>
              <w:start w:w="80" w:type="dxa"/>
              <w:bottom w:w="80" w:type="dxa"/>
              <w:end w:w="80" w:type="dxa"/>
            </w:tcMar>
            <w:shd w:fill="D9EAF7"/>
          </w:tcPr>
          <w:p>
            <w:pPr>
              <w:spacing w:after="0"/>
              <w:jc w:val="center"/>
            </w:pPr>
            <w:r/>
            <w:r>
              <w:rPr>
                <w:rFonts w:ascii="Arial" w:hAnsi="Arial"/>
                <w:b/>
                <w:sz w:val="20"/>
              </w:rPr>
              <w:t>FG8.2 result</w:t>
            </w:r>
          </w:p>
        </w:tc>
        <w:tc>
          <w:tcPr>
            <w:tcW w:type="dxa" w:w="5112"/>
            <w:vAlign w:val="center"/>
            <w:tcMar>
              <w:top w:w="80" w:type="dxa"/>
              <w:start w:w="80" w:type="dxa"/>
              <w:bottom w:w="80" w:type="dxa"/>
              <w:end w:w="80" w:type="dxa"/>
            </w:tcMar>
            <w:shd w:fill="D9EAF7"/>
          </w:tcPr>
          <w:p>
            <w:pPr>
              <w:spacing w:after="0"/>
              <w:jc w:val="center"/>
            </w:pPr>
            <w:r/>
            <w:r>
              <w:rPr>
                <w:rFonts w:ascii="Arial" w:hAnsi="Arial"/>
                <w:b/>
                <w:sz w:val="20"/>
              </w:rPr>
              <w:t>Value</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1.95198</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Neutral-elevator Cm at 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-0.13656</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-10 deg elevator Cm at required CL</w:t>
            </w:r>
          </w:p>
        </w:tc>
        <w:tc>
          <w:tcPr>
            <w:tcW w:type="dxa" w:w="5112"/>
            <w:vAlign w:val="center"/>
            <w:tcMar>
              <w:top w:w="80" w:type="dxa"/>
              <w:start w:w="80" w:type="dxa"/>
              <w:bottom w:w="80" w:type="dxa"/>
              <w:end w:w="80" w:type="dxa"/>
            </w:tcMar>
          </w:tcPr>
          <w:p>
            <w:pPr>
              <w:spacing w:after="0"/>
              <w:jc w:val="center"/>
            </w:pPr>
            <w:r/>
            <w:r>
              <w:rPr>
                <w:rFonts w:ascii="Arial" w:hAnsi="Arial"/>
                <w:b w:val="0"/>
                <w:sz w:val="20"/>
              </w:rPr>
              <w:t>+0.19822</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Estimated steady trim elevator</w:t>
            </w:r>
          </w:p>
        </w:tc>
        <w:tc>
          <w:tcPr>
            <w:tcW w:type="dxa" w:w="5112"/>
            <w:vAlign w:val="center"/>
            <w:tcMar>
              <w:top w:w="80" w:type="dxa"/>
              <w:start w:w="80" w:type="dxa"/>
              <w:bottom w:w="80" w:type="dxa"/>
              <w:end w:w="80" w:type="dxa"/>
            </w:tcMar>
          </w:tcPr>
          <w:p>
            <w:pPr>
              <w:spacing w:after="0"/>
              <w:jc w:val="center"/>
            </w:pPr>
            <w:r/>
            <w:r>
              <w:rPr>
                <w:rFonts w:ascii="Arial" w:hAnsi="Arial"/>
                <w:b w:val="0"/>
                <w:sz w:val="20"/>
              </w:rPr>
              <w:t>~4.08 deg nose-up</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Estimated trim alpha</w:t>
            </w:r>
          </w:p>
        </w:tc>
        <w:tc>
          <w:tcPr>
            <w:tcW w:type="dxa" w:w="5112"/>
            <w:vAlign w:val="center"/>
            <w:tcMar>
              <w:top w:w="80" w:type="dxa"/>
              <w:start w:w="80" w:type="dxa"/>
              <w:bottom w:w="80" w:type="dxa"/>
              <w:end w:w="80" w:type="dxa"/>
            </w:tcMar>
          </w:tcPr>
          <w:p>
            <w:pPr>
              <w:spacing w:after="0"/>
              <w:jc w:val="center"/>
            </w:pPr>
            <w:r/>
            <w:r>
              <w:rPr>
                <w:rFonts w:ascii="Arial" w:hAnsi="Arial"/>
                <w:b w:val="0"/>
                <w:sz w:val="20"/>
              </w:rPr>
              <w:t>~4.54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Tested additional elevator beyond trim</w:t>
            </w:r>
          </w:p>
        </w:tc>
        <w:tc>
          <w:tcPr>
            <w:tcW w:type="dxa" w:w="5112"/>
            <w:vAlign w:val="center"/>
            <w:tcMar>
              <w:top w:w="80" w:type="dxa"/>
              <w:start w:w="80" w:type="dxa"/>
              <w:bottom w:w="80" w:type="dxa"/>
              <w:end w:w="80" w:type="dxa"/>
            </w:tcMar>
          </w:tcPr>
          <w:p>
            <w:pPr>
              <w:spacing w:after="0"/>
              <w:jc w:val="center"/>
            </w:pPr>
            <w:r/>
            <w:r>
              <w:rPr>
                <w:rFonts w:ascii="Arial" w:hAnsi="Arial"/>
                <w:b w:val="0"/>
                <w:sz w:val="20"/>
              </w:rPr>
              <w:t>~5.92 deg</w:t>
            </w:r>
          </w:p>
        </w:tc>
      </w:tr>
      <w:tr>
        <w:trPr>
          <w:trHeight w:hRule="atLeast"/>
        </w:trPr>
        <w:tc>
          <w:tcPr>
            <w:tcW w:type="dxa" w:w="5112"/>
            <w:vAlign w:val="center"/>
            <w:tcMar>
              <w:top w:w="80" w:type="dxa"/>
              <w:start w:w="80" w:type="dxa"/>
              <w:bottom w:w="80" w:type="dxa"/>
              <w:end w:w="80" w:type="dxa"/>
            </w:tcMar>
          </w:tcPr>
          <w:p>
            <w:pPr>
              <w:spacing w:after="0"/>
              <w:jc w:val="left"/>
            </w:pPr>
            <w:r/>
            <w:r>
              <w:rPr>
                <w:rFonts w:ascii="Arial" w:hAnsi="Arial"/>
                <w:b w:val="0"/>
                <w:sz w:val="20"/>
              </w:rPr>
              <w:t>Additional nose-up moment at -10 deg</w:t>
            </w:r>
          </w:p>
        </w:tc>
        <w:tc>
          <w:tcPr>
            <w:tcW w:type="dxa" w:w="5112"/>
            <w:vAlign w:val="center"/>
            <w:tcMar>
              <w:top w:w="80" w:type="dxa"/>
              <w:start w:w="80" w:type="dxa"/>
              <w:bottom w:w="80" w:type="dxa"/>
              <w:end w:w="80" w:type="dxa"/>
            </w:tcMar>
          </w:tcPr>
          <w:p>
            <w:pPr>
              <w:spacing w:after="0"/>
              <w:jc w:val="center"/>
            </w:pPr>
            <w:r/>
            <w:r>
              <w:rPr>
                <w:rFonts w:ascii="Arial" w:hAnsi="Arial"/>
                <w:b w:val="0"/>
                <w:sz w:val="20"/>
              </w:rPr>
              <w:t>~2.85 kN m</w:t>
            </w:r>
          </w:p>
        </w:tc>
      </w:tr>
    </w:tbl>
    <w:p>
      <w:pPr>
        <w:spacing w:after="0" w:line="252" w:lineRule="auto"/>
      </w:pPr>
    </w:p>
    <w:p>
      <w:pPr>
        <w:spacing w:before="60" w:after="140" w:line="252" w:lineRule="auto"/>
        <w:ind w:left="259" w:right="259"/>
      </w:pPr>
      <w:r>
        <w:rPr>
          <w:rFonts w:ascii="Arial" w:hAnsi="Arial"/>
          <w:b/>
          <w:sz w:val="22"/>
        </w:rPr>
        <w:t xml:space="preserve">FG8.2 conclusion. </w:t>
      </w:r>
      <w:r>
        <w:rPr>
          <w:rFonts w:ascii="Arial" w:hAnsi="Arial"/>
          <w:sz w:val="22"/>
        </w:rPr>
        <w:t>PASS. The actual forward landing case trims within a small nose-up elevator demand, and the tested -10 deg state demonstrates substantial additional nose-up authority for conceptual flare screening. The result is a quasi-steady longitudinal control closure, not a dynamic flare or high-lift CLmax validation.</w:t>
      </w:r>
    </w:p>
    <w:p>
      <w:pPr>
        <w:pStyle w:val="Heading1"/>
      </w:pPr>
      <w:r>
        <w:t>5. FG8.3 Balked-Landing / Go-Around Flap-Transition Screen</w:t>
      </w:r>
    </w:p>
    <w:p>
      <w:pPr>
        <w:spacing w:line="252" w:lineRule="auto"/>
      </w:pPr>
      <w:r>
        <w:t>FG8.3 completed the planned VSPAERO portion of Folder 08. The test held the forward landing/go-around state fixed and changed only Fowler configuration to establish the pitching-moment trend during a quasi-steady 35 deg -&gt; 20 deg -&gt; 12 deg flap transition. Propulsion remained OFF in accordance with the powered-VSPAERO model-form closure.</w:t>
      </w:r>
    </w:p>
    <w:p>
      <w:pPr>
        <w:pStyle w:val="Heading2"/>
      </w:pPr>
      <w:r>
        <w:t>5.1 Neutral-elevator transition data</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rHeight w:hRule="atLeast"/>
          <w:tblHeader w:val="true"/>
        </w:trPr>
        <w:tc>
          <w:tcPr>
            <w:tcW w:type="dxa" w:w="1461"/>
            <w:vAlign w:val="center"/>
            <w:tcMar>
              <w:top w:w="80" w:type="dxa"/>
              <w:start w:w="80" w:type="dxa"/>
              <w:bottom w:w="80" w:type="dxa"/>
              <w:end w:w="80" w:type="dxa"/>
            </w:tcMar>
            <w:shd w:fill="D9EAF7"/>
          </w:tcPr>
          <w:p>
            <w:pPr>
              <w:spacing w:after="0"/>
              <w:jc w:val="center"/>
            </w:pPr>
            <w:r/>
            <w:r>
              <w:rPr>
                <w:rFonts w:ascii="Arial" w:hAnsi="Arial"/>
                <w:b/>
                <w:sz w:val="18"/>
              </w:rPr>
              <w:t>Alpha</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@35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@35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@20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@20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CL @12 deg</w:t>
            </w:r>
          </w:p>
        </w:tc>
        <w:tc>
          <w:tcPr>
            <w:tcW w:type="dxa" w:w="1461"/>
            <w:vAlign w:val="center"/>
            <w:tcMar>
              <w:top w:w="80" w:type="dxa"/>
              <w:start w:w="80" w:type="dxa"/>
              <w:bottom w:w="80" w:type="dxa"/>
              <w:end w:w="80" w:type="dxa"/>
            </w:tcMar>
            <w:shd w:fill="D9EAF7"/>
          </w:tcPr>
          <w:p>
            <w:pPr>
              <w:spacing w:after="0"/>
              <w:jc w:val="center"/>
            </w:pPr>
            <w:r/>
            <w:r>
              <w:rPr>
                <w:rFonts w:ascii="Arial" w:hAnsi="Arial"/>
                <w:b/>
                <w:sz w:val="18"/>
              </w:rPr>
              <w:t>Cm @12 deg</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1.59819</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+0.06743</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1.11818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+0.03078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0.84699</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+0.01670</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1.96032</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-0.14137</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1.49415</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-0.16386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1.22843</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-0.16885</w:t>
            </w:r>
          </w:p>
        </w:tc>
      </w:tr>
      <w:tr>
        <w:trPr>
          <w:trHeight w:hRule="atLeast"/>
        </w:trPr>
        <w:tc>
          <w:tcPr>
            <w:tcW w:type="dxa" w:w="1461"/>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461"/>
            <w:vAlign w:val="center"/>
            <w:tcMar>
              <w:top w:w="80" w:type="dxa"/>
              <w:start w:w="80" w:type="dxa"/>
              <w:bottom w:w="80" w:type="dxa"/>
              <w:end w:w="80" w:type="dxa"/>
            </w:tcMar>
          </w:tcPr>
          <w:p>
            <w:pPr>
              <w:spacing w:after="0"/>
              <w:jc w:val="center"/>
            </w:pPr>
            <w:r/>
            <w:r>
              <w:rPr>
                <w:rFonts w:ascii="Arial" w:hAnsi="Arial"/>
                <w:b w:val="0"/>
                <w:sz w:val="18"/>
              </w:rPr>
              <w:t>2.30896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-0.36888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1.86278</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-0.37616</w:t>
            </w:r>
          </w:p>
        </w:tc>
        <w:tc>
          <w:tcPr>
            <w:tcW w:type="dxa" w:w="1461"/>
            <w:vAlign w:val="center"/>
            <w:tcMar>
              <w:top w:w="80" w:type="dxa"/>
              <w:start w:w="80" w:type="dxa"/>
              <w:bottom w:w="80" w:type="dxa"/>
              <w:end w:w="80" w:type="dxa"/>
            </w:tcMar>
          </w:tcPr>
          <w:p>
            <w:pPr>
              <w:spacing w:after="0"/>
              <w:jc w:val="center"/>
            </w:pPr>
            <w:r/>
            <w:r>
              <w:rPr>
                <w:rFonts w:ascii="Arial" w:hAnsi="Arial"/>
                <w:b w:val="0"/>
                <w:sz w:val="18"/>
              </w:rPr>
              <w:t>1.60411</w:t>
            </w:r>
          </w:p>
        </w:tc>
        <w:tc>
          <w:tcPr>
            <w:tcW w:type="dxa" w:w="1461"/>
            <w:vAlign w:val="center"/>
            <w:tcMar>
              <w:top w:w="80" w:type="dxa"/>
              <w:start w:w="80" w:type="dxa"/>
              <w:bottom w:w="80" w:type="dxa"/>
              <w:end w:w="80" w:type="dxa"/>
            </w:tcMar>
          </w:tcPr>
          <w:p>
            <w:pPr>
              <w:spacing w:after="0"/>
              <w:jc w:val="center"/>
            </w:pPr>
            <w:r/>
            <w:r>
              <w:rPr>
                <w:rFonts w:ascii="Arial" w:hAnsi="Arial"/>
                <w:b w:val="0"/>
                <w:sz w:val="18"/>
              </w:rPr>
              <w:t>-0.37271</w:t>
            </w:r>
          </w:p>
        </w:tc>
      </w:tr>
    </w:tbl>
    <w:p>
      <w:pPr>
        <w:spacing w:after="0" w:line="252" w:lineRule="auto"/>
      </w:pPr>
    </w:p>
    <w:p>
      <w:pPr>
        <w:pStyle w:val="Heading2"/>
      </w:pPr>
      <w:r>
        <w:t>5.2 Convergence and physical trend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rHeight w:hRule="atLeast"/>
          <w:tblHeader w:val="true"/>
        </w:trPr>
        <w:tc>
          <w:tcPr>
            <w:tcW w:type="dxa" w:w="1704"/>
            <w:vAlign w:val="center"/>
            <w:tcMar>
              <w:top w:w="80" w:type="dxa"/>
              <w:start w:w="80" w:type="dxa"/>
              <w:bottom w:w="80" w:type="dxa"/>
              <w:end w:w="80" w:type="dxa"/>
            </w:tcMar>
            <w:shd w:fill="D9EAF7"/>
          </w:tcPr>
          <w:p>
            <w:pPr>
              <w:spacing w:after="0"/>
              <w:jc w:val="center"/>
            </w:pPr>
            <w:r/>
            <w:r>
              <w:rPr>
                <w:rFonts w:ascii="Arial" w:hAnsi="Arial"/>
                <w:b/>
                <w:sz w:val="18"/>
              </w:rPr>
              <w:t>Configuration</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Alpha</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CL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|Delta Cm|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CDiw 19-&gt;20</w:t>
            </w:r>
          </w:p>
        </w:tc>
        <w:tc>
          <w:tcPr>
            <w:tcW w:type="dxa" w:w="1704"/>
            <w:vAlign w:val="center"/>
            <w:tcMar>
              <w:top w:w="80" w:type="dxa"/>
              <w:start w:w="80" w:type="dxa"/>
              <w:bottom w:w="80" w:type="dxa"/>
              <w:end w:w="80" w:type="dxa"/>
            </w:tcMar>
            <w:shd w:fill="D9EAF7"/>
          </w:tcPr>
          <w:p>
            <w:pPr>
              <w:spacing w:after="0"/>
              <w:jc w:val="center"/>
            </w:pPr>
            <w:r/>
            <w:r>
              <w:rPr>
                <w:rFonts w:ascii="Arial" w:hAnsi="Arial"/>
                <w:b/>
                <w:sz w:val="18"/>
              </w:rPr>
              <w:t>Disposition</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0.053%</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0.00156</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0.045%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0.063%</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0.00091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0.635%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Longitudinal PASS; wake-drag note</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20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0.064%</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0.00058</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0.267%</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0.042%</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0.00005</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0.029%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4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0.039%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0.00018</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0.051%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r>
        <w:trPr>
          <w:trHeight w:hRule="atLeast"/>
        </w:trPr>
        <w:tc>
          <w:tcPr>
            <w:tcW w:type="dxa" w:w="1704"/>
            <w:vAlign w:val="center"/>
            <w:tcMar>
              <w:top w:w="80" w:type="dxa"/>
              <w:start w:w="80" w:type="dxa"/>
              <w:bottom w:w="80" w:type="dxa"/>
              <w:end w:w="80" w:type="dxa"/>
            </w:tcMar>
          </w:tcPr>
          <w:p>
            <w:pPr>
              <w:spacing w:after="0"/>
              <w:jc w:val="center"/>
            </w:pPr>
            <w:r/>
            <w:r>
              <w:rPr>
                <w:rFonts w:ascii="Arial" w:hAnsi="Arial"/>
                <w:b w:val="0"/>
                <w:sz w:val="18"/>
              </w:rPr>
              <w:t>12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8 deg</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0.021%</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0.00009</w:t>
            </w:r>
          </w:p>
        </w:tc>
        <w:tc>
          <w:tcPr>
            <w:tcW w:type="dxa" w:w="1704"/>
            <w:vAlign w:val="center"/>
            <w:tcMar>
              <w:top w:w="80" w:type="dxa"/>
              <w:start w:w="80" w:type="dxa"/>
              <w:bottom w:w="80" w:type="dxa"/>
              <w:end w:w="80" w:type="dxa"/>
            </w:tcMar>
          </w:tcPr>
          <w:p>
            <w:pPr>
              <w:spacing w:after="0"/>
              <w:jc w:val="center"/>
            </w:pPr>
            <w:r/>
            <w:r>
              <w:rPr>
                <w:rFonts w:ascii="Arial" w:hAnsi="Arial"/>
                <w:b w:val="0"/>
                <w:sz w:val="18"/>
              </w:rPr>
              <w:t>0.036%</w:t>
            </w:r>
          </w:p>
        </w:tc>
        <w:tc>
          <w:tcPr>
            <w:tcW w:type="dxa" w:w="1704"/>
            <w:vAlign w:val="center"/>
            <w:tcMar>
              <w:top w:w="80" w:type="dxa"/>
              <w:start w:w="80" w:type="dxa"/>
              <w:bottom w:w="80" w:type="dxa"/>
              <w:end w:w="80" w:type="dxa"/>
            </w:tcMar>
          </w:tcPr>
          <w:p>
            <w:pPr>
              <w:spacing w:after="0"/>
              <w:jc w:val="center"/>
            </w:pPr>
            <w:r/>
            <w:r>
              <w:rPr>
                <w:rFonts w:ascii="Arial" w:hAnsi="Arial"/>
                <w:b w:val="0"/>
                <w:sz w:val="18"/>
              </w:rPr>
              <w:t>PASS</w:t>
            </w:r>
          </w:p>
        </w:tc>
      </w:tr>
    </w:tbl>
    <w:p>
      <w:pPr>
        <w:spacing w:after="0" w:line="252" w:lineRule="auto"/>
      </w:pPr>
    </w:p>
    <w:p>
      <w:pPr>
        <w:spacing w:line="252" w:lineRule="auto"/>
      </w:pPr>
      <w:r>
        <w:t>Across all alpha points the lift decreases monotonically as the flap is retracted, while the pitching-moment progression remains smooth. There is no configuration-induced pitch break or reversal. The single marginal wake-drag point is not used for performance evidence.</w:t>
      </w:r>
    </w:p>
    <w:p>
      <w:pPr>
        <w:pStyle w:val="Heading2"/>
      </w:pPr>
      <w:r>
        <w:t>5.3 Approximate trim-continuity estimate</w:t>
      </w:r>
    </w:p>
    <w:p>
      <w:pPr>
        <w:spacing w:line="252" w:lineRule="auto"/>
      </w:pPr>
      <w:r>
        <w:t>For the controlled log, the flap-transition pitch increment is evaluated at the established 35 deg landing trim attitude (alpha approximately 4.54 deg). A constant-required-lift elevator interpolation from FG8.2 gives an effective local trim sensitivity of approximately 0.0335 Cm per degree of nose-up elevator. This is more conservative than the preliminary same-alpha estimate and is used here for consistency.</w:t>
      </w:r>
    </w:p>
    <w:p>
      <w:pPr>
        <w:spacing w:before="80" w:after="120" w:line="252" w:lineRule="auto"/>
        <w:jc w:val="center"/>
      </w:pPr>
      <m:oMath>
        <m:r>
          <m:rPr>
            <m:sty m:val="p"/>
          </m:rPr>
          <m:t>Delta delta_e ~= - Delta C_m / (dC_m / d delta_e)</m:t>
        </m:r>
      </m:oMath>
      <w:r>
        <w:rPr>
          <w:rFonts w:ascii="Arial" w:hAnsi="Arial"/>
          <w:sz w:val="20"/>
        </w:rPr>
        <w:t xml:space="preserve">    (5.1)</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rHeight w:hRule="atLeast"/>
          <w:tblHeader w:val="true"/>
        </w:trPr>
        <w:tc>
          <w:tcPr>
            <w:tcW w:type="dxa" w:w="2045"/>
            <w:vAlign w:val="center"/>
            <w:tcMar>
              <w:top w:w="80" w:type="dxa"/>
              <w:start w:w="80" w:type="dxa"/>
              <w:bottom w:w="80" w:type="dxa"/>
              <w:end w:w="80" w:type="dxa"/>
            </w:tcMar>
            <w:shd w:fill="D9EAF7"/>
          </w:tcPr>
          <w:p>
            <w:pPr>
              <w:spacing w:after="0"/>
              <w:jc w:val="center"/>
            </w:pPr>
            <w:r/>
            <w:r>
              <w:rPr>
                <w:rFonts w:ascii="Arial" w:hAnsi="Arial"/>
                <w:b/>
                <w:sz w:val="19"/>
              </w:rPr>
              <w:t>Fowler state</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Cm at alpha~4.54 deg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Delta Cm vs 35 deg</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Approx. additional nose-up elevator</w:t>
            </w:r>
          </w:p>
        </w:tc>
        <w:tc>
          <w:tcPr>
            <w:tcW w:type="dxa" w:w="2045"/>
            <w:vAlign w:val="center"/>
            <w:tcMar>
              <w:top w:w="80" w:type="dxa"/>
              <w:start w:w="80" w:type="dxa"/>
              <w:bottom w:w="80" w:type="dxa"/>
              <w:end w:w="80" w:type="dxa"/>
            </w:tcMar>
            <w:shd w:fill="D9EAF7"/>
          </w:tcPr>
          <w:p>
            <w:pPr>
              <w:spacing w:after="0"/>
              <w:jc w:val="center"/>
            </w:pPr>
            <w:r/>
            <w:r>
              <w:rPr>
                <w:rFonts w:ascii="Arial" w:hAnsi="Arial"/>
                <w:b/>
                <w:sz w:val="19"/>
              </w:rPr>
              <w:t>Approx. trim command</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35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-0.17184</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4.08 deg</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20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-0.19230</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-0.02046</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~0.61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~4.69 deg</w:t>
            </w:r>
          </w:p>
        </w:tc>
      </w:tr>
      <w:tr>
        <w:trPr>
          <w:trHeight w:hRule="atLeast"/>
        </w:trPr>
        <w:tc>
          <w:tcPr>
            <w:tcW w:type="dxa" w:w="2045"/>
            <w:vAlign w:val="center"/>
            <w:tcMar>
              <w:top w:w="80" w:type="dxa"/>
              <w:start w:w="80" w:type="dxa"/>
              <w:bottom w:w="80" w:type="dxa"/>
              <w:end w:w="80" w:type="dxa"/>
            </w:tcMar>
          </w:tcPr>
          <w:p>
            <w:pPr>
              <w:spacing w:after="0"/>
              <w:jc w:val="center"/>
            </w:pPr>
            <w:r/>
            <w:r>
              <w:rPr>
                <w:rFonts w:ascii="Arial" w:hAnsi="Arial"/>
                <w:b w:val="0"/>
                <w:sz w:val="19"/>
              </w:rPr>
              <w:t>12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-0.19615</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-0.02431</w:t>
            </w:r>
          </w:p>
        </w:tc>
        <w:tc>
          <w:tcPr>
            <w:tcW w:type="dxa" w:w="2045"/>
            <w:vAlign w:val="center"/>
            <w:tcMar>
              <w:top w:w="80" w:type="dxa"/>
              <w:start w:w="80" w:type="dxa"/>
              <w:bottom w:w="80" w:type="dxa"/>
              <w:end w:w="80" w:type="dxa"/>
            </w:tcMar>
          </w:tcPr>
          <w:p>
            <w:pPr>
              <w:spacing w:after="0"/>
              <w:jc w:val="center"/>
            </w:pPr>
            <w:r/>
            <w:r>
              <w:rPr>
                <w:rFonts w:ascii="Arial" w:hAnsi="Arial"/>
                <w:b w:val="0"/>
                <w:sz w:val="19"/>
              </w:rPr>
              <w:t>~0.73 deg</w:t>
            </w:r>
          </w:p>
        </w:tc>
        <w:tc>
          <w:tcPr>
            <w:tcW w:type="dxa" w:w="2045"/>
            <w:vAlign w:val="center"/>
            <w:tcMar>
              <w:top w:w="80" w:type="dxa"/>
              <w:start w:w="80" w:type="dxa"/>
              <w:bottom w:w="80" w:type="dxa"/>
              <w:end w:w="80" w:type="dxa"/>
            </w:tcMar>
          </w:tcPr>
          <w:p>
            <w:pPr>
              <w:spacing w:after="0"/>
              <w:jc w:val="center"/>
            </w:pPr>
            <w:r/>
            <w:r>
              <w:rPr>
                <w:rFonts w:ascii="Arial" w:hAnsi="Arial"/>
                <w:b w:val="0"/>
                <w:sz w:val="19"/>
              </w:rPr>
              <w:t>~4.81 deg</w:t>
            </w:r>
          </w:p>
        </w:tc>
      </w:tr>
    </w:tbl>
    <w:p>
      <w:pPr>
        <w:spacing w:after="0" w:line="252" w:lineRule="auto"/>
      </w:pPr>
    </w:p>
    <w:p>
      <w:pPr>
        <w:spacing w:before="60" w:after="140" w:line="252" w:lineRule="auto"/>
        <w:ind w:left="259" w:right="259"/>
      </w:pPr>
      <w:r>
        <w:rPr>
          <w:rFonts w:ascii="Arial" w:hAnsi="Arial"/>
          <w:b/>
          <w:sz w:val="22"/>
        </w:rPr>
        <w:t xml:space="preserve">Interpretation. </w:t>
      </w:r>
      <w:r>
        <w:rPr>
          <w:rFonts w:ascii="Arial" w:hAnsi="Arial"/>
          <w:sz w:val="22"/>
        </w:rPr>
        <w:t>These trim commands are quasi-steady configuration-transition estimates, not a powered six-degree-of-freedom go-around trajectory. The physical go-around simultaneously adds symmetric power and acceleration, reducing the required lift coefficient as speed increases. FG8.3 only demonstrates that flap retraction itself does not create an adverse/reversing pitch-control demand.</w:t>
      </w:r>
    </w:p>
    <w:p>
      <w:pPr>
        <w:spacing w:before="60" w:after="140" w:line="252" w:lineRule="auto"/>
        <w:ind w:left="259" w:right="259"/>
      </w:pPr>
      <w:r>
        <w:rPr>
          <w:rFonts w:ascii="Arial" w:hAnsi="Arial"/>
          <w:b/>
          <w:sz w:val="22"/>
        </w:rPr>
        <w:t xml:space="preserve">FG8.3 conclusion. </w:t>
      </w:r>
      <w:r>
        <w:rPr>
          <w:rFonts w:ascii="Arial" w:hAnsi="Arial"/>
          <w:sz w:val="22"/>
        </w:rPr>
        <w:t>PASS. The 35 deg -&gt; 20 deg -&gt; 12 deg transition shows monotonic lift reduction, smooth pitching-moment evolution, no pitch-control reversal, and only a small additional nose-up elevator increment relative to the already demonstrated authority. No additional VSPAERO runs are required for Folder 08.</w:t>
      </w:r>
    </w:p>
    <w:p>
      <w:pPr>
        <w:pStyle w:val="Heading1"/>
      </w:pPr>
      <w:r>
        <w:rPr>
          <w:rFonts w:ascii="Arial" w:hAnsi="Arial"/>
          <w:sz w:val="24"/>
        </w:rPr>
        <w:t>6. Interim Folder 08 Status before FG8.4 Analytical Gear-Load Closure</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tLeast"/>
          <w:tblHeader w:val="true"/>
        </w:trPr>
        <w:tc>
          <w:tcPr>
            <w:tcW w:type="dxa" w:w="2556"/>
            <w:vAlign w:val="center"/>
            <w:tcMar>
              <w:top w:w="80" w:type="dxa"/>
              <w:start w:w="80" w:type="dxa"/>
              <w:bottom w:w="80" w:type="dxa"/>
              <w:end w:w="80" w:type="dxa"/>
            </w:tcMar>
            <w:shd w:fill="D9EAF7"/>
          </w:tcPr>
          <w:p>
            <w:pPr>
              <w:spacing w:after="0"/>
              <w:jc w:val="center"/>
            </w:pPr>
            <w:r/>
            <w:r>
              <w:rPr>
                <w:rFonts w:ascii="Arial" w:hAnsi="Arial"/>
                <w:b/>
                <w:sz w:val="19"/>
              </w:rPr>
              <w:t>Test block</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Question answered</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Result</w:t>
            </w:r>
          </w:p>
        </w:tc>
        <w:tc>
          <w:tcPr>
            <w:tcW w:type="dxa" w:w="2556"/>
            <w:vAlign w:val="center"/>
            <w:tcMar>
              <w:top w:w="80" w:type="dxa"/>
              <w:start w:w="80" w:type="dxa"/>
              <w:bottom w:w="80" w:type="dxa"/>
              <w:end w:w="80" w:type="dxa"/>
            </w:tcMar>
            <w:shd w:fill="D9EAF7"/>
          </w:tcPr>
          <w:p>
            <w:pPr>
              <w:spacing w:after="0"/>
              <w:jc w:val="center"/>
            </w:pPr>
            <w:r/>
            <w:r>
              <w:rPr>
                <w:rFonts w:ascii="Arial" w:hAnsi="Arial"/>
                <w:b/>
                <w:sz w:val="19"/>
              </w:rPr>
              <w:t>Release status</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FG8.0</w:t>
            </w:r>
          </w:p>
        </w:tc>
        <w:tc>
          <w:tcPr>
            <w:tcW w:type="dxa" w:w="2556"/>
            <w:vAlign w:val="center"/>
            <w:tcMar>
              <w:top w:w="80" w:type="dxa"/>
              <w:start w:w="80" w:type="dxa"/>
              <w:bottom w:w="80" w:type="dxa"/>
              <w:end w:w="80" w:type="dxa"/>
            </w:tcMar>
          </w:tcPr>
          <w:p>
            <w:pPr>
              <w:spacing w:after="0"/>
              <w:jc w:val="left"/>
            </w:pPr>
            <w:r/>
            <w:r>
              <w:rPr>
                <w:rFonts w:ascii="Arial" w:hAnsi="Arial"/>
                <w:b w:val="0"/>
                <w:sz w:val="19"/>
              </w:rPr>
              <w:t>Static forward-CG gear reactions established?</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Yes; static baseline carried into FG8.4</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FG8.1</w:t>
            </w:r>
          </w:p>
        </w:tc>
        <w:tc>
          <w:tcPr>
            <w:tcW w:type="dxa" w:w="2556"/>
            <w:vAlign w:val="center"/>
            <w:tcMar>
              <w:top w:w="80" w:type="dxa"/>
              <w:start w:w="80" w:type="dxa"/>
              <w:bottom w:w="80" w:type="dxa"/>
              <w:end w:w="80" w:type="dxa"/>
            </w:tcMar>
          </w:tcPr>
          <w:p>
            <w:pPr>
              <w:spacing w:after="0"/>
              <w:jc w:val="left"/>
            </w:pPr>
            <w:r/>
            <w:r>
              <w:rPr>
                <w:rFonts w:ascii="Arial" w:hAnsi="Arial"/>
                <w:b w:val="0"/>
                <w:sz w:val="19"/>
              </w:rPr>
              <w:t>Can the actual forward take-off case rotate at hot-high VR?</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FG8.2 sanity</w:t>
            </w:r>
          </w:p>
        </w:tc>
        <w:tc>
          <w:tcPr>
            <w:tcW w:type="dxa" w:w="2556"/>
            <w:vAlign w:val="center"/>
            <w:tcMar>
              <w:top w:w="80" w:type="dxa"/>
              <w:start w:w="80" w:type="dxa"/>
              <w:bottom w:w="80" w:type="dxa"/>
              <w:end w:w="80" w:type="dxa"/>
            </w:tcMar>
          </w:tcPr>
          <w:p>
            <w:pPr>
              <w:spacing w:after="0"/>
              <w:jc w:val="left"/>
            </w:pPr>
            <w:r/>
            <w:r>
              <w:rPr>
                <w:rFonts w:ascii="Arial" w:hAnsi="Arial"/>
                <w:b w:val="0"/>
                <w:sz w:val="19"/>
              </w:rPr>
              <w:t>Is +35 deg Fowler usable for longitudinal control screening?</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 with drag/lateral limitations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NOTE</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FG8.2 trim/flare</w:t>
            </w:r>
          </w:p>
        </w:tc>
        <w:tc>
          <w:tcPr>
            <w:tcW w:type="dxa" w:w="2556"/>
            <w:vAlign w:val="center"/>
            <w:tcMar>
              <w:top w:w="80" w:type="dxa"/>
              <w:start w:w="80" w:type="dxa"/>
              <w:bottom w:w="80" w:type="dxa"/>
              <w:end w:w="80" w:type="dxa"/>
            </w:tcMar>
          </w:tcPr>
          <w:p>
            <w:pPr>
              <w:spacing w:after="0"/>
              <w:jc w:val="left"/>
            </w:pPr>
            <w:r/>
            <w:r>
              <w:rPr>
                <w:rFonts w:ascii="Arial" w:hAnsi="Arial"/>
                <w:b w:val="0"/>
                <w:sz w:val="19"/>
              </w:rPr>
              <w:t>Can the actual forward landing case trim and retain nose-up authority?</w:t>
            </w:r>
          </w:p>
        </w:tc>
        <w:tc>
          <w:tcPr>
            <w:tcW w:type="dxa" w:w="2556"/>
            <w:vAlign w:val="center"/>
            <w:tcMar>
              <w:top w:w="80" w:type="dxa"/>
              <w:start w:w="80" w:type="dxa"/>
              <w:bottom w:w="80" w:type="dxa"/>
              <w:end w:w="80" w:type="dxa"/>
            </w:tcMar>
          </w:tcPr>
          <w:p>
            <w:pPr>
              <w:spacing w:after="0"/>
              <w:jc w:val="center"/>
            </w:pPr>
            <w:r/>
            <w:r>
              <w:rPr>
                <w:rFonts w:ascii="Arial" w:hAnsi="Arial"/>
                <w:b w:val="0"/>
                <w:sz w:val="19"/>
              </w:rPr>
              <w:t>Yes</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FG8.3</w:t>
            </w:r>
          </w:p>
        </w:tc>
        <w:tc>
          <w:tcPr>
            <w:tcW w:type="dxa" w:w="2556"/>
            <w:vAlign w:val="center"/>
            <w:tcMar>
              <w:top w:w="80" w:type="dxa"/>
              <w:start w:w="80" w:type="dxa"/>
              <w:bottom w:w="80" w:type="dxa"/>
              <w:end w:w="80" w:type="dxa"/>
            </w:tcMar>
          </w:tcPr>
          <w:p>
            <w:pPr>
              <w:spacing w:after="0"/>
              <w:jc w:val="left"/>
            </w:pPr>
            <w:r/>
            <w:r>
              <w:rPr>
                <w:rFonts w:ascii="Arial" w:hAnsi="Arial"/>
                <w:b w:val="0"/>
                <w:sz w:val="19"/>
              </w:rPr>
              <w:t>Does flap retraction introduce a pitch reversal or excessive trim demand?</w:t>
            </w:r>
          </w:p>
        </w:tc>
        <w:tc>
          <w:tcPr>
            <w:tcW w:type="dxa" w:w="2556"/>
            <w:vAlign w:val="center"/>
            <w:tcMar>
              <w:top w:w="80" w:type="dxa"/>
              <w:start w:w="80" w:type="dxa"/>
              <w:bottom w:w="80" w:type="dxa"/>
              <w:end w:w="80" w:type="dxa"/>
            </w:tcMar>
          </w:tcPr>
          <w:p>
            <w:pPr>
              <w:spacing w:after="0"/>
              <w:jc w:val="center"/>
            </w:pPr>
            <w:r/>
            <w:r>
              <w:rPr>
                <w:rFonts w:ascii="Arial" w:hAnsi="Arial"/>
                <w:b w:val="0"/>
                <w:sz w:val="19"/>
              </w:rPr>
              <w:t>No</w:t>
            </w:r>
          </w:p>
        </w:tc>
        <w:tc>
          <w:tcPr>
            <w:tcW w:type="dxa" w:w="2556"/>
            <w:vAlign w:val="center"/>
            <w:tcMar>
              <w:top w:w="80" w:type="dxa"/>
              <w:start w:w="80" w:type="dxa"/>
              <w:bottom w:w="80" w:type="dxa"/>
              <w:end w:w="80" w:type="dxa"/>
            </w:tcMar>
          </w:tcPr>
          <w:p>
            <w:pPr>
              <w:spacing w:after="0"/>
              <w:jc w:val="center"/>
            </w:pPr>
            <w:r/>
            <w:r>
              <w:rPr>
                <w:rFonts w:ascii="Arial" w:hAnsi="Arial"/>
                <w:b w:val="0"/>
                <w:sz w:val="19"/>
              </w:rPr>
              <w:t>PASS / CLOSED</w:t>
            </w:r>
          </w:p>
        </w:tc>
      </w:tr>
      <w:tr>
        <w:trPr>
          <w:trHeight w:hRule="atLeast"/>
        </w:trPr>
        <w:tc>
          <w:tcPr>
            <w:tcW w:type="dxa" w:w="2556"/>
            <w:vAlign w:val="center"/>
            <w:tcMar>
              <w:top w:w="80" w:type="dxa"/>
              <w:start w:w="80" w:type="dxa"/>
              <w:bottom w:w="80" w:type="dxa"/>
              <w:end w:w="80" w:type="dxa"/>
            </w:tcMar>
          </w:tcPr>
          <w:p>
            <w:pPr>
              <w:spacing w:after="0"/>
              <w:jc w:val="center"/>
            </w:pPr>
            <w:r/>
            <w:r>
              <w:rPr>
                <w:rFonts w:ascii="Arial" w:hAnsi="Arial"/>
                <w:b w:val="0"/>
                <w:sz w:val="19"/>
              </w:rPr>
              <w:t>FG8.4</w:t>
            </w:r>
          </w:p>
        </w:tc>
        <w:tc>
          <w:tcPr>
            <w:tcW w:type="dxa" w:w="2556"/>
            <w:vAlign w:val="center"/>
            <w:tcMar>
              <w:top w:w="80" w:type="dxa"/>
              <w:start w:w="80" w:type="dxa"/>
              <w:bottom w:w="80" w:type="dxa"/>
              <w:end w:w="80" w:type="dxa"/>
            </w:tcMar>
          </w:tcPr>
          <w:p>
            <w:pPr>
              <w:spacing w:after="0"/>
              <w:jc w:val="left"/>
            </w:pPr>
            <w:r/>
            <w:r>
              <w:rPr>
                <w:rFonts w:ascii="Arial" w:hAnsi="Arial"/>
                <w:b w:val="0"/>
                <w:sz w:val="19"/>
              </w:rPr>
              <w:t>Do updated forward-CG gear limit/ultimate reactions close?</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Yes; main-gear loads, nose-gear requirement, tip-back and overturn screened</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PASS / CLOSED with nose-gear hardware and ground-handling qualification</w:t>
            </w:r>
          </w:p>
        </w:tc>
      </w:tr>
    </w:tbl>
    <w:p>
      <w:pPr>
        <w:spacing w:after="0" w:line="252" w:lineRule="auto"/>
      </w:pPr>
    </w:p>
    <w:p>
      <w:pPr>
        <w:pStyle w:val="Heading2"/>
      </w:pPr>
      <w:r>
        <w:t>6.1 Consolidated engineering conclusion</w:t>
      </w:r>
    </w:p>
    <w:p>
      <w:pPr>
        <w:spacing w:line="252" w:lineRule="auto"/>
      </w:pPr>
      <w:r>
        <w:rPr>
          <w:rFonts w:ascii="Arial" w:hAnsi="Arial"/>
          <w:sz w:val="24"/>
        </w:rPr>
        <w:t>The forward-CG longitudinal-control problem introduced by the SM6.4 loading cloud was closed through FG8.1-FG8.3; FG8.4 below completes the landing-gear analytical closure. The actual forward take-off case demonstrates nose-wheel unloading at the hot-high rotation condition using the unpowered +12 deg Fowler surrogate, while the actual forward landing case trims with only about 4.1 deg of nose-up elevator and retains substantial additional nose-up authority for flare. The quasi-steady 35 deg -&gt; 20 deg -&gt; 12 deg flap-transition screen shows smooth longitudinal behaviour and no pitch-control reversal. These results support retention of the current tail/elevator architecture without a late geometry redesign.</w:t>
      </w:r>
    </w:p>
    <w:p>
      <w:pPr>
        <w:pStyle w:val="Heading2"/>
      </w:pPr>
      <w:r>
        <w:t>6.2 Model boundaries to carry into the final report</w:t>
      </w:r>
    </w:p>
    <w:p>
      <w:pPr>
        <w:pStyle w:val="ListBullet"/>
        <w:spacing w:after="40"/>
      </w:pPr>
      <w:r>
        <w:rPr>
          <w:rFonts w:ascii="Arial" w:hAnsi="Arial"/>
          <w:sz w:val="24"/>
        </w:rPr>
        <w:t>No powered free-wake VSPAERO result is used as production evidence in Folder 08. Symmetric thrust-line and powered-lift effects are intentionally not credited in FG8.1-FG8.3.</w:t>
      </w:r>
    </w:p>
    <w:p>
      <w:pPr>
        <w:pStyle w:val="ListBullet"/>
        <w:spacing w:after="40"/>
      </w:pPr>
      <w:r>
        <w:rPr>
          <w:rFonts w:ascii="Arial" w:hAnsi="Arial"/>
          <w:sz w:val="24"/>
        </w:rPr>
        <w:t>The Fowler geometries are OpenVSP control-surface surrogates. They are used for longitudinal control increments only, not to validate the actual slat/double-slot CLmax or landing drag polar.</w:t>
      </w:r>
    </w:p>
    <w:p>
      <w:pPr>
        <w:pStyle w:val="ListBullet"/>
        <w:spacing w:after="40"/>
      </w:pPr>
      <w:r>
        <w:rPr>
          <w:rFonts w:ascii="Arial" w:hAnsi="Arial"/>
          <w:sz w:val="24"/>
        </w:rPr>
        <w:t>High-deflection lateral coefficients in FG8.1/FG8.2 are not used for lateral-directional evidence; the validated G5 beta/rudder/aileron campaigns remain the controlled source for those derivatives.</w:t>
      </w:r>
    </w:p>
    <w:p>
      <w:pPr>
        <w:pStyle w:val="ListBullet"/>
        <w:spacing w:after="40"/>
      </w:pPr>
      <w:r>
        <w:rPr>
          <w:rFonts w:ascii="Arial" w:hAnsi="Arial"/>
          <w:sz w:val="24"/>
        </w:rPr>
        <w:t>FG8.3 is a quasi-steady configuration-transition screen. Propeller transient, flap-rate dynamics, ground effect, pilot response, and full six-degree-of-freedom go-around trajectory remain outside this competition-level closure.</w:t>
      </w:r>
    </w:p>
    <w:p>
      <w:pPr>
        <w:pStyle w:val="ListBullet"/>
        <w:spacing w:after="40"/>
      </w:pPr>
      <w:r>
        <w:rPr>
          <w:rFonts w:ascii="Arial" w:hAnsi="Arial"/>
          <w:sz w:val="24"/>
        </w:rPr>
        <w:t>Final landing-gear limit and ultimate reaction substantiation is completed analytically in FG8.4 below.</w:t>
      </w:r>
    </w:p>
    <w:p>
      <w:pPr>
        <w:pStyle w:val="Heading2"/>
      </w:pPr>
      <w:r>
        <w:t>6.3 Recommended report-ready summary</w:t>
      </w:r>
    </w:p>
    <w:p>
      <w:pPr>
        <w:spacing w:line="252" w:lineRule="auto"/>
      </w:pPr>
      <w:r>
        <w:rPr>
          <w:rFonts w:ascii="Arial" w:hAnsi="Arial"/>
          <w:sz w:val="24"/>
        </w:rPr>
        <w:t>Forward-CG control closure: At the actual forward take-off loading state (1608.8 kg, FS 3.37374 m), hot-high rotation authority was demonstrated without powered-lift or thrust-line moment credit, with approximately 15 deg nose-up elevator required and a converged 20 deg case providing positive nose-wheel-unload margin. At the actual forward landing/go-around state (1519.8 kg, FS 3.35170 m), the +35 deg Fowler control surrogate trimmed at approximately 4.1 deg nose-up elevator and retained substantial additional flare authority. A quasi-steady 35 deg -&gt; 20 deg -&gt; 12 deg flap-transition screen showed smooth lift and pitching-moment evolution with no pitch-control reversal and only a small additional elevator trim requirement. The current tail/elevator architecture therefore passes the conceptual forward-CG rotation, landing-trim/flare, and flap-transition control gates; FG8.4 below completes the associated landing-gear reaction/load closure without requiring a geometry change.</w:t>
      </w:r>
    </w:p>
    <w:p>
      <w:pPr>
        <w:pStyle w:val="Heading1"/>
      </w:pPr>
      <w:r>
        <w:t>7. FG8.4 Analytical Landing-Gear Reaction and Load Closure</w:t>
      </w:r>
    </w:p>
    <w:p>
      <w:pPr>
        <w:spacing w:after="120" w:line="252" w:lineRule="auto"/>
      </w:pPr>
      <w:r>
        <w:rPr>
          <w:rFonts w:ascii="Arial" w:hAnsi="Arial"/>
          <w:i w:val="0"/>
          <w:sz w:val="24"/>
        </w:rPr>
        <w:t>FG8.4 completes Folder 08 analytically. No additional OpenVSP/VSPAERO run is required. The calculation retains the frozen tricycle-gear stations and applies the actual forward take-off/landing loading states established in SM6.4. The objective is to verify static reactions, vertical design loads, tip-back/overturn geometry and the minimum nose-gear structural requirement without reopening the aircraft layout.</w:t>
      </w:r>
    </w:p>
    <w:p>
      <w:pPr>
        <w:pStyle w:val="Heading2"/>
      </w:pPr>
      <w:r>
        <w:t>7.1 Controlled gear geometry and loading states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Mar>
              <w:top w:w="70" w:type="dxa"/>
              <w:start w:w="70" w:type="dxa"/>
              <w:bottom w:w="70" w:type="dxa"/>
              <w:end w:w="70" w:type="dxa"/>
            </w:tcMar>
            <w:shd w:fill="D9EAF7"/>
          </w:tcPr>
          <w:p>
            <w:pPr>
              <w:spacing w:after="0" w:before="0"/>
              <w:jc w:val="center"/>
            </w:pPr>
            <w:r/>
            <w:r>
              <w:rPr>
                <w:rFonts w:ascii="Arial" w:hAnsi="Arial"/>
                <w:b/>
                <w:sz w:val="20"/>
              </w:rPr>
              <w:t>Parameter</w:t>
            </w:r>
          </w:p>
        </w:tc>
        <w:tc>
          <w:tcPr>
            <w:tcW w:type="dxa" w:w="5112"/>
            <w:vAlign w:val="center"/>
            <w:tcMar>
              <w:top w:w="70" w:type="dxa"/>
              <w:start w:w="70" w:type="dxa"/>
              <w:bottom w:w="70" w:type="dxa"/>
              <w:end w:w="70" w:type="dxa"/>
            </w:tcMar>
            <w:shd w:fill="D9EAF7"/>
          </w:tcPr>
          <w:p>
            <w:pPr>
              <w:spacing w:after="0" w:before="0"/>
              <w:jc w:val="center"/>
            </w:pPr>
            <w:r/>
            <w:r>
              <w:rPr>
                <w:rFonts w:ascii="Arial" w:hAnsi="Arial"/>
                <w:b/>
                <w:sz w:val="20"/>
              </w:rPr>
              <w:t>Controlled value</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Nose-gear station, xN</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FS 0.750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Main-gear station, xM</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FS 4.290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Wheelbase</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3.540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Main-gear track</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3.900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CG height used for geometry screen</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1.45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Forward take-off state</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1608.8 kg; FS 3.37374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Forward landing state</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1519.8 kg; FS 3.35170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Actual nominal aft state</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1894.8 kg; FS 3.70312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20"/>
              </w:rPr>
              <w:t>U20 10%-SM screening boundary</w:t>
            </w:r>
          </w:p>
        </w:tc>
        <w:tc>
          <w:tcPr>
            <w:tcW w:type="dxa" w:w="5112"/>
            <w:vAlign w:val="center"/>
            <w:tcMar>
              <w:top w:w="70" w:type="dxa"/>
              <w:start w:w="70" w:type="dxa"/>
              <w:bottom w:w="70" w:type="dxa"/>
              <w:end w:w="70" w:type="dxa"/>
            </w:tcMar>
          </w:tcPr>
          <w:p>
            <w:pPr>
              <w:spacing w:after="0" w:before="0"/>
              <w:jc w:val="center"/>
            </w:pPr>
            <w:r/>
            <w:r>
              <w:rPr>
                <w:rFonts w:ascii="Arial" w:hAnsi="Arial"/>
                <w:b w:val="0"/>
                <w:sz w:val="20"/>
              </w:rPr>
              <w:t>FS 3.83778 m</w:t>
            </w:r>
          </w:p>
        </w:tc>
      </w:tr>
    </w:tbl>
    <w:p>
      <w:pPr>
        <w:pStyle w:val="Heading2"/>
      </w:pPr>
      <w:r>
        <w:t>7.2 Static reaction closure</w:t>
      </w:r>
    </w:p>
    <w:p>
      <w:pPr>
        <w:spacing w:before="80" w:after="120"/>
        <w:jc w:val="center"/>
      </w:pPr>
      <m:oMath>
        <m:sSub>
          <m:e>
            <m:r>
              <m:t>R</m:t>
            </m:r>
          </m:e>
          <m:sub>
            <m:r>
              <m:t>N</m:t>
            </m:r>
          </m:sub>
        </m:sSub>
        <m:r>
          <m:rPr>
            <m:sty m:val="p"/>
          </m:rPr>
          <m:t>=</m:t>
        </m:r>
        <m:r>
          <m:t>W</m:t>
        </m:r>
        <m:f>
          <m:fPr>
            <m:type m:val="bar"/>
          </m:fPr>
          <m:num>
            <m:sSub>
              <m:e>
                <m:r>
                  <m:t>x</m:t>
                </m:r>
              </m:e>
              <m:sub>
                <m:r>
                  <m:t>M</m:t>
                </m:r>
              </m:sub>
            </m:sSub>
            <m:r>
              <m:rPr>
                <m:sty m:val="p"/>
              </m:rPr>
              <m:t>−</m:t>
            </m:r>
            <m:sSub>
              <m:e>
                <m:r>
                  <m:t>x</m:t>
                </m:r>
              </m:e>
              <m:sub>
                <m:r>
                  <m:t>C</m:t>
                </m:r>
                <m:r>
                  <m:t>G</m:t>
                </m:r>
              </m:sub>
            </m:sSub>
          </m:num>
          <m:den>
            <m:sSub>
              <m:e>
                <m:r>
                  <m:t>x</m:t>
                </m:r>
              </m:e>
              <m:sub>
                <m:r>
                  <m:t>M</m:t>
                </m:r>
              </m:sub>
            </m:sSub>
            <m:r>
              <m:rPr>
                <m:sty m:val="p"/>
              </m:rPr>
              <m:t>−</m:t>
            </m:r>
            <m:sSub>
              <m:e>
                <m:r>
                  <m:t>x</m:t>
                </m:r>
              </m:e>
              <m:sub>
                <m:r>
                  <m:t>N</m:t>
                </m:r>
              </m:sub>
            </m:sSub>
          </m:den>
        </m:f>
      </m:oMath>
      <w:r>
        <w:rPr>
          <w:rFonts w:ascii="Arial" w:hAnsi="Arial"/>
          <w:sz w:val="20"/>
        </w:rPr>
        <w:t xml:space="preserve">    (7.1)</w:t>
      </w:r>
    </w:p>
    <w:p>
      <w:pPr>
        <w:spacing w:before="80" w:after="120"/>
        <w:jc w:val="center"/>
      </w:pPr>
      <m:oMath>
        <m:sSub>
          <m:e>
            <m:r>
              <m:t>R</m:t>
            </m:r>
          </m:e>
          <m:sub>
            <m:r>
              <m:t>M</m:t>
            </m:r>
            <m:r>
              <m:rPr>
                <m:sty m:val="p"/>
              </m:rPr>
              <m:t>,</m:t>
            </m:r>
            <m:r>
              <m:rPr>
                <m:sty m:val="p"/>
              </m:rPr>
              <m:t>t</m:t>
            </m:r>
            <m:r>
              <m:rPr>
                <m:sty m:val="p"/>
              </m:rPr>
              <m:t>o</m:t>
            </m:r>
            <m:r>
              <m:rPr>
                <m:sty m:val="p"/>
              </m:rPr>
              <m:t>t</m:t>
            </m:r>
            <m:r>
              <m:rPr>
                <m:sty m:val="p"/>
              </m:rPr>
              <m:t>a</m:t>
            </m:r>
            <m:r>
              <m:rPr>
                <m:sty m:val="p"/>
              </m:rPr>
              <m:t>l</m:t>
            </m:r>
          </m:sub>
        </m:sSub>
        <m:r>
          <m:rPr>
            <m:sty m:val="p"/>
          </m:rPr>
          <m:t>=</m:t>
        </m:r>
        <m:r>
          <m:t>W</m:t>
        </m:r>
        <m:r>
          <m:rPr>
            <m:sty m:val="p"/>
          </m:rPr>
          <m:t>−</m:t>
        </m:r>
        <m:sSub>
          <m:e>
            <m:r>
              <m:t>R</m:t>
            </m:r>
          </m:e>
          <m:sub>
            <m:r>
              <m:t>N</m:t>
            </m:r>
          </m:sub>
        </m:sSub>
      </m:oMath>
      <w:r>
        <w:rPr>
          <w:rFonts w:ascii="Arial" w:hAnsi="Arial"/>
          <w:sz w:val="20"/>
        </w:rPr>
        <w:t xml:space="preserve">    (7.2)</w:t>
      </w:r>
    </w:p>
    <w:p>
      <w:pPr>
        <w:spacing w:before="80" w:after="120"/>
        <w:jc w:val="center"/>
      </w:pPr>
      <m:oMath>
        <m:sSub>
          <m:e>
            <m:r>
              <m:t>R</m:t>
            </m:r>
          </m:e>
          <m:sub>
            <m:r>
              <m:t>M</m:t>
            </m:r>
            <m:r>
              <m:rPr>
                <m:sty m:val="p"/>
              </m:rPr>
              <m:t>,</m:t>
            </m:r>
            <m:r>
              <m:rPr>
                <m:sty m:val="p"/>
              </m:rPr>
              <m:t>e</m:t>
            </m:r>
            <m:r>
              <m:rPr>
                <m:sty m:val="p"/>
              </m:rPr>
              <m:t>a</m:t>
            </m:r>
            <m:r>
              <m:rPr>
                <m:sty m:val="p"/>
              </m:rPr>
              <m:t>c</m:t>
            </m:r>
            <m:r>
              <m:rPr>
                <m:sty m:val="p"/>
              </m:rPr>
              <m:t>h</m:t>
            </m:r>
          </m:sub>
        </m:sSub>
        <m:r>
          <m:rPr>
            <m:sty m:val="p"/>
          </m:rPr>
          <m:t>=</m:t>
        </m:r>
        <m:f>
          <m:fPr>
            <m:type m:val="bar"/>
          </m:fPr>
          <m:num>
            <m:sSub>
              <m:e>
                <m:r>
                  <m:t>R</m:t>
                </m:r>
              </m:e>
              <m:sub>
                <m:r>
                  <m:t>M</m:t>
                </m:r>
                <m:r>
                  <m:rPr>
                    <m:sty m:val="p"/>
                  </m:rPr>
                  <m:t>,</m:t>
                </m:r>
                <m:r>
                  <m:rPr>
                    <m:sty m:val="p"/>
                  </m:rPr>
                  <m:t>t</m:t>
                </m:r>
                <m:r>
                  <m:rPr>
                    <m:sty m:val="p"/>
                  </m:rPr>
                  <m:t>o</m:t>
                </m:r>
                <m:r>
                  <m:rPr>
                    <m:sty m:val="p"/>
                  </m:rPr>
                  <m:t>t</m:t>
                </m:r>
                <m:r>
                  <m:rPr>
                    <m:sty m:val="p"/>
                  </m:rPr>
                  <m:t>a</m:t>
                </m:r>
                <m:r>
                  <m:rPr>
                    <m:sty m:val="p"/>
                  </m:rPr>
                  <m:t>l</m:t>
                </m:r>
              </m:sub>
            </m:sSub>
          </m:num>
          <m:den>
            <m:r>
              <m:t>2</m:t>
            </m:r>
          </m:den>
        </m:f>
      </m:oMath>
      <w:r>
        <w:rPr>
          <w:rFonts w:ascii="Arial" w:hAnsi="Arial"/>
          <w:sz w:val="20"/>
        </w:rPr>
        <w:t xml:space="preserve">    (7.3)</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Condition</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Mass (kg)</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xCG (m)</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Nose fraction</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RN (kN)</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Main total (kN)</w:t>
            </w:r>
          </w:p>
        </w:tc>
        <w:tc>
          <w:tcPr>
            <w:tcW w:type="dxa" w:w="1461"/>
            <w:vAlign w:val="center"/>
            <w:tcMar>
              <w:top w:w="70" w:type="dxa"/>
              <w:start w:w="70" w:type="dxa"/>
              <w:bottom w:w="70" w:type="dxa"/>
              <w:end w:w="70" w:type="dxa"/>
            </w:tcMar>
            <w:shd w:fill="D9EAF7"/>
          </w:tcPr>
          <w:p>
            <w:pPr>
              <w:spacing w:after="0" w:before="0"/>
              <w:jc w:val="center"/>
            </w:pPr>
            <w:r/>
            <w:r>
              <w:rPr>
                <w:rFonts w:ascii="Arial" w:hAnsi="Arial"/>
                <w:b/>
                <w:sz w:val="18"/>
              </w:rPr>
              <w:t>Each main (kN)</w:t>
            </w:r>
          </w:p>
        </w:tc>
      </w:tr>
      <w:tr>
        <w:tc>
          <w:tcPr>
            <w:tcW w:type="dxa" w:w="1461"/>
            <w:vAlign w:val="center"/>
            <w:tcMar>
              <w:top w:w="70" w:type="dxa"/>
              <w:start w:w="70" w:type="dxa"/>
              <w:bottom w:w="70" w:type="dxa"/>
              <w:end w:w="70" w:type="dxa"/>
            </w:tcMar>
          </w:tcPr>
          <w:p>
            <w:pPr>
              <w:spacing w:after="0" w:before="0"/>
              <w:jc w:val="left"/>
            </w:pPr>
            <w:r/>
            <w:r>
              <w:rPr>
                <w:rFonts w:ascii="Arial" w:hAnsi="Arial"/>
                <w:b w:val="0"/>
                <w:sz w:val="18"/>
              </w:rPr>
              <w:t>Forward take-off</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1608.8</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3.37374</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25.88%</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4.084</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11.693</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5.847</w:t>
            </w:r>
          </w:p>
        </w:tc>
      </w:tr>
      <w:tr>
        <w:tc>
          <w:tcPr>
            <w:tcW w:type="dxa" w:w="1461"/>
            <w:vAlign w:val="center"/>
            <w:tcMar>
              <w:top w:w="70" w:type="dxa"/>
              <w:start w:w="70" w:type="dxa"/>
              <w:bottom w:w="70" w:type="dxa"/>
              <w:end w:w="70" w:type="dxa"/>
            </w:tcMar>
          </w:tcPr>
          <w:p>
            <w:pPr>
              <w:spacing w:after="0" w:before="0"/>
              <w:jc w:val="left"/>
            </w:pPr>
            <w:r/>
            <w:r>
              <w:rPr>
                <w:rFonts w:ascii="Arial" w:hAnsi="Arial"/>
                <w:b w:val="0"/>
                <w:sz w:val="18"/>
              </w:rPr>
              <w:t>Forward landing</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1519.8</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3.35170</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26.51%</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3.950</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10.954</w:t>
            </w:r>
          </w:p>
        </w:tc>
        <w:tc>
          <w:tcPr>
            <w:tcW w:type="dxa" w:w="1461"/>
            <w:vAlign w:val="center"/>
            <w:tcMar>
              <w:top w:w="70" w:type="dxa"/>
              <w:start w:w="70" w:type="dxa"/>
              <w:bottom w:w="70" w:type="dxa"/>
              <w:end w:w="70" w:type="dxa"/>
            </w:tcMar>
          </w:tcPr>
          <w:p>
            <w:pPr>
              <w:spacing w:after="0" w:before="0"/>
              <w:jc w:val="center"/>
            </w:pPr>
            <w:r/>
            <w:r>
              <w:rPr>
                <w:rFonts w:ascii="Arial" w:hAnsi="Arial"/>
                <w:b w:val="0"/>
                <w:sz w:val="18"/>
              </w:rPr>
              <w:t>5.477</w:t>
            </w:r>
          </w:p>
        </w:tc>
      </w:tr>
    </w:tbl>
    <w:p>
      <w:pPr>
        <w:spacing w:after="120" w:line="252" w:lineRule="auto"/>
      </w:pPr>
      <w:r>
        <w:rPr>
          <w:rFonts w:ascii="Arial" w:hAnsi="Arial"/>
          <w:b/>
          <w:sz w:val="24"/>
        </w:rPr>
        <w:t>Interpretation.</w:t>
      </w:r>
      <w:r>
        <w:rPr>
          <w:rFonts w:ascii="Arial" w:hAnsi="Arial"/>
          <w:i w:val="0"/>
          <w:sz w:val="24"/>
        </w:rPr>
        <w:t xml:space="preserve"> The updated loading cloud raises the static nose-load fraction above the old preliminary 10–20% placement guideline, but the absolute static nose reaction remains only about 3.95–4.08 kN. A late main-gear relocation is therefore not justified; forward-CG ground handling, steering effort, shimmy and tyre loading are retained as ground-test items rather than redesign triggers.</w:t>
      </w:r>
    </w:p>
    <w:p>
      <w:pPr>
        <w:pStyle w:val="Heading2"/>
      </w:pPr>
      <w:r>
        <w:t>7.3 Landing-impact load factor and main-gear demand</w:t>
      </w:r>
    </w:p>
    <w:p>
      <w:pPr>
        <w:spacing w:before="80" w:after="120"/>
        <w:jc w:val="center"/>
      </w:pPr>
      <m:oMath>
        <m:sSub>
          <m:e>
            <m:r>
              <m:t>n</m:t>
            </m:r>
          </m:e>
          <m:sub>
            <m:r>
              <m:t>e</m:t>
            </m:r>
          </m:sub>
        </m:sSub>
        <m:r>
          <m:rPr>
            <m:sty m:val="p"/>
          </m:rPr>
          <m:t>=</m:t>
        </m:r>
        <m:r>
          <m:t>1</m:t>
        </m:r>
        <m:r>
          <m:rPr>
            <m:sty m:val="p"/>
          </m:rPr>
          <m:t>+</m:t>
        </m:r>
        <m:f>
          <m:fPr>
            <m:type m:val="bar"/>
          </m:fPr>
          <m:num>
            <m:sSubSup>
              <m:e>
                <m:r>
                  <m:t>V</m:t>
                </m:r>
              </m:e>
              <m:sub>
                <m:r>
                  <m:t>z</m:t>
                </m:r>
              </m:sub>
              <m:sup>
                <m:r>
                  <m:t>2</m:t>
                </m:r>
              </m:sup>
            </m:sSubSup>
          </m:num>
          <m:den>
            <m:r>
              <m:t>2</m:t>
            </m:r>
            <m:r>
              <m:t>g</m:t>
            </m:r>
            <m:d>
              <m:dPr>
                <m:begChr m:val="("/>
                <m:endChr m:val=")"/>
                <m:sepChr m:val=""/>
                <m:grow/>
              </m:dPr>
              <m:e>
                <m:sSub>
                  <m:e>
                    <m:r>
                      <m:t>η</m:t>
                    </m:r>
                  </m:e>
                  <m:sub>
                    <m:r>
                      <m:t>s</m:t>
                    </m:r>
                  </m:sub>
                </m:sSub>
                <m:sSub>
                  <m:e>
                    <m:r>
                      <m:t>s</m:t>
                    </m:r>
                  </m:e>
                  <m:sub>
                    <m:r>
                      <m:t>s</m:t>
                    </m:r>
                  </m:sub>
                </m:sSub>
                <m:r>
                  <m:rPr>
                    <m:sty m:val="p"/>
                  </m:rPr>
                  <m:t>+</m:t>
                </m:r>
                <m:sSub>
                  <m:e>
                    <m:r>
                      <m:t>η</m:t>
                    </m:r>
                  </m:e>
                  <m:sub>
                    <m:r>
                      <m:t>t</m:t>
                    </m:r>
                  </m:sub>
                </m:sSub>
                <m:sSub>
                  <m:e>
                    <m:r>
                      <m:t>s</m:t>
                    </m:r>
                  </m:e>
                  <m:sub>
                    <m:r>
                      <m:t>t</m:t>
                    </m:r>
                  </m:sub>
                </m:sSub>
              </m:e>
            </m:d>
          </m:den>
        </m:f>
      </m:oMath>
      <w:r>
        <w:rPr>
          <w:rFonts w:ascii="Arial" w:hAnsi="Arial"/>
          <w:sz w:val="20"/>
        </w:rPr>
        <w:t xml:space="preserve">    (7.4)</w:t>
      </w:r>
    </w:p>
    <w:p>
      <w:pPr>
        <w:spacing w:after="120" w:line="252" w:lineRule="auto"/>
      </w:pPr>
      <w:r>
        <w:rPr>
          <w:rFonts w:ascii="Arial" w:hAnsi="Arial"/>
          <w:i w:val="0"/>
          <w:sz w:val="24"/>
        </w:rPr>
        <w:t>Using Vz = 5.0 m/s, oleo stroke 0.36 m, tyre deflection 0.13 m, strut efficiency 0.80 and tyre efficiency 0.58 gives n_e = 4.508, rounded to the released 4.51 g limit basis. The 1.5 ultimate factor gives n_u = 6.761 ≈ 6.76 g.</w:t>
      </w:r>
    </w:p>
    <w:p>
      <w:pPr>
        <w:spacing w:before="80" w:after="120"/>
        <w:jc w:val="center"/>
      </w:pPr>
      <m:oMath>
        <m:sSub>
          <m:e>
            <m:r>
              <m:t>P</m:t>
            </m:r>
          </m:e>
          <m:sub>
            <m:r>
              <m:t>M</m:t>
            </m:r>
            <m:r>
              <m:rPr>
                <m:sty m:val="p"/>
              </m:rPr>
              <m:t>,</m:t>
            </m:r>
            <m:r>
              <m:rPr>
                <m:sty m:val="p"/>
              </m:rPr>
              <m:t>l</m:t>
            </m:r>
            <m:r>
              <m:rPr>
                <m:sty m:val="p"/>
              </m:rPr>
              <m:t>i</m:t>
            </m:r>
            <m:r>
              <m:rPr>
                <m:sty m:val="p"/>
              </m:rPr>
              <m:t>m</m:t>
            </m:r>
            <m:r>
              <m:rPr>
                <m:sty m:val="p"/>
              </m:rPr>
              <m:t>i</m:t>
            </m:r>
            <m:r>
              <m:rPr>
                <m:sty m:val="p"/>
              </m:rPr>
              <m:t>t</m:t>
            </m:r>
          </m:sub>
        </m:sSub>
        <m:r>
          <m:rPr>
            <m:sty m:val="p"/>
          </m:rPr>
          <m:t>=</m:t>
        </m:r>
        <m:f>
          <m:fPr>
            <m:type m:val="bar"/>
          </m:fPr>
          <m:num>
            <m:sSub>
              <m:e>
                <m:r>
                  <m:t>n</m:t>
                </m:r>
              </m:e>
              <m:sub>
                <m:r>
                  <m:t>e</m:t>
                </m:r>
              </m:sub>
            </m:sSub>
            <m:sSub>
              <m:e>
                <m:r>
                  <m:t>W</m:t>
                </m:r>
              </m:e>
              <m:sub>
                <m:r>
                  <m:rPr>
                    <m:sty m:val="p"/>
                  </m:rPr>
                  <m:t>L</m:t>
                </m:r>
                <m:r>
                  <m:rPr>
                    <m:sty m:val="p"/>
                  </m:rPr>
                  <m:t>D</m:t>
                </m:r>
                <m:r>
                  <m:rPr>
                    <m:sty m:val="p"/>
                  </m:rPr>
                  <m:t>G</m:t>
                </m:r>
              </m:sub>
            </m:sSub>
          </m:num>
          <m:den>
            <m:r>
              <m:t>2</m:t>
            </m:r>
          </m:den>
        </m:f>
      </m:oMath>
      <w:r>
        <w:rPr>
          <w:rFonts w:ascii="Arial" w:hAnsi="Arial"/>
          <w:sz w:val="20"/>
        </w:rPr>
        <w:t xml:space="preserve">    (7.5)</w:t>
      </w:r>
    </w:p>
    <w:p>
      <w:pPr>
        <w:spacing w:before="80" w:after="120"/>
        <w:jc w:val="center"/>
      </w:pPr>
      <m:oMath>
        <m:sSub>
          <m:e>
            <m:r>
              <m:t>P</m:t>
            </m:r>
          </m:e>
          <m:sub>
            <m:r>
              <m:t>M</m:t>
            </m:r>
            <m:r>
              <m:rPr>
                <m:sty m:val="p"/>
              </m:rPr>
              <m:t>,</m:t>
            </m:r>
            <m:r>
              <m:rPr>
                <m:sty m:val="p"/>
              </m:rPr>
              <m:t>u</m:t>
            </m:r>
            <m:r>
              <m:rPr>
                <m:sty m:val="p"/>
              </m:rPr>
              <m:t>l</m:t>
            </m:r>
            <m:r>
              <m:rPr>
                <m:sty m:val="p"/>
              </m:rPr>
              <m:t>t</m:t>
            </m:r>
            <m:r>
              <m:rPr>
                <m:sty m:val="p"/>
              </m:rPr>
              <m:t>i</m:t>
            </m:r>
            <m:r>
              <m:rPr>
                <m:sty m:val="p"/>
              </m:rPr>
              <m:t>m</m:t>
            </m:r>
            <m:r>
              <m:rPr>
                <m:sty m:val="p"/>
              </m:rPr>
              <m:t>a</m:t>
            </m:r>
            <m:r>
              <m:rPr>
                <m:sty m:val="p"/>
              </m:rPr>
              <m:t>t</m:t>
            </m:r>
            <m:r>
              <m:rPr>
                <m:sty m:val="p"/>
              </m:rPr>
              <m:t>e</m:t>
            </m:r>
          </m:sub>
        </m:sSub>
        <m:r>
          <m:rPr>
            <m:sty m:val="p"/>
          </m:rPr>
          <m:t>=</m:t>
        </m:r>
        <m:r>
          <m:t>1.5</m:t>
        </m:r>
        <m:r>
          <m:t> </m:t>
        </m:r>
        <m:sSub>
          <m:e>
            <m:r>
              <m:t>P</m:t>
            </m:r>
          </m:e>
          <m:sub>
            <m:r>
              <m:t>M</m:t>
            </m:r>
            <m:r>
              <m:rPr>
                <m:sty m:val="p"/>
              </m:rPr>
              <m:t>,</m:t>
            </m:r>
            <m:r>
              <m:rPr>
                <m:sty m:val="p"/>
              </m:rPr>
              <m:t>l</m:t>
            </m:r>
            <m:r>
              <m:rPr>
                <m:sty m:val="p"/>
              </m:rPr>
              <m:t>i</m:t>
            </m:r>
            <m:r>
              <m:rPr>
                <m:sty m:val="p"/>
              </m:rPr>
              <m:t>m</m:t>
            </m:r>
            <m:r>
              <m:rPr>
                <m:sty m:val="p"/>
              </m:rPr>
              <m:t>i</m:t>
            </m:r>
            <m:r>
              <m:rPr>
                <m:sty m:val="p"/>
              </m:rPr>
              <m:t>t</m:t>
            </m:r>
          </m:sub>
        </m:sSub>
      </m:oMath>
      <w:r>
        <w:rPr>
          <w:rFonts w:ascii="Arial" w:hAnsi="Arial"/>
          <w:sz w:val="20"/>
        </w:rPr>
        <w:t xml:space="preserve">    (7.6)</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Load item</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Actual FG8.4 demand</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Existing design basis</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Assessment</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Each main, limit</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33.61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44.2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PASS; capacity/demand ≈ 1.315</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Each main, ultimate</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50.41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66.3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PASS; capacity/demand ≈ 1.315</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Worst forward nose, limit screen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18.42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Supplier rating not frozen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Hardware requirement</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Worst forward nose, ultimate screen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27.63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Supplier rating not frozen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Hardware requirement</w:t>
            </w:r>
          </w:p>
        </w:tc>
      </w:tr>
    </w:tbl>
    <w:p>
      <w:pPr>
        <w:spacing w:after="120" w:line="252" w:lineRule="auto"/>
      </w:pPr>
      <w:r>
        <w:rPr>
          <w:rFonts w:ascii="Arial" w:hAnsi="Arial"/>
          <w:b/>
          <w:sz w:val="24"/>
        </w:rPr>
        <w:t>The governing main-gear comparison</w:t>
      </w:r>
      <w:r>
        <w:rPr>
          <w:rFonts w:ascii="Arial" w:hAnsi="Arial"/>
          <w:i w:val="0"/>
          <w:sz w:val="24"/>
        </w:rPr>
        <w:t xml:space="preserve"> conservatively assigns the complete 4.51 g vertical reaction to the two main wheels at the actual 1519.8 kg landing state. This is more adverse for the mains than preserving the static nose/main split. The existing 44.2/66.3 kN per-main sizing basis therefore remains adequate.</w:t>
      </w:r>
    </w:p>
    <w:p>
      <w:pPr>
        <w:pStyle w:val="Heading2"/>
      </w:pPr>
      <w:r>
        <w:t>7.4 Tip-back and lateral-overturn geometry</w:t>
      </w:r>
    </w:p>
    <w:p>
      <w:pPr>
        <w:spacing w:before="80" w:after="120"/>
        <w:jc w:val="center"/>
      </w:pPr>
      <m:oMath>
        <m:sSub>
          <m:e>
            <m:r>
              <m:t>θ</m:t>
            </m:r>
          </m:e>
          <m:sub>
            <m:r>
              <m:t>T</m:t>
            </m:r>
            <m:r>
              <m:t>B</m:t>
            </m:r>
          </m:sub>
        </m:sSub>
        <m:r>
          <m:rPr>
            <m:sty m:val="p"/>
          </m:rPr>
          <m:t>=</m:t>
        </m:r>
        <m:sSup>
          <m:e>
            <m:r>
              <m:rPr>
                <m:sty m:val="p"/>
              </m:rPr>
              <m:t>tan</m:t>
            </m:r>
          </m:e>
          <m:sup>
            <m:r>
              <m:rPr>
                <m:sty m:val="p"/>
              </m:rPr>
              <m:t>−</m:t>
            </m:r>
            <m:r>
              <m:t>1</m:t>
            </m:r>
          </m:sup>
        </m:sSup>
        <m:d>
          <m:dPr>
            <m:begChr m:val="("/>
            <m:endChr m:val=")"/>
            <m:sepChr m:val=""/>
            <m:grow/>
          </m:dPr>
          <m:e>
            <m:f>
              <m:fPr>
                <m:type m:val="bar"/>
              </m:fPr>
              <m:num>
                <m:sSub>
                  <m:e>
                    <m:r>
                      <m:t>x</m:t>
                    </m:r>
                  </m:e>
                  <m:sub>
                    <m:r>
                      <m:t>M</m:t>
                    </m:r>
                  </m:sub>
                </m:sSub>
                <m:r>
                  <m:rPr>
                    <m:sty m:val="p"/>
                  </m:rPr>
                  <m:t>−</m:t>
                </m:r>
                <m:sSub>
                  <m:e>
                    <m:r>
                      <m:t>x</m:t>
                    </m:r>
                  </m:e>
                  <m:sub>
                    <m:r>
                      <m:t>C</m:t>
                    </m:r>
                    <m:r>
                      <m:t>G</m:t>
                    </m:r>
                  </m:sub>
                </m:sSub>
              </m:num>
              <m:den>
                <m:sSub>
                  <m:e>
                    <m:r>
                      <m:t>h</m:t>
                    </m:r>
                  </m:e>
                  <m:sub>
                    <m:r>
                      <m:t>C</m:t>
                    </m:r>
                    <m:r>
                      <m:t>G</m:t>
                    </m:r>
                  </m:sub>
                </m:sSub>
              </m:den>
            </m:f>
          </m:e>
        </m:d>
      </m:oMath>
      <w:r>
        <w:rPr>
          <w:rFonts w:ascii="Arial" w:hAnsi="Arial"/>
          <w:sz w:val="20"/>
        </w:rPr>
        <w:t xml:space="preserve">    (7.7)</w:t>
      </w:r>
    </w:p>
    <w:p>
      <w:pPr>
        <w:spacing w:before="80" w:after="120"/>
        <w:jc w:val="center"/>
      </w:pPr>
      <m:oMath>
        <m:sSub>
          <m:e>
            <m:r>
              <m:t>d</m:t>
            </m:r>
          </m:e>
          <m:sub>
            <m:r>
              <m:rPr>
                <m:sty m:val="p"/>
              </m:rPr>
              <m:t>⊥</m:t>
            </m:r>
          </m:sub>
        </m:sSub>
        <m:r>
          <m:rPr>
            <m:sty m:val="p"/>
          </m:rPr>
          <m:t>=</m:t>
        </m:r>
        <m:f>
          <m:fPr>
            <m:type m:val="bar"/>
          </m:fPr>
          <m:num>
            <m:sSub>
              <m:e>
                <m:r>
                  <m:t>y</m:t>
                </m:r>
              </m:e>
              <m:sub>
                <m:r>
                  <m:t>M</m:t>
                </m:r>
              </m:sub>
            </m:sSub>
            <m:d>
              <m:dPr>
                <m:begChr m:val="("/>
                <m:endChr m:val=")"/>
                <m:sepChr m:val=""/>
                <m:grow/>
              </m:dPr>
              <m:e>
                <m:sSub>
                  <m:e>
                    <m:r>
                      <m:t>x</m:t>
                    </m:r>
                  </m:e>
                  <m:sub>
                    <m:r>
                      <m:t>C</m:t>
                    </m:r>
                    <m:r>
                      <m:t>G</m:t>
                    </m:r>
                  </m:sub>
                </m:sSub>
                <m:r>
                  <m:rPr>
                    <m:sty m:val="p"/>
                  </m:rPr>
                  <m:t>−</m:t>
                </m:r>
                <m:sSub>
                  <m:e>
                    <m:r>
                      <m:t>x</m:t>
                    </m:r>
                  </m:e>
                  <m:sub>
                    <m:r>
                      <m:t>N</m:t>
                    </m:r>
                  </m:sub>
                </m:sSub>
              </m:e>
            </m:d>
          </m:num>
          <m:den>
            <m:rad>
              <m:radPr>
                <m:degHide m:val="on"/>
              </m:radPr>
              <m:deg/>
              <m:e>
                <m:sSup>
                  <m:e>
                    <m:d>
                      <m:dPr>
                        <m:begChr m:val="("/>
                        <m:endChr m:val=")"/>
                        <m:sepChr m:val=""/>
                        <m:grow/>
                      </m:dPr>
                      <m:e>
                        <m:sSub>
                          <m:e>
                            <m:r>
                              <m:t>x</m:t>
                            </m:r>
                          </m:e>
                          <m:sub>
                            <m:r>
                              <m:t>M</m:t>
                            </m:r>
                          </m:sub>
                        </m:sSub>
                        <m:r>
                          <m:rPr>
                            <m:sty m:val="p"/>
                          </m:rPr>
                          <m:t>−</m:t>
                        </m:r>
                        <m:sSub>
                          <m:e>
                            <m:r>
                              <m:t>x</m:t>
                            </m:r>
                          </m:e>
                          <m:sub>
                            <m:r>
                              <m:t>N</m:t>
                            </m:r>
                          </m:sub>
                        </m:sSub>
                      </m:e>
                    </m:d>
                  </m:e>
                  <m:sup>
                    <m:r>
                      <m:t>2</m:t>
                    </m:r>
                  </m:sup>
                </m:sSup>
                <m:r>
                  <m:rPr>
                    <m:sty m:val="p"/>
                  </m:rPr>
                  <m:t>+</m:t>
                </m:r>
                <m:sSubSup>
                  <m:e>
                    <m:r>
                      <m:t>y</m:t>
                    </m:r>
                  </m:e>
                  <m:sub>
                    <m:r>
                      <m:t>M</m:t>
                    </m:r>
                  </m:sub>
                  <m:sup>
                    <m:r>
                      <m:t>2</m:t>
                    </m:r>
                  </m:sup>
                </m:sSubSup>
              </m:e>
            </m:rad>
          </m:den>
        </m:f>
      </m:oMath>
      <w:r>
        <w:rPr>
          <w:rFonts w:ascii="Arial" w:hAnsi="Arial"/>
          <w:sz w:val="20"/>
        </w:rPr>
        <w:t xml:space="preserve">    (7.8)</w:t>
      </w:r>
    </w:p>
    <w:p>
      <w:pPr>
        <w:spacing w:before="80" w:after="120"/>
        <w:jc w:val="center"/>
      </w:pPr>
      <m:oMath>
        <m:sSub>
          <m:e>
            <m:r>
              <m:t>θ</m:t>
            </m:r>
          </m:e>
          <m:sub>
            <m:r>
              <m:t>O</m:t>
            </m:r>
            <m:r>
              <m:t>T</m:t>
            </m:r>
          </m:sub>
        </m:sSub>
        <m:r>
          <m:rPr>
            <m:sty m:val="p"/>
          </m:rPr>
          <m:t>=</m:t>
        </m:r>
        <m:sSup>
          <m:e>
            <m:r>
              <m:rPr>
                <m:sty m:val="p"/>
              </m:rPr>
              <m:t>tan</m:t>
            </m:r>
          </m:e>
          <m:sup>
            <m:r>
              <m:rPr>
                <m:sty m:val="p"/>
              </m:rPr>
              <m:t>−</m:t>
            </m:r>
            <m:r>
              <m:t>1</m:t>
            </m:r>
          </m:sup>
        </m:sSup>
        <m:d>
          <m:dPr>
            <m:begChr m:val="("/>
            <m:endChr m:val=")"/>
            <m:sepChr m:val=""/>
            <m:grow/>
          </m:dPr>
          <m:e>
            <m:f>
              <m:fPr>
                <m:type m:val="bar"/>
              </m:fPr>
              <m:num>
                <m:sSub>
                  <m:e>
                    <m:r>
                      <m:t>d</m:t>
                    </m:r>
                  </m:e>
                  <m:sub>
                    <m:r>
                      <m:rPr>
                        <m:sty m:val="p"/>
                      </m:rPr>
                      <m:t>⊥</m:t>
                    </m:r>
                  </m:sub>
                </m:sSub>
              </m:num>
              <m:den>
                <m:sSub>
                  <m:e>
                    <m:r>
                      <m:t>h</m:t>
                    </m:r>
                  </m:e>
                  <m:sub>
                    <m:r>
                      <m:t>C</m:t>
                    </m:r>
                    <m:r>
                      <m:t>G</m:t>
                    </m:r>
                  </m:sub>
                </m:sSub>
              </m:den>
            </m:f>
          </m:e>
        </m:d>
      </m:oMath>
      <w:r>
        <w:rPr>
          <w:rFonts w:ascii="Arial" w:hAnsi="Arial"/>
          <w:sz w:val="20"/>
        </w:rPr>
        <w:t xml:space="preserve">    (7.9)</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70" w:type="dxa"/>
              <w:start w:w="70" w:type="dxa"/>
              <w:bottom w:w="70" w:type="dxa"/>
              <w:end w:w="70" w:type="dxa"/>
            </w:tcMar>
            <w:shd w:fill="D9EAF7"/>
          </w:tcPr>
          <w:p>
            <w:pPr>
              <w:spacing w:after="0" w:before="0"/>
              <w:jc w:val="center"/>
            </w:pPr>
            <w:r/>
            <w:r>
              <w:rPr>
                <w:rFonts w:ascii="Arial" w:hAnsi="Arial"/>
                <w:b/>
                <w:sz w:val="18"/>
              </w:rPr>
              <w:t>CG state</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8"/>
              </w:rPr>
              <w:t>FS xCG (m)</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8"/>
              </w:rPr>
              <w:t>Tip-back angle</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8"/>
              </w:rPr>
              <w:t>Overturn angle</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8"/>
              </w:rPr>
              <w:t>Disposition</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8"/>
              </w:rPr>
              <w:t>Forward landing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3.35170</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32.91°</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40.88°</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Forward ground-handling reference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8"/>
              </w:rPr>
              <w:t>Forward take-off</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3.37374</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32.29°</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41.12°</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Forward ground-handling reference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8"/>
              </w:rPr>
              <w:t>Actual nominal aft</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3.70312</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22.04°</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44.50°</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PASS; improved vs old aft boundary</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8"/>
              </w:rPr>
              <w:t>U20 aft screening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3.83778</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17.32°</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45.78°</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PASS screening boundary</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8"/>
              </w:rPr>
              <w:t>Obsolete FS 3.900 comparison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3.90000</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15.05°</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46.35°</w:t>
            </w:r>
          </w:p>
        </w:tc>
        <w:tc>
          <w:tcPr>
            <w:tcW w:type="dxa" w:w="2045"/>
            <w:vAlign w:val="center"/>
            <w:tcMar>
              <w:top w:w="70" w:type="dxa"/>
              <w:start w:w="70" w:type="dxa"/>
              <w:bottom w:w="70" w:type="dxa"/>
              <w:end w:w="70" w:type="dxa"/>
            </w:tcMar>
          </w:tcPr>
          <w:p>
            <w:pPr>
              <w:spacing w:after="0" w:before="0"/>
              <w:jc w:val="center"/>
            </w:pPr>
            <w:r/>
            <w:r>
              <w:rPr>
                <w:rFonts w:ascii="Arial" w:hAnsi="Arial"/>
                <w:b w:val="0"/>
                <w:sz w:val="18"/>
              </w:rPr>
              <w:t>Reference only; not operational limit</w:t>
            </w:r>
          </w:p>
        </w:tc>
      </w:tr>
    </w:tbl>
    <w:p>
      <w:pPr>
        <w:spacing w:after="120" w:line="252" w:lineRule="auto"/>
      </w:pPr>
      <w:r>
        <w:rPr>
          <w:rFonts w:ascii="Arial" w:hAnsi="Arial"/>
          <w:b/>
          <w:sz w:val="24"/>
        </w:rPr>
        <w:t>FG8.4 conclusion.</w:t>
      </w:r>
      <w:r>
        <w:rPr>
          <w:rFonts w:ascii="Arial" w:hAnsi="Arial"/>
          <w:i w:val="0"/>
          <w:sz w:val="24"/>
        </w:rPr>
        <w:t xml:space="preserve"> PASS with ground-handling/hardware qualification. The existing main-gear vertical-load basis remains conservative for the actual forward landing state, and aft-CG tip-back improves once the obsolete FS 3.900 boundary is removed. The gear geometry is retained. A minimum nose-gear vertical requirement of approximately 18.5 kN limit and 27.7 kN ultimate is carried to hardware selection, while the 25.9–26.5% light-forward static nose fraction remains a handling-validation note.</w:t>
      </w:r>
    </w:p>
    <w:p>
      <w:r>
        <w:br w:type="page"/>
      </w:r>
    </w:p>
    <w:p>
      <w:pPr>
        <w:pStyle w:val="Heading1"/>
      </w:pPr>
      <w:r>
        <w:t>8. VMC7.4 Atmosphere-Consistency Recalculation</w:t>
      </w:r>
    </w:p>
    <w:p>
      <w:pPr>
        <w:spacing w:after="120" w:line="252" w:lineRule="auto"/>
      </w:pPr>
      <w:r>
        <w:rPr>
          <w:rFonts w:ascii="Arial" w:hAnsi="Arial"/>
          <w:i w:val="0"/>
          <w:sz w:val="24"/>
        </w:rPr>
        <w:t>The earlier VMC7.4 analytical closure used EAS-referenced aerodynamic dynamic pressure but a live-thrust calculation at an incompletely traced density of 1.168 kg/m³. The equilibrium formulation was sound, but the atmosphere bookkeeping was not sufficiently explicit for final report release. This section recomputes the same model on two fully defined atmosphere bases: sea-level standard (ρ = 1.225 kg/m³) as the release screen and 610 m ISA+20°C (ρ = 1.079 kg/m³) as an operating-condition sensitivity. The aerodynamic force equations remain EAS-based, while the ideal live-propeller thrust uses the corresponding local TAS and density.</w:t>
      </w:r>
    </w:p>
    <w:p>
      <w:pPr>
        <w:pStyle w:val="Heading2"/>
      </w:pPr>
      <w:r>
        <w:t>8.1 Atmosphere-consistent speed and thrust definitions</w:t>
      </w:r>
    </w:p>
    <w:p>
      <w:pPr>
        <w:spacing w:before="80" w:after="120"/>
        <w:jc w:val="center"/>
      </w:pPr>
      <m:oMath>
        <m:r>
          <m:t>q</m:t>
        </m:r>
        <m:r>
          <m:rPr>
            <m:sty m:val="p"/>
          </m:rPr>
          <m:t>=</m:t>
        </m:r>
        <m:f>
          <m:fPr>
            <m:type m:val="bar"/>
          </m:fPr>
          <m:num>
            <m:r>
              <m:t>1</m:t>
            </m:r>
          </m:num>
          <m:den>
            <m:r>
              <m:t>2</m:t>
            </m:r>
          </m:den>
        </m:f>
        <m:sSub>
          <m:e>
            <m:r>
              <m:t>ρ</m:t>
            </m:r>
          </m:e>
          <m:sub>
            <m:r>
              <m:t>0</m:t>
            </m:r>
          </m:sub>
        </m:sSub>
        <m:sSubSup>
          <m:e>
            <m:r>
              <m:t>V</m:t>
            </m:r>
          </m:e>
          <m:sub>
            <m:r>
              <m:t>E</m:t>
            </m:r>
          </m:sub>
          <m:sup>
            <m:r>
              <m:t>2</m:t>
            </m:r>
          </m:sup>
        </m:sSubSup>
      </m:oMath>
      <w:r>
        <w:rPr>
          <w:rFonts w:ascii="Arial" w:hAnsi="Arial"/>
          <w:sz w:val="20"/>
        </w:rPr>
        <w:t xml:space="preserve">    (8.1)</w:t>
      </w:r>
    </w:p>
    <w:p>
      <w:pPr>
        <w:spacing w:before="80" w:after="120"/>
        <w:jc w:val="center"/>
      </w:pPr>
      <m:oMath>
        <m:sSub>
          <m:e>
            <m:r>
              <m:t>V</m:t>
            </m:r>
          </m:e>
          <m:sub>
            <m:r>
              <m:rPr>
                <m:sty m:val="p"/>
              </m:rPr>
              <m:t>T</m:t>
            </m:r>
            <m:r>
              <m:rPr>
                <m:sty m:val="p"/>
              </m:rPr>
              <m:t>A</m:t>
            </m:r>
            <m:r>
              <m:rPr>
                <m:sty m:val="p"/>
              </m:rPr>
              <m:t>S</m:t>
            </m:r>
          </m:sub>
        </m:sSub>
        <m:r>
          <m:rPr>
            <m:sty m:val="p"/>
          </m:rPr>
          <m:t>=</m:t>
        </m:r>
        <m:sSub>
          <m:e>
            <m:r>
              <m:t>V</m:t>
            </m:r>
          </m:e>
          <m:sub>
            <m:r>
              <m:t>E</m:t>
            </m:r>
          </m:sub>
        </m:sSub>
        <m:rad>
          <m:radPr>
            <m:degHide m:val="on"/>
          </m:radPr>
          <m:deg/>
          <m:e>
            <m:f>
              <m:fPr>
                <m:type m:val="bar"/>
              </m:fPr>
              <m:num>
                <m:sSub>
                  <m:e>
                    <m:r>
                      <m:t>ρ</m:t>
                    </m:r>
                  </m:e>
                  <m:sub>
                    <m:r>
                      <m:t>0</m:t>
                    </m:r>
                  </m:sub>
                </m:sSub>
              </m:num>
              <m:den>
                <m:r>
                  <m:t>ρ</m:t>
                </m:r>
              </m:den>
            </m:f>
          </m:e>
        </m:rad>
      </m:oMath>
      <w:r>
        <w:rPr>
          <w:rFonts w:ascii="Arial" w:hAnsi="Arial"/>
          <w:sz w:val="20"/>
        </w:rPr>
        <w:t xml:space="preserve">    (8.2)</w:t>
      </w:r>
    </w:p>
    <w:p>
      <w:pPr>
        <w:spacing w:before="80" w:after="120"/>
        <w:jc w:val="center"/>
      </w:pPr>
      <m:oMath>
        <m:r>
          <m:t>P</m:t>
        </m:r>
        <m:r>
          <m:rPr>
            <m:sty m:val="p"/>
          </m:rPr>
          <m:t>=</m:t>
        </m:r>
        <m:r>
          <m:t>2</m:t>
        </m:r>
        <m:r>
          <m:t>ρ</m:t>
        </m:r>
        <m:sSub>
          <m:e>
            <m:r>
              <m:t>A</m:t>
            </m:r>
          </m:e>
          <m:sub>
            <m:r>
              <m:t>p</m:t>
            </m:r>
          </m:sub>
        </m:sSub>
        <m:sSub>
          <m:e>
            <m:r>
              <m:t>v</m:t>
            </m:r>
          </m:e>
          <m:sub>
            <m:r>
              <m:t>i</m:t>
            </m:r>
          </m:sub>
        </m:sSub>
        <m:sSup>
          <m:e>
            <m:d>
              <m:dPr>
                <m:begChr m:val="("/>
                <m:endChr m:val=")"/>
                <m:sepChr m:val=""/>
                <m:grow/>
              </m:dPr>
              <m:e>
                <m:sSub>
                  <m:e>
                    <m:r>
                      <m:t>V</m:t>
                    </m:r>
                  </m:e>
                  <m:sub>
                    <m:r>
                      <m:rPr>
                        <m:sty m:val="p"/>
                      </m:rPr>
                      <m:t>T</m:t>
                    </m:r>
                    <m:r>
                      <m:rPr>
                        <m:sty m:val="p"/>
                      </m:rPr>
                      <m:t>A</m:t>
                    </m:r>
                    <m:r>
                      <m:rPr>
                        <m:sty m:val="p"/>
                      </m:rPr>
                      <m:t>S</m:t>
                    </m:r>
                  </m:sub>
                </m:sSub>
                <m:r>
                  <m:rPr>
                    <m:sty m:val="p"/>
                  </m:rPr>
                  <m:t>+</m:t>
                </m:r>
                <m:sSub>
                  <m:e>
                    <m:r>
                      <m:t>v</m:t>
                    </m:r>
                  </m:e>
                  <m:sub>
                    <m:r>
                      <m:t>i</m:t>
                    </m:r>
                  </m:sub>
                </m:sSub>
              </m:e>
            </m:d>
          </m:e>
          <m:sup>
            <m:r>
              <m:t>2</m:t>
            </m:r>
          </m:sup>
        </m:sSup>
      </m:oMath>
      <w:r>
        <w:rPr>
          <w:rFonts w:ascii="Arial" w:hAnsi="Arial"/>
          <w:sz w:val="20"/>
        </w:rPr>
        <w:t xml:space="preserve">    (8.3)</w:t>
      </w:r>
    </w:p>
    <w:p>
      <w:pPr>
        <w:spacing w:before="80" w:after="120"/>
        <w:jc w:val="center"/>
      </w:pPr>
      <m:oMath>
        <m:sSub>
          <m:e>
            <m:r>
              <m:t>T</m:t>
            </m:r>
          </m:e>
          <m:sub>
            <m:r>
              <m:rPr>
                <m:sty m:val="p"/>
              </m:rPr>
              <m:t>l</m:t>
            </m:r>
            <m:r>
              <m:rPr>
                <m:sty m:val="p"/>
              </m:rPr>
              <m:t>i</m:t>
            </m:r>
            <m:r>
              <m:rPr>
                <m:sty m:val="p"/>
              </m:rPr>
              <m:t>v</m:t>
            </m:r>
            <m:r>
              <m:rPr>
                <m:sty m:val="p"/>
              </m:rPr>
              <m:t>e</m:t>
            </m:r>
          </m:sub>
        </m:sSub>
        <m:r>
          <m:rPr>
            <m:sty m:val="p"/>
          </m:rPr>
          <m:t>=</m:t>
        </m:r>
        <m:r>
          <m:t>2</m:t>
        </m:r>
        <m:r>
          <m:t>ρ</m:t>
        </m:r>
        <m:sSub>
          <m:e>
            <m:r>
              <m:t>A</m:t>
            </m:r>
          </m:e>
          <m:sub>
            <m:r>
              <m:t>p</m:t>
            </m:r>
          </m:sub>
        </m:sSub>
        <m:sSub>
          <m:e>
            <m:r>
              <m:t>v</m:t>
            </m:r>
          </m:e>
          <m:sub>
            <m:r>
              <m:t>i</m:t>
            </m:r>
          </m:sub>
        </m:sSub>
        <m:d>
          <m:dPr>
            <m:begChr m:val="("/>
            <m:endChr m:val=")"/>
            <m:sepChr m:val=""/>
            <m:grow/>
          </m:dPr>
          <m:e>
            <m:sSub>
              <m:e>
                <m:r>
                  <m:t>V</m:t>
                </m:r>
              </m:e>
              <m:sub>
                <m:r>
                  <m:rPr>
                    <m:sty m:val="p"/>
                  </m:rPr>
                  <m:t>T</m:t>
                </m:r>
                <m:r>
                  <m:rPr>
                    <m:sty m:val="p"/>
                  </m:rPr>
                  <m:t>A</m:t>
                </m:r>
                <m:r>
                  <m:rPr>
                    <m:sty m:val="p"/>
                  </m:rPr>
                  <m:t>S</m:t>
                </m:r>
              </m:sub>
            </m:sSub>
            <m:r>
              <m:rPr>
                <m:sty m:val="p"/>
              </m:rPr>
              <m:t>+</m:t>
            </m:r>
            <m:sSub>
              <m:e>
                <m:r>
                  <m:t>v</m:t>
                </m:r>
              </m:e>
              <m:sub>
                <m:r>
                  <m:t>i</m:t>
                </m:r>
              </m:sub>
            </m:sSub>
          </m:e>
        </m:d>
      </m:oMath>
      <w:r>
        <w:rPr>
          <w:rFonts w:ascii="Arial" w:hAnsi="Arial"/>
          <w:sz w:val="20"/>
        </w:rPr>
        <w:t xml:space="preserve">    (8.4)</w:t>
      </w:r>
    </w:p>
    <w:p>
      <w:pPr>
        <w:spacing w:before="80" w:after="120"/>
        <w:jc w:val="center"/>
      </w:pPr>
      <m:oMath>
        <m:sSub>
          <m:e>
            <m:r>
              <m:t>D</m:t>
            </m:r>
          </m:e>
          <m:sub>
            <m:r>
              <m:t>f</m:t>
            </m:r>
          </m:sub>
        </m:sSub>
        <m:r>
          <m:rPr>
            <m:sty m:val="p"/>
          </m:rPr>
          <m:t>=</m:t>
        </m:r>
        <m:r>
          <m:t>q</m:t>
        </m:r>
        <m:sSub>
          <m:e>
            <m:r>
              <m:t>A</m:t>
            </m:r>
          </m:e>
          <m:sub>
            <m:r>
              <m:t>p</m:t>
            </m:r>
          </m:sub>
        </m:sSub>
        <m:sSub>
          <m:e>
            <m:r>
              <m:t>C</m:t>
            </m:r>
          </m:e>
          <m:sub>
            <m:r>
              <m:t>D</m:t>
            </m:r>
            <m:r>
              <m:rPr>
                <m:sty m:val="p"/>
              </m:rPr>
              <m:t>,</m:t>
            </m:r>
            <m:r>
              <m:t>f</m:t>
            </m:r>
          </m:sub>
        </m:sSub>
      </m:oMath>
      <w:r>
        <w:rPr>
          <w:rFonts w:ascii="Arial" w:hAnsi="Arial"/>
          <w:sz w:val="20"/>
        </w:rPr>
        <w:t xml:space="preserve">    (8.5)</w:t>
      </w:r>
    </w:p>
    <w:p>
      <w:pPr>
        <w:spacing w:before="80" w:after="120"/>
        <w:jc w:val="center"/>
      </w:pPr>
      <m:oMath>
        <m:sSub>
          <m:e>
            <m:r>
              <m:t>C</m:t>
            </m:r>
          </m:e>
          <m:sub>
            <m:r>
              <m:t>n</m:t>
            </m:r>
            <m:r>
              <m:rPr>
                <m:sty m:val="p"/>
              </m:rPr>
              <m:t>,</m:t>
            </m:r>
            <m:r>
              <m:rPr>
                <m:sty m:val="p"/>
              </m:rPr>
              <m:t>O</m:t>
            </m:r>
            <m:r>
              <m:rPr>
                <m:sty m:val="p"/>
              </m:rPr>
              <m:t>E</m:t>
            </m:r>
            <m:r>
              <m:rPr>
                <m:sty m:val="p"/>
              </m:rPr>
              <m:t>I</m:t>
            </m:r>
          </m:sub>
        </m:sSub>
        <m:r>
          <m:rPr>
            <m:sty m:val="p"/>
          </m:rPr>
          <m:t>=</m:t>
        </m:r>
        <m:f>
          <m:fPr>
            <m:type m:val="bar"/>
          </m:fPr>
          <m:num>
            <m:d>
              <m:dPr>
                <m:begChr m:val="("/>
                <m:endChr m:val=")"/>
                <m:sepChr m:val=""/>
                <m:grow/>
              </m:dPr>
              <m:e>
                <m:sSub>
                  <m:e>
                    <m:r>
                      <m:t>T</m:t>
                    </m:r>
                  </m:e>
                  <m:sub>
                    <m:r>
                      <m:rPr>
                        <m:sty m:val="p"/>
                      </m:rPr>
                      <m:t>l</m:t>
                    </m:r>
                    <m:r>
                      <m:rPr>
                        <m:sty m:val="p"/>
                      </m:rPr>
                      <m:t>i</m:t>
                    </m:r>
                    <m:r>
                      <m:rPr>
                        <m:sty m:val="p"/>
                      </m:rPr>
                      <m:t>v</m:t>
                    </m:r>
                    <m:r>
                      <m:rPr>
                        <m:sty m:val="p"/>
                      </m:rPr>
                      <m:t>e</m:t>
                    </m:r>
                  </m:sub>
                </m:sSub>
                <m:r>
                  <m:rPr>
                    <m:sty m:val="p"/>
                  </m:rPr>
                  <m:t>+</m:t>
                </m:r>
                <m:sSub>
                  <m:e>
                    <m:r>
                      <m:t>D</m:t>
                    </m:r>
                  </m:e>
                  <m:sub>
                    <m:r>
                      <m:t>f</m:t>
                    </m:r>
                  </m:sub>
                </m:sSub>
              </m:e>
            </m:d>
            <m:sSub>
              <m:e>
                <m:r>
                  <m:t>y</m:t>
                </m:r>
              </m:e>
              <m:sub>
                <m:r>
                  <m:t>p</m:t>
                </m:r>
              </m:sub>
            </m:sSub>
          </m:num>
          <m:den>
            <m:r>
              <m:t>q</m:t>
            </m:r>
            <m:r>
              <m:t>S</m:t>
            </m:r>
            <m:r>
              <m:t>b</m:t>
            </m:r>
          </m:den>
        </m:f>
      </m:oMath>
      <w:r>
        <w:rPr>
          <w:rFonts w:ascii="Arial" w:hAnsi="Arial"/>
          <w:sz w:val="20"/>
        </w:rPr>
        <w:t xml:space="preserve">    (8.6)</w:t>
      </w:r>
    </w:p>
    <w:p>
      <w:pPr>
        <w:spacing w:before="80" w:after="120"/>
        <w:jc w:val="center"/>
      </w:pPr>
      <m:oMath>
        <m:r>
          <m:t>Q</m:t>
        </m:r>
        <m:r>
          <m:rPr>
            <m:sty m:val="p"/>
          </m:rPr>
          <m:t>=</m:t>
        </m:r>
        <m:f>
          <m:fPr>
            <m:type m:val="bar"/>
          </m:fPr>
          <m:num>
            <m:r>
              <m:t>P</m:t>
            </m:r>
          </m:num>
          <m:den>
            <m:r>
              <m:t>ω</m:t>
            </m:r>
          </m:den>
        </m:f>
        <m:r>
          <m:rPr>
            <m:sty m:val="p"/>
          </m:rPr>
          <m:t>,</m:t>
        </m:r>
        <m:r>
          <m:t>  </m:t>
        </m:r>
        <m:sSub>
          <m:e>
            <m:r>
              <m:t>C</m:t>
            </m:r>
          </m:e>
          <m:sub>
            <m:r>
              <m:t>l</m:t>
            </m:r>
            <m:r>
              <m:rPr>
                <m:sty m:val="p"/>
              </m:rPr>
              <m:t>,</m:t>
            </m:r>
            <m:r>
              <m:t>Q</m:t>
            </m:r>
          </m:sub>
        </m:sSub>
        <m:r>
          <m:rPr>
            <m:sty m:val="p"/>
          </m:rPr>
          <m:t>=</m:t>
        </m:r>
        <m:f>
          <m:fPr>
            <m:type m:val="bar"/>
          </m:fPr>
          <m:num>
            <m:r>
              <m:t>Q</m:t>
            </m:r>
          </m:num>
          <m:den>
            <m:r>
              <m:t>q</m:t>
            </m:r>
            <m:r>
              <m:t>S</m:t>
            </m:r>
            <m:r>
              <m:t>b</m:t>
            </m:r>
          </m:den>
        </m:f>
      </m:oMath>
      <w:r>
        <w:rPr>
          <w:rFonts w:ascii="Arial" w:hAnsi="Arial"/>
          <w:sz w:val="20"/>
        </w:rPr>
        <w:t xml:space="preserve">    (8.7)</w:t>
      </w:r>
    </w:p>
    <w:p>
      <w:pPr>
        <w:spacing w:before="80" w:after="120"/>
        <w:jc w:val="center"/>
      </w:pPr>
      <m:oMath>
        <m:r>
          <m:rPr>
            <m:sty m:val="b"/>
          </m:rPr>
          <m:t>A</m:t>
        </m:r>
        <m:r>
          <m:rPr>
            <m:sty m:val="b"/>
          </m:rPr>
          <m:t>u</m:t>
        </m:r>
        <m:r>
          <m:rPr>
            <m:sty m:val="p"/>
          </m:rPr>
          <m:t>=</m:t>
        </m:r>
        <m:r>
          <m:rPr>
            <m:sty m:val="p"/>
          </m:rPr>
          <m:t>−</m:t>
        </m:r>
        <m:r>
          <m:rPr>
            <m:sty m:val="b"/>
          </m:rPr>
          <m:t>d</m:t>
        </m:r>
        <m:r>
          <m:rPr>
            <m:sty m:val="p"/>
          </m:rPr>
          <m:t>,</m:t>
        </m:r>
        <m:r>
          <m:t>  </m:t>
        </m:r>
        <m:r>
          <m:rPr>
            <m:sty m:val="b"/>
          </m:rPr>
          <m:t>u</m:t>
        </m:r>
        <m:r>
          <m:rPr>
            <m:sty m:val="p"/>
          </m:rPr>
          <m:t>=</m:t>
        </m:r>
        <m:sSup>
          <m:e>
            <m:d>
              <m:dPr>
                <m:begChr m:val="["/>
                <m:endChr m:val="]"/>
                <m:sepChr m:val=""/>
                <m:grow/>
              </m:dPr>
              <m:e>
                <m:r>
                  <m:t>β</m:t>
                </m:r>
                <m:r>
                  <m:rPr>
                    <m:sty m:val="p"/>
                  </m:rPr>
                  <m:t>,</m:t>
                </m:r>
                <m:sSub>
                  <m:e>
                    <m:r>
                      <m:t>δ</m:t>
                    </m:r>
                  </m:e>
                  <m:sub>
                    <m:r>
                      <m:t>a</m:t>
                    </m:r>
                  </m:sub>
                </m:sSub>
                <m:r>
                  <m:rPr>
                    <m:sty m:val="p"/>
                  </m:rPr>
                  <m:t>,</m:t>
                </m:r>
                <m:sSub>
                  <m:e>
                    <m:r>
                      <m:t>δ</m:t>
                    </m:r>
                  </m:e>
                  <m:sub>
                    <m:r>
                      <m:t>r</m:t>
                    </m:r>
                  </m:sub>
                </m:sSub>
              </m:e>
            </m:d>
          </m:e>
          <m:sup>
            <m:r>
              <m:t>T</m:t>
            </m:r>
          </m:sup>
        </m:sSup>
      </m:oMath>
      <w:r>
        <w:rPr>
          <w:rFonts w:ascii="Arial" w:hAnsi="Arial"/>
          <w:sz w:val="20"/>
        </w:rPr>
        <w:t xml:space="preserve">    (8.8)</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Mar>
              <w:top w:w="70" w:type="dxa"/>
              <w:start w:w="70" w:type="dxa"/>
              <w:bottom w:w="70" w:type="dxa"/>
              <w:end w:w="70" w:type="dxa"/>
            </w:tcMar>
            <w:shd w:fill="D9EAF7"/>
          </w:tcPr>
          <w:p>
            <w:pPr>
              <w:spacing w:after="0" w:before="0"/>
              <w:jc w:val="center"/>
            </w:pPr>
            <w:r/>
            <w:r>
              <w:rPr>
                <w:rFonts w:ascii="Arial" w:hAnsi="Arial"/>
                <w:b/>
                <w:sz w:val="19"/>
              </w:rPr>
              <w:t>Input</w:t>
            </w:r>
          </w:p>
        </w:tc>
        <w:tc>
          <w:tcPr>
            <w:tcW w:type="dxa" w:w="5112"/>
            <w:vAlign w:val="center"/>
            <w:tcMar>
              <w:top w:w="70" w:type="dxa"/>
              <w:start w:w="70" w:type="dxa"/>
              <w:bottom w:w="70" w:type="dxa"/>
              <w:end w:w="70" w:type="dxa"/>
            </w:tcMar>
            <w:shd w:fill="D9EAF7"/>
          </w:tcPr>
          <w:p>
            <w:pPr>
              <w:spacing w:after="0" w:before="0"/>
              <w:jc w:val="center"/>
            </w:pPr>
            <w:r/>
            <w:r>
              <w:rPr>
                <w:rFonts w:ascii="Arial" w:hAnsi="Arial"/>
                <w:b/>
                <w:sz w:val="19"/>
              </w:rPr>
              <w:t>Controlled value / rule</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Reference density for EAS</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ρ0 = 1.225 kg/m³</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Release atmosphere</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Sea-level standard, ρ = 1.225 kg/m³</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Sensitivity atmosphere</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610 m ISA+20°C, ρ = 1.079 kg/m³</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Wing / span</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S = 30.0 m²; b = 16.4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Propeller diameter / arm</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2.00 m / 1.60 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Live shaft-power bound</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160.13 kW at 2279 RPM</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Failed-propeller drag states</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CD,f = 0.08, 0.25, 0.45, 0.60</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Control effectiveness debit</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75% aileron; 85% rudder</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Physical travel / sideslip / bank</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±22° aileron; ±35° rudder; |β|≤5°; |φ|≤5°</w:t>
            </w:r>
          </w:p>
        </w:tc>
      </w:tr>
      <w:tr>
        <w:tc>
          <w:tcPr>
            <w:tcW w:type="dxa" w:w="5112"/>
            <w:vAlign w:val="center"/>
            <w:tcMar>
              <w:top w:w="70" w:type="dxa"/>
              <w:start w:w="70" w:type="dxa"/>
              <w:bottom w:w="70" w:type="dxa"/>
              <w:end w:w="70" w:type="dxa"/>
            </w:tcMar>
          </w:tcPr>
          <w:p>
            <w:pPr>
              <w:spacing w:after="0" w:before="0"/>
              <w:jc w:val="left"/>
            </w:pPr>
            <w:r/>
            <w:r>
              <w:rPr>
                <w:rFonts w:ascii="Arial" w:hAnsi="Arial"/>
                <w:b w:val="0"/>
                <w:sz w:val="19"/>
              </w:rPr>
              <w:t>Internal VMC gate</w:t>
            </w:r>
          </w:p>
        </w:tc>
        <w:tc>
          <w:tcPr>
            <w:tcW w:type="dxa" w:w="5112"/>
            <w:vAlign w:val="center"/>
            <w:tcMar>
              <w:top w:w="70" w:type="dxa"/>
              <w:start w:w="70" w:type="dxa"/>
              <w:bottom w:w="70" w:type="dxa"/>
              <w:end w:w="70" w:type="dxa"/>
            </w:tcMar>
          </w:tcPr>
          <w:p>
            <w:pPr>
              <w:spacing w:after="0" w:before="0"/>
              <w:jc w:val="center"/>
            </w:pPr>
            <w:r/>
            <w:r>
              <w:rPr>
                <w:rFonts w:ascii="Arial" w:hAnsi="Arial"/>
                <w:b w:val="0"/>
                <w:sz w:val="19"/>
              </w:rPr>
              <w:t>VMC ≤ 0.95 VR = 39.96 kn EAS</w:t>
            </w:r>
          </w:p>
        </w:tc>
      </w:tr>
    </w:tbl>
    <w:p>
      <w:pPr>
        <w:pStyle w:val="Heading2"/>
      </w:pPr>
      <w:r>
        <w:t>8.2 Sea-level-standard release results</w:t>
      </w:r>
    </w:p>
    <w:tbl>
      <w:tblPr>
        <w:tblStyle w:val="TableGrid"/>
        <w:tblW w:type="auto" w:w="0"/>
        <w:jc w:val="center"/>
        <w:tblLayout w:type="autofit"/>
        <w:tblLook w:firstColumn="1" w:firstRow="1" w:lastColumn="0" w:lastRow="0" w:noHBand="0" w:noVBand="1" w:val="04A0"/>
      </w:tblPr>
      <w:tblGrid>
        <w:gridCol w:w="1022"/>
        <w:gridCol w:w="1022"/>
        <w:gridCol w:w="1022"/>
        <w:gridCol w:w="1022"/>
        <w:gridCol w:w="1022"/>
        <w:gridCol w:w="1022"/>
        <w:gridCol w:w="1022"/>
        <w:gridCol w:w="1022"/>
        <w:gridCol w:w="1022"/>
        <w:gridCol w:w="1022"/>
      </w:tblGrid>
      <w:tr>
        <w:trPr>
          <w:tblHeader w:val="true"/>
        </w:trPr>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Case</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CD,f</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Failed-prop state</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VMC EAS (kn)</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Tlive (kN)</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Dfail (kN)</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Bank (deg)</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|β| (deg)</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|δa| (deg)</w:t>
            </w:r>
          </w:p>
        </w:tc>
        <w:tc>
          <w:tcPr>
            <w:tcW w:type="dxa" w:w="1022"/>
            <w:vAlign w:val="center"/>
            <w:tcMar>
              <w:top w:w="70" w:type="dxa"/>
              <w:start w:w="70" w:type="dxa"/>
              <w:bottom w:w="70" w:type="dxa"/>
              <w:end w:w="70" w:type="dxa"/>
            </w:tcMar>
            <w:shd w:fill="D9EAF7"/>
          </w:tcPr>
          <w:p>
            <w:pPr>
              <w:spacing w:after="0" w:before="0"/>
              <w:jc w:val="center"/>
            </w:pPr>
            <w:r/>
            <w:r>
              <w:rPr>
                <w:rFonts w:ascii="Arial" w:hAnsi="Arial"/>
                <w:b/>
                <w:sz w:val="17"/>
              </w:rPr>
              <w:t>|δr| (deg)</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Feathered</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38.06</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4.472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0.059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2.72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0.25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Intermediate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38.47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4.458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0.188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-3.95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2.81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38.97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4.441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0.348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-4.07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2.97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34.94</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39.37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4.428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0.474</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-4.17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3.07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34.92</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Feathered</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37.92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4.477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0.059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-3.61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2.69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0.25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Intermediate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38.34</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4.463</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0.187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-3.71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2.77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38.84</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4.446</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0.346</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2.96</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34.88</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39.21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4.433</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0.470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-3.91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3.02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34.95</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Feathered</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37.89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4.478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0.058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2.68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21.98</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0.25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Intermediate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38.30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4.464</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0.187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2.77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21.97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38.80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4.447</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0.345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-4.02</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2.95</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34.90</w:t>
            </w:r>
          </w:p>
        </w:tc>
      </w:tr>
      <w:tr>
        <w:tc>
          <w:tcPr>
            <w:tcW w:type="dxa" w:w="1022"/>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39.19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4.434</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0.469</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-4.11</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3.03</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022"/>
            <w:vAlign w:val="center"/>
            <w:tcMar>
              <w:top w:w="70" w:type="dxa"/>
              <w:start w:w="70" w:type="dxa"/>
              <w:bottom w:w="70" w:type="dxa"/>
              <w:end w:w="70" w:type="dxa"/>
            </w:tcMar>
          </w:tcPr>
          <w:p>
            <w:pPr>
              <w:spacing w:after="0" w:before="0"/>
              <w:jc w:val="center"/>
            </w:pPr>
            <w:r/>
            <w:r>
              <w:rPr>
                <w:rFonts w:ascii="Arial" w:hAnsi="Arial"/>
                <w:b w:val="0"/>
                <w:sz w:val="17"/>
              </w:rPr>
              <w:t>34.91</w:t>
            </w:r>
          </w:p>
        </w:tc>
      </w:tr>
    </w:tbl>
    <w:p>
      <w:pPr>
        <w:spacing w:after="120" w:line="252" w:lineRule="auto"/>
      </w:pPr>
      <w:r>
        <w:rPr>
          <w:rFonts w:ascii="Arial" w:hAnsi="Arial"/>
          <w:i w:val="0"/>
          <w:sz w:val="24"/>
        </w:rPr>
        <w:t>VMC-A remains governing. On the fully consistent sea-level-standard basis, the primary windmilling case is 38.97 kn EAS and the severe-drag case is 39.37 kn EAS. Relative to the 39.96 kn internal gate, the margins are +0.99 kn and +0.59 kn, respectively. These values supersede the earlier 38.73/39.09 kn headline values that used the ambiguous 1.168 kg/m³ thrust-density basis.</w:t>
      </w:r>
    </w:p>
    <w:p>
      <w:pPr>
        <w:pStyle w:val="Heading2"/>
      </w:pPr>
      <w:r>
        <w:t>8.3 Hot-high atmosphere sensitivity</w:t>
      </w:r>
    </w:p>
    <w:tbl>
      <w:tblPr>
        <w:tblStyle w:val="TableGrid"/>
        <w:tblW w:type="auto" w:w="0"/>
        <w:jc w:val="center"/>
        <w:tblLayout w:type="autofit"/>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Case</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CD,f</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State</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VMC EAS (kn)</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VMC TAS (kn)</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Tlive (kN)</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Dfail (kN)</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|δa| (deg)</w:t>
            </w:r>
          </w:p>
        </w:tc>
        <w:tc>
          <w:tcPr>
            <w:tcW w:type="dxa" w:w="1136"/>
            <w:vAlign w:val="center"/>
            <w:tcMar>
              <w:top w:w="70" w:type="dxa"/>
              <w:start w:w="70" w:type="dxa"/>
              <w:bottom w:w="70" w:type="dxa"/>
              <w:end w:w="70" w:type="dxa"/>
            </w:tcMar>
            <w:shd w:fill="D9EAF7"/>
          </w:tcPr>
          <w:p>
            <w:pPr>
              <w:spacing w:after="0" w:before="0"/>
              <w:jc w:val="center"/>
            </w:pPr>
            <w:r/>
            <w:r>
              <w:rPr>
                <w:rFonts w:ascii="Arial" w:hAnsi="Arial"/>
                <w:b/>
                <w:sz w:val="17"/>
              </w:rPr>
              <w:t>|δr| (deg)</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38.28</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40.78</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4.254</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0.336</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21.96</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VMC-A</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38.64</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41.17</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4.242</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0.456</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34.99</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38.14</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40.64</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4.258</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0.333</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21.95</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VMC-B</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38.52</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41.04</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4.246</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0.453</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21.96</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Windmilling</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38.09</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40.59</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4.260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0.332</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21.98</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35.00</w:t>
            </w:r>
          </w:p>
        </w:tc>
      </w:tr>
      <w:tr>
        <w:tc>
          <w:tcPr>
            <w:tcW w:type="dxa" w:w="1136"/>
            <w:vAlign w:val="center"/>
            <w:tcMar>
              <w:top w:w="70" w:type="dxa"/>
              <w:start w:w="70" w:type="dxa"/>
              <w:bottom w:w="70" w:type="dxa"/>
              <w:end w:w="70" w:type="dxa"/>
            </w:tcMar>
          </w:tcPr>
          <w:p>
            <w:pPr>
              <w:spacing w:after="0" w:before="0"/>
              <w:jc w:val="left"/>
            </w:pPr>
            <w:r/>
            <w:r>
              <w:rPr>
                <w:rFonts w:ascii="Arial" w:hAnsi="Arial"/>
                <w:b w:val="0"/>
                <w:sz w:val="17"/>
              </w:rPr>
              <w:t>VMC-C</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0.60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Severe</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38.47</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40.99</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4.247</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0.452</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22.00</w:t>
            </w:r>
          </w:p>
        </w:tc>
        <w:tc>
          <w:tcPr>
            <w:tcW w:type="dxa" w:w="1136"/>
            <w:vAlign w:val="center"/>
            <w:tcMar>
              <w:top w:w="70" w:type="dxa"/>
              <w:start w:w="70" w:type="dxa"/>
              <w:bottom w:w="70" w:type="dxa"/>
              <w:end w:w="70" w:type="dxa"/>
            </w:tcMar>
          </w:tcPr>
          <w:p>
            <w:pPr>
              <w:spacing w:after="0" w:before="0"/>
              <w:jc w:val="center"/>
            </w:pPr>
            <w:r/>
            <w:r>
              <w:rPr>
                <w:rFonts w:ascii="Arial" w:hAnsi="Arial"/>
                <w:b w:val="0"/>
                <w:sz w:val="17"/>
              </w:rPr>
              <w:t>34.96</w:t>
            </w:r>
          </w:p>
        </w:tc>
      </w:tr>
    </w:tbl>
    <w:p>
      <w:pPr>
        <w:spacing w:after="120" w:line="252" w:lineRule="auto"/>
      </w:pPr>
      <w:r>
        <w:rPr>
          <w:rFonts w:ascii="Arial" w:hAnsi="Arial"/>
          <w:i w:val="0"/>
          <w:sz w:val="24"/>
        </w:rPr>
        <w:t>At 610 m ISA+20°C the lower local density reduces the ideal live-engine thrust at a given EAS, so the EAS VMC is lower than the sea-level-standard release result. VMC-A windmilling becomes 38.28 kn EAS (40.78 kn TAS), about 0.70 kn below the sea-level-standard value. Sea-level standard is therefore the more adverse EAS control-speed screen for this ideal-power model.</w:t>
      </w:r>
    </w:p>
    <w:p>
      <w:pPr>
        <w:pStyle w:val="Heading2"/>
      </w:pPr>
      <w:r>
        <w:t>8.4 Control-reserve and unresolved powered-lift-roll sensitivity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Condition</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VMC-A result</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Gate comparison</w:t>
            </w:r>
          </w:p>
        </w:tc>
        <w:tc>
          <w:tcPr>
            <w:tcW w:type="dxa" w:w="2556"/>
            <w:vAlign w:val="center"/>
            <w:tcMar>
              <w:top w:w="70" w:type="dxa"/>
              <w:start w:w="70" w:type="dxa"/>
              <w:bottom w:w="70" w:type="dxa"/>
              <w:end w:w="70" w:type="dxa"/>
            </w:tcMar>
            <w:shd w:fill="D9EAF7"/>
          </w:tcPr>
          <w:p>
            <w:pPr>
              <w:spacing w:after="0" w:before="0"/>
              <w:jc w:val="center"/>
            </w:pPr>
            <w:r/>
            <w:r>
              <w:rPr>
                <w:rFonts w:ascii="Arial" w:hAnsi="Arial"/>
                <w:b/>
                <w:sz w:val="19"/>
              </w:rPr>
              <w:t>Disposition</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Full travel, windmilling, sea-level standard</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38.97 kn EAS</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0.99 kn below 39.96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PASS / THIN</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Full travel, severe drag, sea-level standard</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39.37 kn EAS</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0.59 kn below 39.96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PASS / THIN</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90% simultaneous travel, windmilling, sea-level standard</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40.97 kn EAS</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1.01 kn above 39.96 kn</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FAIL internal robustness target</w:t>
            </w:r>
          </w:p>
        </w:tc>
      </w:tr>
      <w:tr>
        <w:tc>
          <w:tcPr>
            <w:tcW w:type="dxa" w:w="2556"/>
            <w:vAlign w:val="center"/>
            <w:tcMar>
              <w:top w:w="70" w:type="dxa"/>
              <w:start w:w="70" w:type="dxa"/>
              <w:bottom w:w="70" w:type="dxa"/>
              <w:end w:w="70" w:type="dxa"/>
            </w:tcMar>
          </w:tcPr>
          <w:p>
            <w:pPr>
              <w:spacing w:after="0" w:before="0"/>
              <w:jc w:val="left"/>
            </w:pPr>
            <w:r/>
            <w:r>
              <w:rPr>
                <w:rFonts w:ascii="Arial" w:hAnsi="Arial"/>
                <w:b w:val="0"/>
                <w:sz w:val="19"/>
              </w:rPr>
              <w:t>Full travel, windmilling, 610 m ISA+20</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38.28 kn EAS</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0.70 kn below SL windmill result</w:t>
            </w:r>
          </w:p>
        </w:tc>
        <w:tc>
          <w:tcPr>
            <w:tcW w:type="dxa" w:w="2556"/>
            <w:vAlign w:val="center"/>
            <w:tcMar>
              <w:top w:w="70" w:type="dxa"/>
              <w:start w:w="70" w:type="dxa"/>
              <w:bottom w:w="70" w:type="dxa"/>
              <w:end w:w="70" w:type="dxa"/>
            </w:tcMar>
          </w:tcPr>
          <w:p>
            <w:pPr>
              <w:spacing w:after="0" w:before="0"/>
              <w:jc w:val="center"/>
            </w:pPr>
            <w:r/>
            <w:r>
              <w:rPr>
                <w:rFonts w:ascii="Arial" w:hAnsi="Arial"/>
                <w:b w:val="0"/>
                <w:sz w:val="19"/>
              </w:rPr>
              <w:t>Sensitivity only</w:t>
            </w:r>
          </w:p>
        </w:tc>
      </w:tr>
    </w:tbl>
    <w:p>
      <w:pPr>
        <w:spacing w:after="120" w:line="252" w:lineRule="auto"/>
      </w:pPr>
      <w:r>
        <w:rPr>
          <w:rFonts w:ascii="Arial" w:hAnsi="Arial"/>
          <w:i w:val="0"/>
          <w:sz w:val="24"/>
        </w:rPr>
        <w:t>At the 39.96 kn EAS gate, the atmosphere-consistent sea-level windmilling solution uses approximately 20.88° aileron and 33.12° rudder. The remaining admissible additional adverse OEI powered-lift rolling coefficient before the finite controls saturate is about 0.00206 for CD,f = 0.45 and only 0.00122 for the severe CD,f = 0.60 case. These replace the earlier ~0.00250 allowance and make the unresolved one-sided powered-lift roll an even clearer release-critical item.</w:t>
      </w:r>
    </w:p>
    <w:p>
      <w:pPr>
        <w:spacing w:after="120" w:line="252" w:lineRule="auto"/>
      </w:pPr>
      <w:r>
        <w:rPr>
          <w:rFonts w:ascii="Arial" w:hAnsi="Arial"/>
          <w:b/>
          <w:sz w:val="24"/>
        </w:rPr>
        <w:t>VMC atmosphere-consistency conclusion.</w:t>
      </w:r>
      <w:r>
        <w:rPr>
          <w:rFonts w:ascii="Arial" w:hAnsi="Arial"/>
          <w:i w:val="0"/>
          <w:sz w:val="24"/>
        </w:rPr>
        <w:t xml:space="preserve"> The analytical VMC architecture remains conditionally acceptable: physical-stop VMC clears the internal gate, but a full 10% simultaneous control-travel reserve does not. The final report should quote 38.97 kn EAS windmilling and 39.37 kn EAS severe-drag on the sea-level-standard basis, state 40.97 kn for the 90%-travel robustness screen, and preserve the open propeller-map, control-stop and asymmetric powered-lift-roll qualifications. No further powered VSPAERO run is authorised.</w:t>
      </w:r>
    </w:p>
    <w:p>
      <w:r>
        <w:br w:type="page"/>
      </w:r>
    </w:p>
    <w:p>
      <w:pPr>
        <w:pStyle w:val="Heading1"/>
      </w:pPr>
      <w:r>
        <w:t>9. Final Validation and Uncertainty Register</w:t>
      </w:r>
    </w:p>
    <w:p>
      <w:pPr>
        <w:spacing w:after="120" w:line="252" w:lineRule="auto"/>
      </w:pPr>
      <w:r>
        <w:rPr>
          <w:rFonts w:ascii="Arial" w:hAnsi="Arial"/>
          <w:i w:val="0"/>
          <w:sz w:val="24"/>
        </w:rPr>
        <w:t>This register is a synthesis task only. It does not create new aerodynamic or performance evidence. Its purpose is to expose the dominant numerical, model-form, configuration and hardware uncertainties that must be carried explicitly into the competition report instead of being hidden behind single-point values.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tcMar>
              <w:top w:w="70" w:type="dxa"/>
              <w:start w:w="70" w:type="dxa"/>
              <w:bottom w:w="70" w:type="dxa"/>
              <w:end w:w="70" w:type="dxa"/>
            </w:tcMar>
            <w:shd w:fill="D9EAF7"/>
          </w:tcPr>
          <w:p>
            <w:pPr>
              <w:spacing w:after="0" w:before="0"/>
              <w:jc w:val="center"/>
            </w:pPr>
            <w:r/>
            <w:r>
              <w:rPr>
                <w:rFonts w:ascii="Arial" w:hAnsi="Arial"/>
                <w:b/>
                <w:sz w:val="16"/>
              </w:rPr>
              <w:t>Domain</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6"/>
              </w:rPr>
              <w:t>Uncertainty / validation item</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6"/>
              </w:rPr>
              <w:t>Controlled evidence / range</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6"/>
              </w:rPr>
              <w:t>Design effect</w:t>
            </w:r>
          </w:p>
        </w:tc>
        <w:tc>
          <w:tcPr>
            <w:tcW w:type="dxa" w:w="2045"/>
            <w:vAlign w:val="center"/>
            <w:tcMar>
              <w:top w:w="70" w:type="dxa"/>
              <w:start w:w="70" w:type="dxa"/>
              <w:bottom w:w="70" w:type="dxa"/>
              <w:end w:w="70" w:type="dxa"/>
            </w:tcMar>
            <w:shd w:fill="D9EAF7"/>
          </w:tcPr>
          <w:p>
            <w:pPr>
              <w:spacing w:after="0" w:before="0"/>
              <w:jc w:val="center"/>
            </w:pPr>
            <w:r/>
            <w:r>
              <w:rPr>
                <w:rFonts w:ascii="Arial" w:hAnsi="Arial"/>
                <w:b/>
                <w:sz w:val="16"/>
              </w:rPr>
              <w:t>Final treatment</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Aerodynamics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Parasite-drag model form</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PDT geometry 0.018985; operational 0.021501; upper 0.023067; performance basis 0.0283</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Performance basis is 22.7% above executed upper build-up</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Keep 0.0283 as deliberately conservative performance basis; do not call it validated</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Aerodynamics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Wing lift-curve slope cross-check</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Analytical 4.837 rad⁻¹ vs MainWing VSPAERO 4.88866 rad⁻¹</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+1.07% difference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PASS validation; do not compare 4.837 with whole lifting-system 5.6188</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Aerodynamics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Induced-drag mesh/wake sensitivity</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Prior clean-aero campaign recorded ~5.25% k, ~5.54% e and ~1.26% wake-node sensitivity</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Affects induced-drag interpretation more than lift</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Use Trefftz-plane CDi,w; carry mesh/wake uncertainty rather than retune solver</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Aerodynamics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Mixed thin/thick body model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Root topology repaired but complete mixed model remained physically invalid</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Body-interference coefficients unavailable from production VSPAERO model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REJECT mixed-body coefficients; retain thin lifting-system production model and separate PDT/Munk-Multhopp treatment</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Stability / CG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Munk-Multhopp discretisation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U11 NP 4.03246 m; U20 NP 4.02588 m; structured spread 6.58 mm; fine-midpoint warning reaches 4.01263 m</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Moves 10%-MAC aft boundary</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Use conservative U20 boundary FS 3.83778; retain fine case as warning, not release value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Stability / CG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Component-arm uncertainty</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Nominal aft FS 3.70312 / 17.16% SM; independent 95% FS 3.76080 / 14.09%; all-at-bounds FS 3.91324 / 5.99%</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Operational loading release depends on real CAD centroids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Nominal/95% pass; deterministic all-at-bounds remains HOLD; prohibit loading beyond FS 3.83778 pending CAD update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VMC</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Atmosphere bookkeeping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Windmill VMC-A 38.97 kn SL vs 38.28 kn at 610 m ISA+20</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0.70 kn atmosphere sensitivity; SL governs EAS screen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Use explicit SL release atmosphere and local-TAS conversion; delete ambiguous ρ=1.168 result</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VMC</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Failed-propeller drag</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SL VMC-A 38.06 kn at CD,f=0.08 to 39.37 kn at CD,f=0.60</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1.31 kn span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Windmill 0.45 primary; 0.60 severe sensitivity; supplier map still required</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VMC</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Finite-control reserve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38.97 kn full-travel windmill vs 40.97 kn at 90% travel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≈2.00 kn penalty; 90% case misses gate by 1.01 kn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Physical-stop PASS / thin; robustness FAIL remains visible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VMC</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OEI asymmetric powered-lift roll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Allowable extra adverse Cl,pw ≈0.00206 windmill; ≈0.00122 severe at 39.96 kn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Release-critical because full controls are already heavily used</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Higher-fidelity/test evidence required; do not infer from rejected powered solver</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VMC</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Propeller hardware / rotation architecture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Counter-rotation strongly improved symmetry; exact supplier map/hardware not frozen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Can change critical-engine and OEI roll/yaw balance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Keep counter-rotation as favourable architecture sensitivity; supplier confirmation open</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Forward-CG control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Rotation minimum</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~15° nose-up estimate; 20° nose-up case converged and clearly unloads nose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Exact minimum limited by noisier -15° point</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Report ≈15° TE-up requirement and ≥17° design travel with 10% reserve; no more solver refinement</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Forward-CG control</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High-lift control surrogate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35° Fowler VLM usable for Cm/CL increments but not actual slat/double-slot stall physics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Landing CLmax/drag not validated by FG8</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Use only for longitudinal trim/flare authority; retain high-lift validation limitation</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Landing gear</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Forward static nose fraction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25.9–26.5% vs old 10–20% preliminary placement guide; absolute RN only 3.95–4.08 kN</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Ground-handling rather than primary structural risk</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Retain gear position; validate steering/shimmy/tyre/braking; nose gear ≥18.5/27.7 kN limit/ultimate</w:t>
            </w:r>
          </w:p>
        </w:tc>
      </w:tr>
      <w:tr>
        <w:tc>
          <w:tcPr>
            <w:tcW w:type="dxa" w:w="2045"/>
            <w:vAlign w:val="center"/>
            <w:tcMar>
              <w:top w:w="70" w:type="dxa"/>
              <w:start w:w="70" w:type="dxa"/>
              <w:bottom w:w="70" w:type="dxa"/>
              <w:end w:w="70" w:type="dxa"/>
            </w:tcMar>
          </w:tcPr>
          <w:p>
            <w:pPr>
              <w:spacing w:after="0" w:before="0"/>
              <w:jc w:val="left"/>
            </w:pPr>
            <w:r/>
            <w:r>
              <w:rPr>
                <w:rFonts w:ascii="Arial" w:hAnsi="Arial"/>
                <w:b w:val="0"/>
                <w:sz w:val="16"/>
              </w:rPr>
              <w:t>Performance</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High-lift / field-distance sensitivity</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Report uses CLmax,LDG = 3.30; hot-high adverse TO margin ≈21 m and landing margin ≈1 m</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Landing gate is highly sensitive to unvalidated high-lift/braking/reverse assumptions</w:t>
            </w:r>
          </w:p>
        </w:tc>
        <w:tc>
          <w:tcPr>
            <w:tcW w:type="dxa" w:w="2045"/>
            <w:vAlign w:val="center"/>
            <w:tcMar>
              <w:top w:w="70" w:type="dxa"/>
              <w:start w:w="70" w:type="dxa"/>
              <w:bottom w:w="70" w:type="dxa"/>
              <w:end w:w="70" w:type="dxa"/>
            </w:tcMar>
          </w:tcPr>
          <w:p>
            <w:pPr>
              <w:spacing w:after="0" w:before="0"/>
              <w:jc w:val="center"/>
            </w:pPr>
            <w:r/>
            <w:r>
              <w:rPr>
                <w:rFonts w:ascii="Arial" w:hAnsi="Arial"/>
                <w:b w:val="0"/>
                <w:sz w:val="16"/>
              </w:rPr>
              <w:t>Flag as report-critical validation boundary; do not invent new solver evidence in final sprint</w:t>
            </w:r>
          </w:p>
        </w:tc>
      </w:tr>
    </w:tbl>
    <w:p>
      <w:pPr>
        <w:spacing w:after="120" w:line="252" w:lineRule="auto"/>
      </w:pPr>
      <w:r>
        <w:rPr>
          <w:rFonts w:ascii="Arial" w:hAnsi="Arial"/>
          <w:i w:val="0"/>
          <w:sz w:val="24"/>
        </w:rPr>
        <w:t>Uncertainty-register conclusion. The highest remaining release sensitivities are not clean-airframe numerical convergence; they are high-lift/landing correlation, propeller forward/failed-state maps, finite control-stop hardware, one-sided powered-lift roll, CAD-quality component arms, and low-mass forward-CG ground handling. The final report should concentrate its caveats and future-validation statements on those items. Additional clean-airframe VSPAERO iterations would not materially reduce the dominant uncertainty.</w:t>
      </w:r>
    </w:p>
    <w:p>
      <w:r>
        <w:br w:type="page"/>
      </w:r>
    </w:p>
    <w:p>
      <w:pPr>
        <w:pStyle w:val="Heading1"/>
      </w:pPr>
      <w:r>
        <w:t>10. Final Combined Closure Record and Engineering Freeze</w:t>
      </w:r>
    </w:p>
    <w:p>
      <w:pPr>
        <w:pStyle w:val="Heading2"/>
      </w:pPr>
      <w:r>
        <w:t>10.1 Four-task completion ledger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70" w:type="dxa"/>
              <w:bottom w:w="70" w:type="dxa"/>
              <w:end w:w="70" w:type="dxa"/>
            </w:tcMar>
            <w:shd w:fill="D9EAF7"/>
          </w:tcPr>
          <w:p>
            <w:pPr>
              <w:spacing w:after="0" w:before="0"/>
              <w:jc w:val="center"/>
            </w:pPr>
            <w:r/>
            <w:r>
              <w:rPr>
                <w:rFonts w:ascii="Arial" w:hAnsi="Arial"/>
                <w:b/>
                <w:sz w:val="19"/>
              </w:rPr>
              <w:t>Task</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9"/>
              </w:rPr>
              <w:t>Executed result</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9"/>
              </w:rPr>
              <w:t>Final disposition</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9"/>
              </w:rPr>
              <w:t>1. FG8.3 go-around transition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35°→20°→12° Fowler trend smooth; no pitch-control reversal; trim increment small</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PASS / CLOSED</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9"/>
              </w:rPr>
              <w:t>2. Landing-gear reaction / tip-back / nose-load closure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Main-gear demand 33.61/50.41 kN limit/ultimate vs 44.2/66.3 kN basis; tip-back improved; nose hardware requirement defined</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PASS / CLOSED with hardware/handling qualification</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9"/>
              </w:rPr>
              <w:t>3. VMC7.4 atmosphere-consistency recomputation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SL windmill 38.97 kn; severe 39.37 kn; 90% travel 40.97 kn; HH windmill 38.28 kn EAS</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CONDITIONAL PASS; atmosphere bookkeeping repaired</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9"/>
              </w:rPr>
              <w:t>4. Uncertainty register</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Cross-domain numerical/model-form/hardware uncertainties consolidated and prioritised</w:t>
            </w:r>
          </w:p>
        </w:tc>
        <w:tc>
          <w:tcPr>
            <w:tcW w:type="dxa" w:w="3408"/>
            <w:vAlign w:val="center"/>
            <w:tcMar>
              <w:top w:w="70" w:type="dxa"/>
              <w:start w:w="70" w:type="dxa"/>
              <w:bottom w:w="70" w:type="dxa"/>
              <w:end w:w="70" w:type="dxa"/>
            </w:tcMar>
          </w:tcPr>
          <w:p>
            <w:pPr>
              <w:spacing w:after="0" w:before="0"/>
              <w:jc w:val="center"/>
            </w:pPr>
            <w:r/>
            <w:r>
              <w:rPr>
                <w:rFonts w:ascii="Arial" w:hAnsi="Arial"/>
                <w:b w:val="0"/>
                <w:sz w:val="19"/>
              </w:rPr>
              <w:t>COMPLETE; no simulation required</w:t>
            </w:r>
          </w:p>
        </w:tc>
      </w:tr>
    </w:tbl>
    <w:p>
      <w:pPr>
        <w:pStyle w:val="Heading2"/>
      </w:pPr>
      <w:r>
        <w:t>10.2 Controlled report-replacement register</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70" w:type="dxa"/>
              <w:bottom w:w="70" w:type="dxa"/>
              <w:end w:w="70" w:type="dxa"/>
            </w:tcMar>
            <w:shd w:fill="D9EAF7"/>
          </w:tcPr>
          <w:p>
            <w:pPr>
              <w:spacing w:after="0" w:before="0"/>
              <w:jc w:val="center"/>
            </w:pPr>
            <w:r/>
            <w:r>
              <w:rPr>
                <w:rFonts w:ascii="Arial" w:hAnsi="Arial"/>
                <w:b/>
                <w:sz w:val="16"/>
              </w:rPr>
              <w:t>Report item to reconcile</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6"/>
              </w:rPr>
              <w:t>Superseded / unsafe statement</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6"/>
              </w:rPr>
              <w:t>Controlled final statement for report integration</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Geometry release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G1.1 / 9.70 m fuselage where still present</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G1.3 analysis geometry; fuselage length 10.750 m</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Wing lift-curve slope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Treating 5.6188 rad⁻¹ as the wing-only comparison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Wing-only VSPAERO 4.88866 rad⁻¹ vs analytical 4.837 rad⁻¹; +1.07% agreement; 5.6188 is complete lifting-system slope</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Parasite drag</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CD0 = 0.0283 presented as directly validated</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PDT geometry 0.018985; operational 0.021501; upper 0.023067; retain 0.0283 only as conservative performance basis</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Neutral point / aft CG</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Old NP near FS 4.25 and CG range FS 3.60–3.90</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Corrected NP FS 4.02894; nominal cloud FS 3.34618–3.70312; U20 10%-MAC aft screen FS 3.83778</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VMC headline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38.73/39.09 kn based on ambiguous ρ=1.168 thrust state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Sea-level-standard atmosphere-consistent VMC-A: 38.97 kn windmill; 39.37 kn severe; 40.97 kn at 90% travel</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VMC powered-lift-roll allowance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≈0.00250 at 39.96 kn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≈0.00206 windmill; ≈0.00122 severe on corrected SL basis</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Forward rotation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Forward-CG elevator/rotation evidence open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FG8.1 PASS: ≈15° TE-up required; converged 20° case gives positive unload; ≥17° TE-up design travel for 10% reserve</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Landing trim / flare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Forward-CG flare evidence open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FG8.2 PASS: ≈4.08° TE-up steady trim; &gt;5.9° additional tested TE-up movement at -10° case</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Balked landing</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No executed flap-transition evidence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FG8.3 PASS: quasi-steady 35°→20°→12° transition is smooth with no pitch-control reversal</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Gear nose-load envelope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11–19.5% static nose-load statement</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Actual light-forward cases 25.9–26.5%, RN = 3.95–4.08 kN; retain geometry, carry handling validation</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Gear vertical loads</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Main-gear basis quoted without actual forward-case comparison</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Actual landing demand 33.61/50.41 kN per main vs existing 44.2/66.3 kN design basis; PASS</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6"/>
              </w:rPr>
              <w:t>Validation promises</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Unexecuted AVL/X-Plane/external analyses presented as if required for this issue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6"/>
              </w:rPr>
              <w:t>Replace with executed evidence register and explicit future/certification validation boundaries</w:t>
            </w:r>
          </w:p>
        </w:tc>
      </w:tr>
    </w:tbl>
    <w:p>
      <w:pPr>
        <w:pStyle w:val="Heading2"/>
      </w:pPr>
      <w:r>
        <w:t>10.3 Final engineering freeze decision</w:t>
      </w:r>
    </w:p>
    <w:p>
      <w:pPr>
        <w:spacing w:after="120" w:line="252" w:lineRule="auto"/>
      </w:pPr>
      <w:r>
        <w:rPr>
          <w:rFonts w:ascii="Arial" w:hAnsi="Arial"/>
          <w:i w:val="0"/>
          <w:sz w:val="24"/>
        </w:rPr>
        <w:t>The four scheduled residual analysis tasks are complete. No further OpenVSP/VSPAERO, fairing, wake, relaxation, mesh, powered-flow or optional simulator work is authorised before competition submission unless report integration exposes a direct arithmetic/configuration error. Remaining technical items are supplier/hardware or higher-fidelity validation tasks, not reasons to reopen the conceptual geometry during the final report sprint.</w:t>
      </w:r>
    </w:p>
    <w:p>
      <w:pPr>
        <w:spacing w:after="120" w:line="252" w:lineRule="auto"/>
      </w:pPr>
      <w:r>
        <w:rPr>
          <w:rFonts w:ascii="Arial" w:hAnsi="Arial"/>
          <w:b/>
          <w:sz w:val="24"/>
        </w:rPr>
        <w:t>Final combined disposition.</w:t>
      </w:r>
      <w:r>
        <w:rPr>
          <w:rFonts w:ascii="Arial" w:hAnsi="Arial"/>
          <w:i w:val="0"/>
          <w:sz w:val="24"/>
        </w:rPr>
        <w:t xml:space="preserve"> Folder 08 is CLOSED for competition-level forward-CG control and landing-gear analysis. VMC7.4 is retained as a conditional analytical closure on the corrected sea-level-standard atmosphere basis. The aircraft retains adequate demonstrated forward-CG longitudinal control and main-gear load capability; the principal open release risks are the thin VMC control reserve, failed-propeller/propeller-map fidelity, asymmetric powered-lift roll, nose-gear hardware/ground-handling substantiation, high-lift/landing correlation, and CAD-quality mass-arm confirmation. The engineering campaign should now transition fully to report reconciliation, uncertainty disclosure and submission QA.</w:t>
      </w:r>
    </w:p>
    <w:p>
      <w:pPr>
        <w:pStyle w:val="Heading1"/>
      </w:pPr>
      <w:r>
        <w:t>Appendix B. Analytical Evidence and Provenance Added in this Final Issue</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Mar>
              <w:top w:w="70" w:type="dxa"/>
              <w:start w:w="70" w:type="dxa"/>
              <w:bottom w:w="70" w:type="dxa"/>
              <w:end w:w="70" w:type="dxa"/>
            </w:tcMar>
            <w:shd w:fill="D9EAF7"/>
          </w:tcPr>
          <w:p>
            <w:pPr>
              <w:spacing w:after="0" w:before="0"/>
              <w:jc w:val="center"/>
            </w:pPr>
            <w:r/>
            <w:r>
              <w:rPr>
                <w:rFonts w:ascii="Arial" w:hAnsi="Arial"/>
                <w:b/>
                <w:sz w:val="18"/>
              </w:rPr>
              <w:t>Evidence item</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8"/>
              </w:rPr>
              <w:t>Source / calculation basis</w:t>
            </w:r>
          </w:p>
        </w:tc>
        <w:tc>
          <w:tcPr>
            <w:tcW w:type="dxa" w:w="3408"/>
            <w:vAlign w:val="center"/>
            <w:tcMar>
              <w:top w:w="70" w:type="dxa"/>
              <w:start w:w="70" w:type="dxa"/>
              <w:bottom w:w="70" w:type="dxa"/>
              <w:end w:w="70" w:type="dxa"/>
            </w:tcMar>
            <w:shd w:fill="D9EAF7"/>
          </w:tcPr>
          <w:p>
            <w:pPr>
              <w:spacing w:after="0" w:before="0"/>
              <w:jc w:val="center"/>
            </w:pPr>
            <w:r/>
            <w:r>
              <w:rPr>
                <w:rFonts w:ascii="Arial" w:hAnsi="Arial"/>
                <w:b/>
                <w:sz w:val="18"/>
              </w:rPr>
              <w:t>Use</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FG8.4 gear closure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SM6.4 forward/aft CG states; xN=0.750 m; xM=4.290 m; 4.51 g / 6.76 g released gear basis</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Static reactions, main/nose design loads, tip-back and overturn</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VMC atmosphere repair</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Converged G5 derivatives; VMC-A/B/C; P=160.13 kW; y=1.60 m; CD,f bounds; finite controls; explicit ρ=1.225 and 1.079 cases</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Supersedes ambiguous ρ=1.168 VMC headline values</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Parasite-drag uncertainty</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G2_COMPLETE_AIRFRAME_ParasiteDrag.csv; G2_C1_Operational_ParasiteDrag.csv; G2_C2_UpperBound_ParasiteDrag.csv</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Geometry/operational/upper PDT band and conservative report treatment</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CG / neutral-point uncertainty</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Tyche_R2T1_SM6_3B_SM6_4_Integrated_CG_Closure_Pre_VMC record</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U11/U14/S14/U20 NP sensitivity; loading-cloud and arm uncertainty</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Powered-flow model boundary</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VMC7_3C/D/E/F CSVs and 07_VMC_Control_Closure analysis log</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Documents non-convergent powered free-wake branch and counter-rotation sensitivity</w:t>
            </w:r>
          </w:p>
        </w:tc>
      </w:tr>
      <w:tr>
        <w:tc>
          <w:tcPr>
            <w:tcW w:type="dxa" w:w="3408"/>
            <w:vAlign w:val="center"/>
            <w:tcMar>
              <w:top w:w="70" w:type="dxa"/>
              <w:start w:w="70" w:type="dxa"/>
              <w:bottom w:w="70" w:type="dxa"/>
              <w:end w:w="70" w:type="dxa"/>
            </w:tcMar>
          </w:tcPr>
          <w:p>
            <w:pPr>
              <w:spacing w:after="0" w:before="0"/>
              <w:jc w:val="left"/>
            </w:pPr>
            <w:r/>
            <w:r>
              <w:rPr>
                <w:rFonts w:ascii="Arial" w:hAnsi="Arial"/>
                <w:b w:val="0"/>
                <w:sz w:val="18"/>
              </w:rPr>
              <w:t>Folder 08 VSPAERO evidence</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FG8_1, FG8_2 and FG8_3 CSV files listed in Appendix A</w:t>
            </w:r>
          </w:p>
        </w:tc>
        <w:tc>
          <w:tcPr>
            <w:tcW w:type="dxa" w:w="3408"/>
            <w:vAlign w:val="center"/>
            <w:tcMar>
              <w:top w:w="70" w:type="dxa"/>
              <w:start w:w="70" w:type="dxa"/>
              <w:bottom w:w="70" w:type="dxa"/>
              <w:end w:w="70" w:type="dxa"/>
            </w:tcMar>
          </w:tcPr>
          <w:p>
            <w:pPr>
              <w:spacing w:after="0" w:before="0"/>
              <w:jc w:val="center"/>
            </w:pPr>
            <w:r/>
            <w:r>
              <w:rPr>
                <w:rFonts w:ascii="Arial" w:hAnsi="Arial"/>
                <w:b w:val="0"/>
                <w:sz w:val="18"/>
              </w:rPr>
              <w:t>Forward rotation, landing trim/flare and go-around transition</w:t>
            </w:r>
          </w:p>
        </w:tc>
      </w:tr>
    </w:tbl>
    <w:p>
      <w:pPr>
        <w:pStyle w:val="Heading1"/>
        <w:pageBreakBefore/>
      </w:pPr>
      <w:r>
        <w:t>Appendix A. Executed CSV Evidence Register</w:t>
      </w:r>
    </w:p>
    <w:tbl>
      <w:tblPr>
        <w:tblStyle w:val="TableGrid"/>
        <w:tblW w:type="auto" w:w="0"/>
        <w:jc w:val="center"/>
        <w:tblLook w:firstColumn="1" w:firstRow="1" w:lastColumn="0" w:lastRow="0" w:noHBand="0" w:noVBand="1" w:val="04A0"/>
      </w:tblPr>
      <w:tblGrid>
        <w:gridCol w:w="3408"/>
        <w:gridCol w:w="3408"/>
        <w:gridCol w:w="3408"/>
      </w:tblGrid>
      <w:tr>
        <w:trPr>
          <w:trHeight w:hRule="atLeast"/>
          <w:tblHeader w:val="true"/>
        </w:trPr>
        <w:tc>
          <w:tcPr>
            <w:tcW w:type="dxa" w:w="3408"/>
            <w:vAlign w:val="center"/>
            <w:tcMar>
              <w:top w:w="80" w:type="dxa"/>
              <w:start w:w="80" w:type="dxa"/>
              <w:bottom w:w="80" w:type="dxa"/>
              <w:end w:w="80" w:type="dxa"/>
            </w:tcMar>
            <w:shd w:fill="D9EAF7"/>
          </w:tcPr>
          <w:p>
            <w:pPr>
              <w:spacing w:after="0"/>
              <w:jc w:val="center"/>
            </w:pPr>
            <w:r/>
            <w:r>
              <w:rPr>
                <w:rFonts w:ascii="Arial" w:hAnsi="Arial"/>
                <w:b/>
                <w:sz w:val="18"/>
              </w:rPr>
              <w:t>Test</w:t>
            </w:r>
          </w:p>
        </w:tc>
        <w:tc>
          <w:tcPr>
            <w:tcW w:type="dxa" w:w="3408"/>
            <w:vAlign w:val="center"/>
            <w:tcMar>
              <w:top w:w="80" w:type="dxa"/>
              <w:start w:w="80" w:type="dxa"/>
              <w:bottom w:w="80" w:type="dxa"/>
              <w:end w:w="80" w:type="dxa"/>
            </w:tcMar>
            <w:shd w:fill="D9EAF7"/>
          </w:tcPr>
          <w:p>
            <w:pPr>
              <w:spacing w:after="0"/>
              <w:jc w:val="center"/>
            </w:pPr>
            <w:r/>
            <w:r>
              <w:rPr>
                <w:rFonts w:ascii="Arial" w:hAnsi="Arial"/>
                <w:b/>
                <w:sz w:val="18"/>
              </w:rPr>
              <w:t>File(s)</w:t>
            </w:r>
          </w:p>
        </w:tc>
        <w:tc>
          <w:tcPr>
            <w:tcW w:type="dxa" w:w="3408"/>
            <w:vAlign w:val="center"/>
            <w:tcMar>
              <w:top w:w="80" w:type="dxa"/>
              <w:start w:w="80" w:type="dxa"/>
              <w:bottom w:w="80" w:type="dxa"/>
              <w:end w:w="80" w:type="dxa"/>
            </w:tcMar>
            <w:shd w:fill="D9EAF7"/>
          </w:tcPr>
          <w:p>
            <w:pPr>
              <w:spacing w:after="0"/>
              <w:jc w:val="center"/>
            </w:pPr>
            <w:r/>
            <w:r>
              <w:rPr>
                <w:rFonts w:ascii="Arial" w:hAnsi="Arial"/>
                <w:b/>
                <w:sz w:val="18"/>
              </w:rPr>
              <w:t>Use in this log</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FG8.1 baseline / positive commands</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FG8_1_HH_ROT_DE0.csv; FG8_1_HH_ROT_DE_M5.csv; ..._M10.csv; ..._M15.csv; ..._M20.csv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Elevator sign audit and opposite-direction response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FG8.1 nose-up authority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FG8_1_HH_ROT_DE_M15(1).csv; FG8_1_HH_ROT_DE_M20(1).csv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Main-wheel rotation closure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sanity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FG8_2_LDG35_SANITY_A0_DE0.csv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+35 deg Fowler numerical health</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approach trim</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Neutral-elevator lift/pitch surface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FG8.2 flare authority</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FG8_2_LDG35_DE_NEG10_A0_4_8.csv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Nose-up elevator trim bracket and reserve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FG8.3 transition 20 deg</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FG8_3_GA20_DE0_A0_4_8.csv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Intermediate flap-transition state</w:t>
            </w:r>
          </w:p>
        </w:tc>
      </w:tr>
      <w:tr>
        <w:trPr>
          <w:trHeight w:hRule="atLeast"/>
        </w:trPr>
        <w:tc>
          <w:tcPr>
            <w:tcW w:type="dxa" w:w="3408"/>
            <w:vAlign w:val="center"/>
            <w:tcMar>
              <w:top w:w="80" w:type="dxa"/>
              <w:start w:w="80" w:type="dxa"/>
              <w:bottom w:w="80" w:type="dxa"/>
              <w:end w:w="80" w:type="dxa"/>
            </w:tcMar>
          </w:tcPr>
          <w:p>
            <w:pPr>
              <w:spacing w:after="0"/>
              <w:jc w:val="center"/>
            </w:pPr>
            <w:r/>
            <w:r>
              <w:rPr>
                <w:rFonts w:ascii="Arial" w:hAnsi="Arial"/>
                <w:b w:val="0"/>
                <w:sz w:val="18"/>
              </w:rPr>
              <w:t>FG8.3 transition 12 deg</w:t>
            </w:r>
          </w:p>
        </w:tc>
        <w:tc>
          <w:tcPr>
            <w:tcW w:type="dxa" w:w="3408"/>
            <w:vAlign w:val="center"/>
            <w:tcMar>
              <w:top w:w="80" w:type="dxa"/>
              <w:start w:w="80" w:type="dxa"/>
              <w:bottom w:w="80" w:type="dxa"/>
              <w:end w:w="80" w:type="dxa"/>
            </w:tcMar>
          </w:tcPr>
          <w:p>
            <w:pPr>
              <w:spacing w:after="0"/>
              <w:jc w:val="left"/>
            </w:pPr>
            <w:r/>
            <w:r>
              <w:rPr>
                <w:rFonts w:ascii="Arial" w:hAnsi="Arial"/>
                <w:b w:val="0"/>
                <w:sz w:val="18"/>
              </w:rPr>
              <w:t>FG8_3_GA12_DE0_A0_4_8.csv</w:t>
            </w:r>
          </w:p>
        </w:tc>
        <w:tc>
          <w:tcPr>
            <w:tcW w:type="dxa" w:w="3408"/>
            <w:vAlign w:val="center"/>
            <w:tcMar>
              <w:top w:w="80" w:type="dxa"/>
              <w:start w:w="80" w:type="dxa"/>
              <w:bottom w:w="80" w:type="dxa"/>
              <w:end w:w="80" w:type="dxa"/>
            </w:tcMar>
          </w:tcPr>
          <w:p>
            <w:pPr>
              <w:spacing w:after="0"/>
              <w:jc w:val="left"/>
            </w:pPr>
            <w:r/>
            <w:r>
              <w:rPr>
                <w:rFonts w:ascii="Arial" w:hAnsi="Arial"/>
                <w:b w:val="0"/>
                <w:sz w:val="18"/>
              </w:rPr>
              <w:t>Released take-off/go-around flap state</w:t>
            </w:r>
          </w:p>
        </w:tc>
      </w:tr>
    </w:tbl>
    <w:p>
      <w:pPr>
        <w:spacing w:after="0" w:line="252" w:lineRule="auto"/>
      </w:pPr>
    </w:p>
    <w:p>
      <w:r>
        <w:br w:type="page"/>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Final Combined Closure Record | 27 August 2026</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8"/>
      </w:rPr>
      <w:t>Tyche R2-T1 | 05_Stability/08_Forward_CG_Control_Gear_Closure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375F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7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Tyche R2-T1 Final FG8 Closure, VMC Atmosphere Reconciliation and Uncertainty Register</dc:title>
  <dc:subject>Final controlled analysis record for Folder 08 and final four-task engineering closure</dc:subject>
  <dc:creator>python-docx</dc:creator>
  <cp:keywords/>
  <dc:description>Supersedes Tyche_R2T1_FG8_Analysis_Log_Through_FG8_3.docx</dc:description>
  <cp:lastModifiedBy/>
  <cp:revision>1</cp:revision>
  <dcterms:created xsi:type="dcterms:W3CDTF">2013-12-23T23:15:00Z</dcterms:created>
  <dcterms:modified xsi:type="dcterms:W3CDTF">2013-12-23T23:15:00Z</dcterms:modified>
  <cp:category/>
</cp:coreProperties>
</file>