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Georgia" w:hAnsi="Georgia"/>
          <w:b/>
          <w:color w:val="1A1614"/>
          <w:sz w:val="80"/>
        </w:rPr>
        <w:t>NextTrack</w:t>
      </w:r>
    </w:p>
    <w:p>
      <w:pPr>
        <w:spacing w:after="360"/>
        <w:jc w:val="center"/>
      </w:pPr>
      <w:r>
        <w:rPr>
          <w:rFonts w:ascii="Georgia" w:hAnsi="Georgia"/>
          <w:color w:val="A86A12"/>
          <w:sz w:val="32"/>
        </w:rPr>
        <w:t>A Stateless Music Recommendation API</w:t>
      </w:r>
    </w:p>
    <w:p>
      <w:pPr>
        <w:spacing w:after="400"/>
        <w:jc w:val="center"/>
        <w:pBdr>
          <w:bottom w:val="single" w:sz="6" w:space="4" w:color="C9BFB4"/>
        </w:pBdr>
      </w:pPr>
    </w:p>
    <w:p>
      <w:pPr>
        <w:spacing w:after="60"/>
        <w:jc w:val="center"/>
      </w:pPr>
      <w:r>
        <w:rPr>
          <w:b/>
          <w:sz w:val="22"/>
        </w:rPr>
        <w:t>CM3070 Final Year Project — Final Project Report</w:t>
      </w:r>
    </w:p>
    <w:p>
      <w:pPr>
        <w:spacing w:after="60"/>
        <w:jc w:val="center"/>
      </w:pPr>
      <w:r>
        <w:rPr>
          <w:b w:val="0"/>
          <w:color w:val="5A524C"/>
          <w:sz w:val="22"/>
        </w:rPr>
        <w:t>University of London International Programmes</w:t>
      </w:r>
    </w:p>
    <w:p>
      <w:pPr>
        <w:spacing w:after="60"/>
        <w:jc w:val="center"/>
      </w:pPr>
      <w:r>
        <w:rPr>
          <w:b w:val="0"/>
          <w:color w:val="5A524C"/>
          <w:sz w:val="22"/>
        </w:rPr>
        <w:t>BSc Computer Science and Related Subjects</w:t>
      </w:r>
    </w:p>
    <w:p/>
    <w:p>
      <w:pPr>
        <w:spacing w:after="80"/>
        <w:jc w:val="center"/>
      </w:pPr>
      <w:r>
        <w:rPr>
          <w:color w:val="5A524C"/>
          <w:sz w:val="20"/>
        </w:rPr>
        <w:t xml:space="preserve">Author  </w:t>
      </w:r>
      <w:r>
        <w:rPr>
          <w:b/>
          <w:sz w:val="20"/>
        </w:rPr>
        <w:t>Soe Ming Wei, Glenn</w:t>
      </w:r>
    </w:p>
    <w:p>
      <w:pPr>
        <w:spacing w:after="80"/>
        <w:jc w:val="center"/>
      </w:pPr>
      <w:r>
        <w:rPr>
          <w:color w:val="5A524C"/>
          <w:sz w:val="20"/>
        </w:rPr>
        <w:t xml:space="preserve">Student number  </w:t>
      </w:r>
      <w:r>
        <w:rPr>
          <w:b/>
          <w:sz w:val="20"/>
        </w:rPr>
        <w:t>230657168</w:t>
      </w:r>
    </w:p>
    <w:p>
      <w:pPr>
        <w:spacing w:after="80"/>
        <w:jc w:val="center"/>
      </w:pPr>
      <w:r>
        <w:rPr>
          <w:color w:val="5A524C"/>
          <w:sz w:val="20"/>
        </w:rPr>
        <w:t xml:space="preserve">Supervisor  </w:t>
      </w:r>
      <w:r>
        <w:rPr>
          <w:b/>
          <w:sz w:val="20"/>
        </w:rPr>
        <w:t>Yeo Sze Wee</w:t>
      </w:r>
    </w:p>
    <w:p>
      <w:pPr>
        <w:spacing w:after="80"/>
        <w:jc w:val="center"/>
      </w:pPr>
      <w:r>
        <w:rPr>
          <w:color w:val="5A524C"/>
          <w:sz w:val="20"/>
        </w:rPr>
        <w:t xml:space="preserve">Project template  </w:t>
      </w:r>
      <w:r>
        <w:rPr>
          <w:b/>
          <w:sz w:val="20"/>
        </w:rPr>
        <w:t>7.2 — Project Idea 2: NextTrack</w:t>
      </w:r>
    </w:p>
    <w:p>
      <w:pPr>
        <w:spacing w:after="80"/>
        <w:jc w:val="center"/>
      </w:pPr>
      <w:r>
        <w:rPr>
          <w:color w:val="5A524C"/>
          <w:sz w:val="20"/>
        </w:rPr>
        <w:t xml:space="preserve">Code repository  </w:t>
      </w:r>
      <w:r>
        <w:rPr>
          <w:b/>
          <w:sz w:val="20"/>
        </w:rPr>
        <w:t>github.com/glennysmw/NextTrack</w:t>
      </w:r>
    </w:p>
    <w:p>
      <w:r>
        <w:br w:type="page"/>
      </w:r>
    </w:p>
    <w:p>
      <w:pPr>
        <w:spacing w:after="80"/>
        <w:pBdr>
          <w:bottom w:val="single" w:sz="6" w:space="4" w:color="C9BFB4"/>
        </w:pBdr>
      </w:pPr>
      <w:r>
        <w:rPr>
          <w:rFonts w:ascii="Georgia" w:hAnsi="Georgia"/>
          <w:b/>
          <w:color w:val="1A1614"/>
          <w:sz w:val="38"/>
        </w:rPr>
        <w:t>Contents</w:t>
      </w:r>
    </w:p>
    <w:p>
      <w:pPr>
        <w:spacing w:after="120"/>
      </w:pPr>
    </w:p>
    <w:p>
      <w:r>
        <w:fldChar w:fldCharType="begin"/>
        <w:instrText xml:space="preserve"> TOC \o "1-2" \h \z \u </w:instrText>
        <w:fldChar w:fldCharType="separate"/>
        <w:fldChar w:fldCharType="end"/>
      </w:r>
    </w:p>
    <w:p>
      <w:r>
        <w:br w:type="page"/>
      </w:r>
    </w:p>
    <w:p>
      <w:r>
        <w:br w:type="page"/>
      </w:r>
    </w:p>
    <w:p>
      <w:pPr>
        <w:pStyle w:val="Heading1"/>
        <w:pBdr>
          <w:bottom w:val="single" w:sz="6" w:space="4" w:color="C9BFB4"/>
        </w:pBdr>
      </w:pPr>
      <w:r>
        <w:t>Chapter 1: Introduction</w:t>
      </w:r>
    </w:p>
    <w:p>
      <w:pPr>
        <w:pStyle w:val="Heading2"/>
      </w:pPr>
      <w:r>
        <w:t>1.1 Project overview and template</w:t>
      </w:r>
    </w:p>
    <w:p>
      <w:r>
        <w:rPr>
          <w:b w:val="0"/>
          <w:i w:val="0"/>
        </w:rPr>
        <w:t xml:space="preserve">NextTrack is a stateless RESTful music recommendation API with a React demonstration client, built for Final Year Project </w:t>
      </w:r>
      <w:r>
        <w:rPr>
          <w:b/>
          <w:i w:val="0"/>
        </w:rPr>
        <w:t>Template 7.2, Project Idea 2: "NextTrack: A music recommendation API"</w:t>
      </w:r>
      <w:r>
        <w:rPr>
          <w:b w:val="0"/>
          <w:i w:val="0"/>
        </w:rPr>
        <w:t>. A client sends a short list of recently played track identifiers and optional preferences in a single HTTP request; the server returns one recommended next track, a confidence score, and a plain-language reason for the choice. It then forgets everything. There is no account, no listening profile, and no user database. Each request carries all the context needed to answer it, so the only data the server retains between calls is a cache of public, per-track facts that are identical for every caller.</w:t>
      </w:r>
    </w:p>
    <w:p>
      <w:r>
        <w:rPr>
          <w:b w:val="0"/>
          <w:i w:val="0"/>
        </w:rPr>
        <w:t xml:space="preserve">The project sits where Music Information Retrieval, recommender systems, web API design and privacy-by-design meet. It exists to test one practical question: </w:t>
      </w:r>
      <w:r>
        <w:rPr>
          <w:b/>
          <w:i w:val="0"/>
        </w:rPr>
        <w:t>does a music recommender actually need a permanent user profile in order to return a useful next track?</w:t>
      </w:r>
    </w:p>
    <w:p>
      <w:r>
        <w:rPr>
          <w:b w:val="0"/>
          <w:i w:val="0"/>
        </w:rPr>
        <w:t xml:space="preserve">The answer turned out to have two halves, and the unflattering one belongs here rather than buried in Chapter 5. On </w:t>
      </w:r>
      <w:r>
        <w:rPr>
          <w:b w:val="0"/>
          <w:i/>
        </w:rPr>
        <w:t>ranking</w:t>
      </w:r>
      <w:r>
        <w:rPr>
          <w:b w:val="0"/>
          <w:i w:val="0"/>
        </w:rPr>
        <w:t xml:space="preserve"> the engine succeeds. Give it a candidate set containing the track a real listener played next, and it places that track far above chance or popularity. On </w:t>
      </w:r>
      <w:r>
        <w:rPr>
          <w:b w:val="0"/>
          <w:i/>
        </w:rPr>
        <w:t>retrieval</w:t>
      </w:r>
      <w:r>
        <w:rPr>
          <w:b w:val="0"/>
          <w:i w:val="0"/>
        </w:rPr>
        <w:t xml:space="preserve"> it fails outright. Across 138 evaluated sessions the production candidate generator never once surfaced the held-out track, so end-to-end accuracy is zero for every configuration and every baseline alike. Every accuracy figure below should be read against that boundary.</w:t>
      </w:r>
    </w:p>
    <w:p>
      <w:pPr>
        <w:pStyle w:val="Heading2"/>
      </w:pPr>
      <w:r>
        <w:t>1.2 Motivation</w:t>
      </w:r>
    </w:p>
    <w:p>
      <w:r>
        <w:rPr>
          <w:b w:val="0"/>
          <w:i w:val="0"/>
        </w:rPr>
        <w:t>Recommendation now mediates most music discovery, and recommendation quality drives listening time and retention (IFPI, 2023). Nearly every commercial system rests on one premise: the more a platform observes, the better it recommends. That premise creates three problems this project responds to.</w:t>
      </w:r>
    </w:p>
    <w:p>
      <w:r>
        <w:rPr>
          <w:b w:val="0"/>
          <w:i w:val="0"/>
        </w:rPr>
        <w:t>The first is cumulative privacy loss. Every play, skip and search feeds a long-lived profile the listener can neither fully inspect nor control, and the resulting store is a standing liability. Yuan et al. (2023) show that even privacy-preserving collaborative architectures remain vulnerable to membership inference, because the risk follows the retained data, not the storage technique.</w:t>
      </w:r>
    </w:p>
    <w:p>
      <w:r>
        <w:rPr>
          <w:b w:val="0"/>
          <w:i w:val="0"/>
        </w:rPr>
        <w:t>The second is profile contamination. A shared or household account blends several listeners into one profile that fits none of them, with no way to tell whose taste is being modelled.</w:t>
      </w:r>
    </w:p>
    <w:p>
      <w:r>
        <w:rPr>
          <w:b w:val="0"/>
          <w:i w:val="0"/>
        </w:rPr>
        <w:t>The third is developer accessibility. A developer who wants "what should play next" must adopt an entire platform ecosystem: OAuth, account scopes, per-user state, and quota. No small, self-contained endpoint answers the question from context alone.</w:t>
      </w:r>
    </w:p>
    <w:p>
      <w:r>
        <w:rPr>
          <w:b w:val="0"/>
          <w:i w:val="0"/>
        </w:rPr>
        <w:t>Statelessness addresses all three at once. It is also a testable technical claim, not just a privacy posture. Whitman and Lawrence (2002) identified similar artists correctly 78% of the time from unstructured community text with no per-user state, which suggests the signal a reasonable next track needs may already sit in public metadata and the session itself.</w:t>
      </w:r>
    </w:p>
    <w:p>
      <w:pPr>
        <w:pStyle w:val="Heading2"/>
      </w:pPr>
      <w:r>
        <w:t>1.3 Project aim</w:t>
      </w:r>
    </w:p>
    <w:p>
      <w:r>
        <w:rPr>
          <w:b w:val="0"/>
          <w:i w:val="0"/>
        </w:rPr>
        <w:t>To design, build and critically evaluate a stateless music recommendation API that produces explained next-track recommendations from session context alone, combining content-based similarity, aggregate collaborative evidence and explicit diversity control. And to measure honestly how far that constraint can be pushed.</w:t>
      </w:r>
    </w:p>
    <w:p>
      <w:pPr>
        <w:pStyle w:val="Heading2"/>
      </w:pPr>
      <w:r>
        <w:t>1.4 Objectives and deliverables</w:t>
      </w:r>
    </w:p>
    <w:p>
      <w:r>
        <w:rPr>
          <w:b w:val="0"/>
          <w:i w:val="0"/>
        </w:rPr>
        <w:t>The eight objectives established in the preliminary report are carried forward unchanged, so progress remains comparable across submissions. Section 6.1 tabulates their final status; each is argued in Chapter 5.</w:t>
      </w:r>
    </w:p>
    <w:p>
      <w:r>
        <w:rPr>
          <w:b/>
          <w:i w:val="0"/>
        </w:rPr>
        <w:t>Objective 1 — Literature review.</w:t>
      </w:r>
      <w:r>
        <w:rPr>
          <w:b w:val="0"/>
          <w:i w:val="0"/>
        </w:rPr>
        <w:t xml:space="preserve"> Recommender systems, Music Information Retrieval, REST, privacy-by-design, and recommender evaluation. </w:t>
      </w:r>
      <w:r>
        <w:rPr>
          <w:b w:val="0"/>
          <w:i/>
        </w:rPr>
        <w:t>Delivered</w:t>
      </w:r>
      <w:r>
        <w:rPr>
          <w:b w:val="0"/>
          <w:i w:val="0"/>
        </w:rPr>
        <w:t xml:space="preserve"> (Chapter 2).</w:t>
      </w:r>
    </w:p>
    <w:p>
      <w:r>
        <w:rPr>
          <w:b/>
          <w:i w:val="0"/>
        </w:rPr>
        <w:t>Objective 2 — Critical evaluation of prior work.</w:t>
      </w:r>
      <w:r>
        <w:rPr>
          <w:b w:val="0"/>
          <w:i w:val="0"/>
        </w:rPr>
        <w:t xml:space="preserve"> Spotify, Last.fm, Whitman and Lawrence (2002) and hybrid recommender research, with NextTrack located against their limits. </w:t>
      </w:r>
      <w:r>
        <w:rPr>
          <w:b w:val="0"/>
          <w:i/>
        </w:rPr>
        <w:t>Delivered</w:t>
      </w:r>
      <w:r>
        <w:rPr>
          <w:b w:val="0"/>
          <w:i w:val="0"/>
        </w:rPr>
        <w:t>, now argued from measured results rather than expectation.</w:t>
      </w:r>
    </w:p>
    <w:p>
      <w:r>
        <w:rPr>
          <w:b/>
          <w:i w:val="0"/>
        </w:rPr>
        <w:t>Objective 3 — RESTful API.</w:t>
      </w:r>
      <w:r>
        <w:rPr>
          <w:b w:val="0"/>
          <w:i w:val="0"/>
        </w:rPr>
        <w:t xml:space="preserve"> A FastAPI backend documented through OpenAPI. </w:t>
      </w:r>
      <w:r>
        <w:rPr>
          <w:b w:val="0"/>
          <w:i/>
        </w:rPr>
        <w:t>Delivered</w:t>
      </w:r>
      <w:r>
        <w:rPr>
          <w:b w:val="0"/>
          <w:i w:val="0"/>
        </w:rPr>
        <w:t>: five live endpoints with a machine-readable failure contract (Chapters 3 and 4).</w:t>
      </w:r>
    </w:p>
    <w:p>
      <w:r>
        <w:rPr>
          <w:b/>
          <w:i w:val="0"/>
        </w:rPr>
        <w:t>Objective 4 — Recommendation engine.</w:t>
      </w:r>
      <w:r>
        <w:rPr>
          <w:b w:val="0"/>
          <w:i w:val="0"/>
        </w:rPr>
        <w:t xml:space="preserve"> Content-based filtering, aggregate collaborative signals and diversity re-ranking. </w:t>
      </w:r>
      <w:r>
        <w:rPr>
          <w:b w:val="0"/>
          <w:i/>
        </w:rPr>
        <w:t>Delivered in full</w:t>
      </w:r>
      <w:r>
        <w:rPr>
          <w:b w:val="0"/>
          <w:i w:val="0"/>
        </w:rPr>
        <w:t>: the draft had only the content stage; both others were built for this submission and each is independently ablatable (Chapters 3–5).</w:t>
      </w:r>
    </w:p>
    <w:p>
      <w:r>
        <w:rPr>
          <w:b/>
          <w:i w:val="0"/>
        </w:rPr>
        <w:t>Objective 5 — Web front-end.</w:t>
      </w:r>
      <w:r>
        <w:rPr>
          <w:b w:val="0"/>
          <w:i w:val="0"/>
        </w:rPr>
        <w:t xml:space="preserve"> A React single-page application with search, playback, history, recommendation display, preferences and local session storage. </w:t>
      </w:r>
      <w:r>
        <w:rPr>
          <w:b w:val="0"/>
          <w:i/>
        </w:rPr>
        <w:t>Delivered</w:t>
      </w:r>
      <w:r>
        <w:rPr>
          <w:b w:val="0"/>
          <w:i w:val="0"/>
        </w:rPr>
        <w:t>, with two defects fixed and a test suite added (Chapter 4).</w:t>
      </w:r>
    </w:p>
    <w:p>
      <w:r>
        <w:rPr>
          <w:b/>
          <w:i w:val="0"/>
        </w:rPr>
        <w:t>Objective 6 — Offline evaluation.</w:t>
      </w:r>
      <w:r>
        <w:rPr>
          <w:b w:val="0"/>
          <w:i w:val="0"/>
        </w:rPr>
        <w:t xml:space="preserve"> Ranking metrics against baselines plus an ablation across engine configurations. </w:t>
      </w:r>
      <w:r>
        <w:rPr>
          <w:b w:val="0"/>
          <w:i/>
        </w:rPr>
        <w:t>Delivered</w:t>
      </w:r>
      <w:r>
        <w:rPr>
          <w:b w:val="0"/>
          <w:i w:val="0"/>
        </w:rPr>
        <w:t>, against held-out sequences from real public listening histories (Chapter 5).</w:t>
      </w:r>
    </w:p>
    <w:p>
      <w:r>
        <w:rPr>
          <w:b/>
          <w:i w:val="0"/>
        </w:rPr>
        <w:t>Objective 7 — User study.</w:t>
      </w:r>
      <w:r>
        <w:rPr>
          <w:b w:val="0"/>
          <w:i w:val="0"/>
        </w:rPr>
        <w:t xml:space="preserve"> A study with at least twelve participants. </w:t>
      </w:r>
      <w:r>
        <w:rPr>
          <w:b/>
          <w:i w:val="0"/>
        </w:rPr>
        <w:t>Not delivered.</w:t>
      </w:r>
      <w:r>
        <w:rPr>
          <w:b w:val="0"/>
          <w:i w:val="0"/>
        </w:rPr>
        <w:t xml:space="preserve"> At the draft stage the engine was a single content-based stage, which left Objective 4 as the larger outstanding deliverable. Building and validating the collaborative stage, the diversity stage, the ablation and the evaluation harness consumed the time the study needed. Running a study against an engine that was still changing weekly would have measured a system that no longer existed by submission. The protocol is complete (Section 6.5); only its execution is outstanding. Sections 5.8 and 6.1 state what the absence costs.</w:t>
      </w:r>
    </w:p>
    <w:p>
      <w:r>
        <w:rPr>
          <w:b/>
          <w:i w:val="0"/>
        </w:rPr>
        <w:t>Objective 8 — Final report.</w:t>
      </w:r>
      <w:r>
        <w:rPr>
          <w:b w:val="0"/>
          <w:i w:val="0"/>
        </w:rPr>
        <w:t xml:space="preserve"> Delivered as this document.</w:t>
      </w:r>
    </w:p>
    <w:p>
      <w:pPr>
        <w:pStyle w:val="Heading2"/>
      </w:pPr>
      <w:r>
        <w:t>1.5 Scope and justification</w:t>
      </w:r>
    </w:p>
    <w:p>
      <w:r>
        <w:rPr>
          <w:b w:val="0"/>
          <w:i w:val="0"/>
        </w:rPr>
        <w:t>The objectives form a build path in which each stage makes the next assessable. Objectives 1 and 2 establish why a stateless design is defensible, not merely convenient. Objectives 3 and 4 are the technical core. Objective 5 exists so that someone other than the developer can exercise the system; without a usable interface, any study would measure API literacy instead of listening experience. Objectives 6 and 7 supply the two complementary views of quality Shani and Gunawardana (2011) argue are both necessary: measurement against data, and response from people.</w:t>
      </w:r>
    </w:p>
    <w:p>
      <w:r>
        <w:rPr>
          <w:b w:val="0"/>
          <w:i w:val="0"/>
        </w:rPr>
        <w:t xml:space="preserve">The asymmetry between those last two is the work's principal limitation. I widened the evaluation to carry as much evidential weight as it legitimately can, using real listening sessions instead of curated ones, a full ablation, baselines drawn from the same candidate pools, and a retrieval/ranking decomposition. None of it establishes whether a listener </w:t>
      </w:r>
      <w:r>
        <w:rPr>
          <w:b w:val="0"/>
          <w:i/>
        </w:rPr>
        <w:t>likes</w:t>
      </w:r>
      <w:r>
        <w:rPr>
          <w:b w:val="0"/>
          <w:i w:val="0"/>
        </w:rPr>
        <w:t xml:space="preserve"> what the system chose.</w:t>
      </w:r>
    </w:p>
    <w:p>
      <w:r>
        <w:rPr>
          <w:b w:val="0"/>
          <w:i w:val="0"/>
        </w:rPr>
        <w:t>Two things were out of scope: neural session models, rejected on replicability grounds (Petrov and Macdonald, 2022; Section 2.6), and persistent server-side infrastructure, excluded by the project's premise rather than by time.</w:t>
      </w:r>
    </w:p>
    <w:p>
      <w:r>
        <w:br w:type="page"/>
      </w:r>
    </w:p>
    <w:p>
      <w:pPr>
        <w:pStyle w:val="Heading1"/>
        <w:pBdr>
          <w:bottom w:val="single" w:sz="6" w:space="4" w:color="C9BFB4"/>
        </w:pBdr>
      </w:pPr>
      <w:r>
        <w:t>Chapter 2: Literature Review</w:t>
      </w:r>
    </w:p>
    <w:p>
      <w:pPr>
        <w:pStyle w:val="Heading2"/>
      </w:pPr>
      <w:r>
        <w:t>2.1 Scope and approach</w:t>
      </w:r>
    </w:p>
    <w:p>
      <w:r>
        <w:rPr>
          <w:b w:val="0"/>
          <w:i w:val="0"/>
        </w:rPr>
        <w:t>This review covers seven areas bearing on a stateless music recommender: commercial systems, content-based filtering, collaborative filtering and hybrids, session-based recommendation, Music Information Retrieval, privacy-oriented API design, and recommender evaluation. It draws mainly on work from 2017–2024, reaching back to foundational papers where a technique's origin matters more than its recency.</w:t>
      </w:r>
    </w:p>
    <w:p>
      <w:r>
        <w:rPr>
          <w:b w:val="0"/>
          <w:i w:val="0"/>
        </w:rPr>
        <w:t>Because NextTrack implements the full cascade this literature recommends and has been measured against real listening sessions, several of these sources can be assessed against evidence rather than accepted on authority. Where that happens the review says which prediction held and which did not, and points to the section that measured it.</w:t>
      </w:r>
    </w:p>
    <w:p>
      <w:pPr>
        <w:pStyle w:val="Heading2"/>
      </w:pPr>
      <w:r>
        <w:t>2.2 Spotify: the profile-centric baseline</w:t>
      </w:r>
    </w:p>
    <w:p>
      <w:r>
        <w:rPr>
          <w:b w:val="0"/>
          <w:i w:val="0"/>
        </w:rPr>
        <w:t>Spotify is the natural commercial comparison. Eriksson et al. (2019) provide the most detailed public account of its recommendation stack: collaborative filtering over user–track interaction data, text analysis of web and editorial sources, and audio features for tracks with thin interaction histories. The account is second-hand, and the book's purpose is critical media research, not system description. I cite it here for the architecture's shape rather than its internals. Surveys by Roy and Dutta (2022) and Li et al. (2024) confirm such hybrids remain the dominant design.</w:t>
      </w:r>
    </w:p>
    <w:p>
      <w:r>
        <w:rPr>
          <w:b w:val="0"/>
          <w:i w:val="0"/>
        </w:rPr>
        <w:t>The privacy problem is structural, not incidental. Collaborative filtering requires a user–item interaction matrix, which requires persistent per-user data. Recommendation quality and data retention are not separable features; one is the mechanism of the other. NextTrack keeps Spotify's central insight, that combining independent kinds of evidence beats any single signal, while rejecting the premise that the collaborative half must be personal.</w:t>
      </w:r>
    </w:p>
    <w:p>
      <w:pPr>
        <w:pStyle w:val="Heading2"/>
      </w:pPr>
      <w:r>
        <w:t>2.3 Last.fm, Audioscrobbler, and the substitution this project made</w:t>
      </w:r>
    </w:p>
    <w:p>
      <w:r>
        <w:rPr>
          <w:b w:val="0"/>
          <w:i w:val="0"/>
        </w:rPr>
        <w:t xml:space="preserve">Last.fm built recommendation on scrobbling: recording plays across connected apps and deriving a co-listening graph (Lamere and Celma, 2007). Schedl et al. (2014) describe its tag vocabulary as among the strongest public music taxonomies. The preliminary design named Last.fm as the source of NextTrack's aggregate collaborative stage, precisely because </w:t>
      </w:r>
      <w:r>
        <w:rPr>
          <w:b w:val="0"/>
          <w:i/>
        </w:rPr>
        <w:t>aggregate</w:t>
      </w:r>
      <w:r>
        <w:rPr>
          <w:b w:val="0"/>
          <w:i w:val="0"/>
        </w:rPr>
        <w:t xml:space="preserve"> co-listening can be consumed without the consumer storing anything about its own users.</w:t>
      </w:r>
    </w:p>
    <w:p>
      <w:r>
        <w:rPr>
          <w:b w:val="0"/>
          <w:i w:val="0"/>
        </w:rPr>
        <w:t xml:space="preserve">That requirement was delivered, but through </w:t>
      </w:r>
      <w:r>
        <w:rPr>
          <w:b/>
          <w:i w:val="0"/>
        </w:rPr>
        <w:t>ListenBrainz</w:t>
      </w:r>
      <w:r>
        <w:rPr>
          <w:b w:val="0"/>
          <w:i w:val="0"/>
        </w:rPr>
        <w:t xml:space="preserve"> instead of Last.fm. This was a design decision, not a convenience. Last.fm requires a registered developer key, which breaks the project's "clone and run with no credentials" property, and it is keyed on artist and track </w:t>
      </w:r>
      <w:r>
        <w:rPr>
          <w:b w:val="0"/>
          <w:i/>
        </w:rPr>
        <w:t>name strings</w:t>
      </w:r>
      <w:r>
        <w:rPr>
          <w:b w:val="0"/>
          <w:i w:val="0"/>
        </w:rPr>
        <w:t>. That would have demanded a second, lossy name-matching layer on top of the two-identifier resolution problem the project already contends with (Section 3.4). ListenBrainz publishes population-level artist similarity keyed natively on MusicBrainz identifiers, openly and without a key. What mattered was the literature's argument that aggregate co-listening carries similarity information metadata cannot. Last.fm was one possible supplier of it.</w:t>
      </w:r>
    </w:p>
    <w:p>
      <w:r>
        <w:rPr>
          <w:b w:val="0"/>
          <w:i w:val="0"/>
        </w:rPr>
        <w:t>Lamere and Celma's limitation still applies, and I observed it directly. Co-listening evidence is a function of listener volume, so it is strong for popular artists and absent for the long tail. ListenBrainz returned similarity data for the large majority of artists in this project's corpus (Section 5.3). That figure reflects a corpus drawn from what people actually play; on a uniformly sampled catalogue it would fall sharply.</w:t>
      </w:r>
    </w:p>
    <w:p>
      <w:pPr>
        <w:pStyle w:val="Heading2"/>
      </w:pPr>
      <w:r>
        <w:t>2.4 Content-based filtering, and its predicted weakness</w:t>
      </w:r>
    </w:p>
    <w:p>
      <w:r>
        <w:rPr>
          <w:b w:val="0"/>
          <w:i w:val="0"/>
        </w:rPr>
        <w:t>Content-based filtering recommends items whose attributes resemble those already chosen (Lops et al., 2011). For music those attributes are tempo, key, mode, energy, loudness and genre tags; tracks become feature vectors compared by cosine similarity. The method suits a stateless recommender exactly because a single request supplies sufficient context.</w:t>
      </w:r>
    </w:p>
    <w:p>
      <w:r>
        <w:rPr>
          <w:b w:val="0"/>
          <w:i w:val="0"/>
        </w:rPr>
        <w:t>Whitman and Lawrence (2002) remain the strongest support for that choice: term profiles built from unstructured web text identified similar artists correctly 78% of the time using single-word term sets, with no per-user state.</w:t>
      </w:r>
    </w:p>
    <w:p>
      <w:r>
        <w:rPr>
          <w:b w:val="0"/>
          <w:i w:val="0"/>
        </w:rPr>
        <w:t xml:space="preserve">Two qualifications matter. First, this is </w:t>
      </w:r>
      <w:r>
        <w:rPr>
          <w:b w:val="0"/>
          <w:i/>
        </w:rPr>
        <w:t>artist</w:t>
      </w:r>
      <w:r>
        <w:rPr>
          <w:b w:val="0"/>
          <w:i w:val="0"/>
        </w:rPr>
        <w:t xml:space="preserve"> similarity, which is weaker support for a track-level content engine than it appears, though unusually direct support for the artist-level collaborative stage in Section 2.5. Second, the study predates streaming-scale catalogues and current tagging ecosystems, so its magnitude should not be transferred. What transfers is the qualitative claim that public metadata alone carries usable similarity signal. Section 5.5 finds that claim holds for </w:t>
      </w:r>
      <w:r>
        <w:rPr>
          <w:b w:val="0"/>
          <w:i/>
        </w:rPr>
        <w:t>ranking</w:t>
      </w:r>
      <w:r>
        <w:rPr>
          <w:b w:val="0"/>
          <w:i w:val="0"/>
        </w:rPr>
        <w:t>, where the target is present in the candidate set. Section 5.4 finds it says nothing at all about whether retrieval can put the target there.</w:t>
      </w:r>
    </w:p>
    <w:p>
      <w:r>
        <w:rPr>
          <w:b w:val="0"/>
          <w:i w:val="0"/>
        </w:rPr>
        <w:t>Lops et al. also identify over-specialisation: ranking by similarity to what a listener already likes narrows recommendations toward a safe region of the feature space. The draft report observed the behaviour and could only report it. This submission tests it, and the measurement is more interesting than the prediction. Diversity re-ranking does raise intra-list diversity as expected, but it costs accuracy when applied alone, and recovers that accuracy only alongside the collaborative stage (Section 5.5). The literature correctly identified the problem. It does not follow that the standard remedy is free.</w:t>
      </w:r>
    </w:p>
    <w:p>
      <w:r>
        <w:rPr>
          <w:b w:val="0"/>
          <w:i w:val="0"/>
        </w:rPr>
        <w:t>Deldjoo, Schedl and Knees (2024) show content-driven methods remain important in modern systems, particularly for cold start, privacy constraints and explainability. All three describe NextTrack's situation. Afchar et al. (2022) connect explainability to user trust, which motivates the requirement that every response carry a plain-language reason. That requirement carried a defect throughout the draft period: one of its four signals could never fire (Section 4.6). A claim about explainability is a claim about running code.</w:t>
      </w:r>
    </w:p>
    <w:p>
      <w:pPr>
        <w:pStyle w:val="Heading2"/>
      </w:pPr>
      <w:r>
        <w:t>2.5 Collaborative filtering and hybrids: the tension this project had to resolve</w:t>
      </w:r>
    </w:p>
    <w:p>
      <w:r>
        <w:rPr>
          <w:b w:val="0"/>
          <w:i w:val="0"/>
        </w:rPr>
        <w:t>Koren, Bell and Volinsky (2009) established matrix factorisation as the workhorse of large-scale collaborative recommendation. It is unavailable to NextTrack by construction, since latent factors are learned from a persistent user–item matrix. The underlying insight survives the constraint. Two tracks heard by overlapping audiences are often related even when their acoustic and tag descriptions diverge, and content features are structurally unable to represent that relationship.</w:t>
      </w:r>
    </w:p>
    <w:p>
      <w:r>
        <w:rPr>
          <w:b w:val="0"/>
          <w:i w:val="0"/>
        </w:rPr>
        <w:t xml:space="preserve">Burke's (2002) hybrid taxonomy supplies the resolution. In a </w:t>
      </w:r>
      <w:r>
        <w:rPr>
          <w:b w:val="0"/>
          <w:i/>
        </w:rPr>
        <w:t>cascade</w:t>
      </w:r>
      <w:r>
        <w:rPr>
          <w:b w:val="0"/>
          <w:i w:val="0"/>
        </w:rPr>
        <w:t xml:space="preserve"> hybrid one method generates candidates and another re-ranks them, and the re-ranking method need not share the first's data requirements. Çano and Morisio (2017) confirm in a systematic review that combined methods usually outperform single-method systems.</w:t>
      </w:r>
    </w:p>
    <w:p>
      <w:r>
        <w:rPr>
          <w:b w:val="0"/>
          <w:i w:val="0"/>
        </w:rPr>
        <w:t xml:space="preserve">The tension the cascade resolves deserves stating plainly, because the literature does not state it. Aggregate co-listening can be consumed without any per-user storage. The aggregation happens on the provider's side, and the consumer transmits only an artist identifier. Collaborative </w:t>
      </w:r>
      <w:r>
        <w:rPr>
          <w:b w:val="0"/>
          <w:i/>
        </w:rPr>
        <w:t>evidence</w:t>
      </w:r>
      <w:r>
        <w:rPr>
          <w:b w:val="0"/>
          <w:i w:val="0"/>
        </w:rPr>
        <w:t xml:space="preserve"> and collaborative </w:t>
      </w:r>
      <w:r>
        <w:rPr>
          <w:b w:val="0"/>
          <w:i/>
        </w:rPr>
        <w:t>surveillance</w:t>
      </w:r>
      <w:r>
        <w:rPr>
          <w:b w:val="0"/>
          <w:i w:val="0"/>
        </w:rPr>
        <w:t xml:space="preserve"> are therefore separable, contrary to what the Spotify architecture implies. Section 5.5 tests that claim.</w:t>
      </w:r>
    </w:p>
    <w:p>
      <w:pPr>
        <w:pStyle w:val="Heading2"/>
      </w:pPr>
      <w:r>
        <w:t>2.6 Session-based recommendation</w:t>
      </w:r>
    </w:p>
    <w:p>
      <w:r>
        <w:rPr>
          <w:b w:val="0"/>
          <w:i w:val="0"/>
        </w:rPr>
        <w:t>Session-based recommendation predicts the next item from current-session behaviour rather than a long-term profile, which makes it the closest research framing to NextTrack's problem. Hidasi et al. (2016) introduced GRU4Rec, Kang and McAuley (2018) SASRec, and Sun et al. (2019) BERT4Rec; all three model the current sequence rather than a stored profile.</w:t>
      </w:r>
    </w:p>
    <w:p>
      <w:r>
        <w:rPr>
          <w:b w:val="0"/>
          <w:i w:val="0"/>
        </w:rPr>
        <w:t xml:space="preserve">The music-specific form of this problem is automatic playlist continuation, and three sources bear directly on NextTrack's design. Bonnin and Jannach (2014) survey automated playlist generation and report a result I should have taken more seriously at the design stage: simple popularity- and co-occurrence-based methods are strikingly hard to beat, and elaborate models frequently fail to justify their complexity. That finding is why </w:t>
      </w:r>
      <w:r>
        <w:rPr>
          <w:b w:val="0"/>
          <w:i/>
        </w:rPr>
        <w:t>Most popular</w:t>
      </w:r>
      <w:r>
        <w:rPr>
          <w:b w:val="0"/>
          <w:i w:val="0"/>
        </w:rPr>
        <w:t xml:space="preserve"> appears in Section 5.3 as the strongest baseline instead of a token floor. The RecSys Challenge 2018 (Chen et al., 2018) established playlist continuation at scale as a shared task. Its retrospective makes clear that candidate </w:t>
      </w:r>
      <w:r>
        <w:rPr>
          <w:b w:val="0"/>
          <w:i/>
        </w:rPr>
        <w:t>generation</w:t>
      </w:r>
      <w:r>
        <w:rPr>
          <w:b w:val="0"/>
          <w:i w:val="0"/>
        </w:rPr>
        <w:t>, not ranking, is where most systems win or lose. That is precisely where Section 5.4 locates this project's failure. Schedl et al. (2018) then survey the open challenges in music recommender research, identifying evaluation beyond accuracy, cold start, and the gap between offline proxies and listener satisfaction. All three describe this project's position exactly.</w:t>
      </w:r>
    </w:p>
    <w:p>
      <w:r>
        <w:rPr>
          <w:b w:val="0"/>
          <w:i w:val="0"/>
        </w:rPr>
        <w:t xml:space="preserve">I borrowed the field's </w:t>
      </w:r>
      <w:r>
        <w:rPr>
          <w:b w:val="0"/>
          <w:i/>
        </w:rPr>
        <w:t>problem definition</w:t>
      </w:r>
      <w:r>
        <w:rPr>
          <w:b w:val="0"/>
          <w:i w:val="0"/>
        </w:rPr>
        <w:t xml:space="preserve"> and its </w:t>
      </w:r>
      <w:r>
        <w:rPr>
          <w:b w:val="0"/>
          <w:i/>
        </w:rPr>
        <w:t>evaluation protocol</w:t>
      </w:r>
      <w:r>
        <w:rPr>
          <w:b w:val="0"/>
          <w:i w:val="0"/>
        </w:rPr>
        <w:t xml:space="preserve"> without adopting its architectures. The evaluation segments listening histories on a 30-minute inactivity gap and holds out the final track, which is the standard protocol here, and applies it to a non-neural engine. I rejected the architectures on the grounds Petrov and Macdonald (2022) document: their replicability study found BERT4Rec's published results sensitive to training-loss implementation details. That is a poor foundation for a project whose central claim has to be defensible, not merely competitive. A simpler pipeline also preserves what the neural models cannot offer. NextTrack can state which signal produced each recommendation, which is both a user-facing feature (Section 2.4) and what made the ablation in Section 5.5 interpretable.</w:t>
      </w:r>
    </w:p>
    <w:p>
      <w:pPr>
        <w:pStyle w:val="Heading2"/>
      </w:pPr>
      <w:r>
        <w:t>2.7 Music Information Retrieval, and infrastructure as a research risk</w:t>
      </w:r>
    </w:p>
    <w:p>
      <w:r>
        <w:rPr>
          <w:b w:val="0"/>
          <w:i w:val="0"/>
        </w:rPr>
        <w:t>Bogdanov et al. (2013) introduced ESSENTIA, the analysis library behind AcousticBrainz, which offered pre-computed descriptors such as BPM, key, mode and loudness for a large corpus. The preliminary design treated this as a solved dependency: acoustic features would be looked up, not computed.</w:t>
      </w:r>
    </w:p>
    <w:p>
      <w:r>
        <w:rPr>
          <w:b w:val="0"/>
          <w:i w:val="0"/>
        </w:rPr>
        <w:t xml:space="preserve">That turned out to be the review's weakest prediction, and the reason is instructive. AcousticBrainz stopped accepting submissions in 2022, so its coverage is frozen and sparse relative to any current catalogue. The measured consequence is a sharp split (Section 5.3). Tracks real listeners actually played are far better covered than the candidate recordings retrieved by genre search. The engine therefore holds genuine acoustic detail for the </w:t>
      </w:r>
      <w:r>
        <w:rPr>
          <w:b w:val="0"/>
          <w:i/>
        </w:rPr>
        <w:t>history</w:t>
      </w:r>
      <w:r>
        <w:rPr>
          <w:b w:val="0"/>
          <w:i w:val="0"/>
        </w:rPr>
        <w:t xml:space="preserve"> far more often than for the </w:t>
      </w:r>
      <w:r>
        <w:rPr>
          <w:b w:val="0"/>
          <w:i/>
        </w:rPr>
        <w:t>candidates</w:t>
      </w:r>
      <w:r>
        <w:rPr>
          <w:b w:val="0"/>
          <w:i w:val="0"/>
        </w:rPr>
        <w:t xml:space="preserve"> it must rank, which undercuts the acoustic dimensions exactly where they would do the most work. Schedl et al. (2021) argue metadata and acoustic features are complementary. Here the genre TF-IDF block carries most of the ranking load because its partner is frequently absent.</w:t>
      </w:r>
    </w:p>
    <w:p>
      <w:r>
        <w:rPr>
          <w:b w:val="0"/>
          <w:i w:val="0"/>
        </w:rPr>
        <w:t xml:space="preserve">The broader point is one the MIR literature does not usually make. Depending on centrally-hosted "free" research infrastructure is a longitudinal risk that no code review surfaces. It appeared twice in this project, in AcousticBrainz's decommissioning and in the YouTube Data API quota that forced the move to </w:t>
      </w:r>
      <w:r>
        <w:rPr>
          <w:rFonts w:ascii="Consolas" w:hAnsi="Consolas"/>
          <w:b w:val="0"/>
          <w:i w:val="0"/>
          <w:sz w:val="20"/>
        </w:rPr>
        <w:t>ytmusicapi</w:t>
      </w:r>
      <w:r>
        <w:rPr>
          <w:b w:val="0"/>
          <w:i w:val="0"/>
        </w:rPr>
        <w:t>, and a third time in a subtler form, discussed next.</w:t>
      </w:r>
    </w:p>
    <w:p>
      <w:pPr>
        <w:pStyle w:val="Heading2"/>
      </w:pPr>
      <w:r>
        <w:t>2.8 Privacy, REST, and the limits of statelessness</w:t>
      </w:r>
    </w:p>
    <w:p>
      <w:r>
        <w:rPr>
          <w:b w:val="0"/>
          <w:i w:val="0"/>
        </w:rPr>
        <w:t xml:space="preserve">Cavoukian (2009) frames privacy-by-design as building privacy in from the outset, and GDPR Article 5(1)(c) establishes data minimisation as a legal principle (European Parliament, 2016). Yuan et al. (2023) sharpen why this matters technically: even federated collaborative filtering remains exposed to interaction-level membership inference. Their finding supports a stronger position than the one they take. If privacy-preserving </w:t>
      </w:r>
      <w:r>
        <w:rPr>
          <w:b w:val="0"/>
          <w:i/>
        </w:rPr>
        <w:t>storage</w:t>
      </w:r>
      <w:r>
        <w:rPr>
          <w:b w:val="0"/>
          <w:i w:val="0"/>
        </w:rPr>
        <w:t xml:space="preserve"> still leaks, the robust response is not to retain the data at all. Section 5.7 audits whether NextTrack's implementation honours that.</w:t>
      </w:r>
    </w:p>
    <w:p>
      <w:r>
        <w:rPr>
          <w:b w:val="0"/>
          <w:i w:val="0"/>
        </w:rPr>
        <w:t xml:space="preserve">Fielding (2000) defines statelessness as the REST constraint that each request contain everything needed to process it. The alignment with the privacy goal looks close enough to be worth interrogating, and interrogating it exposed a seam. REST statelessness constrains what the </w:t>
      </w:r>
      <w:r>
        <w:rPr>
          <w:b w:val="0"/>
          <w:i/>
        </w:rPr>
        <w:t>server</w:t>
      </w:r>
      <w:r>
        <w:rPr>
          <w:b w:val="0"/>
          <w:i w:val="0"/>
        </w:rPr>
        <w:t xml:space="preserve"> remembers about a </w:t>
      </w:r>
      <w:r>
        <w:rPr>
          <w:b w:val="0"/>
          <w:i/>
        </w:rPr>
        <w:t>client</w:t>
      </w:r>
      <w:r>
        <w:rPr>
          <w:b w:val="0"/>
          <w:i w:val="0"/>
        </w:rPr>
        <w:t xml:space="preserve">. It says nothing about what the server caches about the </w:t>
      </w:r>
      <w:r>
        <w:rPr>
          <w:b w:val="0"/>
          <w:i/>
        </w:rPr>
        <w:t>world</w:t>
      </w:r>
      <w:r>
        <w:rPr>
          <w:b w:val="0"/>
          <w:i w:val="0"/>
        </w:rPr>
        <w:t>. NextTrack caches public per-track facts, and it has to: three rate-limited upstreams otherwise make the system unusable (Section 5.6). Those caches are shared across callers, so one listener's request can make a later listener's request faster. That is not a user profile, but it is a real property, and Section 5.7 reports it instead of hiding behind the word "stateless".</w:t>
      </w:r>
    </w:p>
    <w:p>
      <w:r>
        <w:rPr>
          <w:b w:val="0"/>
          <w:i w:val="0"/>
        </w:rPr>
        <w:t>Statelessness also carried an unstated obligation. If a server holds no state, identical requests ought to yield identical answers, and that reproducibility is much of what a stateless contract is worth to a developer. It did not hold, for a reason outside the code (Sections 4.7 and 5.6). Haro Peralta (2023) describes how FastAPI and OpenAPI support typed, self-documenting APIs. That is the toolchain NextTrack uses for validation, documentation and asynchronous request handling.</w:t>
      </w:r>
    </w:p>
    <w:p>
      <w:pPr>
        <w:pStyle w:val="Heading2"/>
      </w:pPr>
      <w:r>
        <w:t>2.9 Evaluation methodology</w:t>
      </w:r>
    </w:p>
    <w:p>
      <w:r>
        <w:rPr>
          <w:b w:val="0"/>
          <w:i w:val="0"/>
        </w:rPr>
        <w:t>Shani and Gunawardana (2011) divide recommender evaluation into offline testing and user studies, and argue that algorithmic accuracy alone does not establish user value. Celma and Herrera (2008) and Kaminskas and Bridge (2016) show that music recommendation in particular needs beyond-accuracy measures such as diversity, novelty and catalogue coverage, because listeners value material that is new yet still relevant. Bauer, Zangerle and Said (2024) warn against over-reliance on a narrow set of benchmark datasets.</w:t>
      </w:r>
    </w:p>
    <w:p>
      <w:r>
        <w:rPr>
          <w:b w:val="0"/>
          <w:i w:val="0"/>
        </w:rPr>
        <w:t>Two of these shaped my evaluation directly. Kaminskas and Bridge's argument is why Section 5.5 reports intra-list diversity, novelty and coverage alongside accuracy, and why I read the ablation as a trade-off instead of a ranking. Bauer et al.'s warning is why the held-out data comes from real public ListenBrainz listening histories, not a standard benchmark or a curated pool. Sequences I built myself from a genre-organised seed list would have been circular (Section 5.2).</w:t>
      </w:r>
    </w:p>
    <w:p>
      <w:r>
        <w:rPr>
          <w:b w:val="0"/>
          <w:i w:val="0"/>
        </w:rPr>
        <w:t>Shani and Gunawardana's division is also where this evaluation falls short, in exactly the way their argument anticipates. The offline half was delivered. The user study was not. Their claim that offline accuracy does not establish user value is not something this report can test, and Section 5.8 treats that as the principal threat to the validity of everything else reported here.</w:t>
      </w:r>
    </w:p>
    <w:p>
      <w:pPr>
        <w:pStyle w:val="Heading2"/>
      </w:pPr>
      <w:r>
        <w:t>2.10 Synthesis</w:t>
      </w:r>
    </w:p>
    <w:p>
      <w:r>
        <w:rPr>
          <w:b w:val="0"/>
          <w:i w:val="0"/>
        </w:rPr>
        <w:t>Three requirements emerge, and this submission can report on all three rather than only the first.</w:t>
      </w:r>
    </w:p>
    <w:p>
      <w:r>
        <w:rPr>
          <w:b/>
          <w:i w:val="0"/>
        </w:rPr>
        <w:t>A content-based core</w:t>
      </w:r>
      <w:r>
        <w:rPr>
          <w:b w:val="0"/>
          <w:i w:val="0"/>
        </w:rPr>
        <w:t xml:space="preserve">, because it functions without stored user data (Whitman and Lawrence, 2002; Deldjoo et al., 2024; Schedl et al., 2021). Delivered, and measurably better than every baseline </w:t>
      </w:r>
      <w:r>
        <w:rPr>
          <w:b w:val="0"/>
          <w:i/>
        </w:rPr>
        <w:t>at ranking, when the target is present in the candidate set</w:t>
      </w:r>
      <w:r>
        <w:rPr>
          <w:b w:val="0"/>
          <w:i w:val="0"/>
        </w:rPr>
        <w:t>. Section 5.4 makes that qualifier non-negotiable. The acoustic-coverage gap in Section 2.7 also weakens it more than the literature would predict.</w:t>
      </w:r>
    </w:p>
    <w:p>
      <w:r>
        <w:rPr>
          <w:b/>
          <w:i w:val="0"/>
        </w:rPr>
        <w:t>A hybrid pipeline</w:t>
      </w:r>
      <w:r>
        <w:rPr>
          <w:b w:val="0"/>
          <w:i w:val="0"/>
        </w:rPr>
        <w:t>, because no single signal covers every listening context and pure content ranking over-specialises (Lops et al., 2011; Burke, 2002; Koren et al., 2009; Çano and Morisio, 2017). Delivered as a three-stage cascade, with each stage's contribution measured separately in Section 5.5.</w:t>
      </w:r>
    </w:p>
    <w:p>
      <w:r>
        <w:rPr>
          <w:b/>
          <w:i w:val="0"/>
        </w:rPr>
        <w:t>Evaluation across both data and people</w:t>
      </w:r>
      <w:r>
        <w:rPr>
          <w:b w:val="0"/>
          <w:i w:val="0"/>
        </w:rPr>
        <w:t xml:space="preserve"> (Shani and Gunawardana, 2011; Celma and Herrera, 2008; Kaminskas and Bridge, 2016; Bauer et al., 2024). Delivered on the data side, including beyond-accuracy metrics and an ablation. Not delivered on the human side. The gap between the literature's standard and this project's evidence is narrower than it was at the draft stage, and it is precisely locatable. That is the most this report can honestly claim.</w:t>
      </w:r>
    </w:p>
    <w:p>
      <w:r>
        <w:br w:type="page"/>
      </w:r>
    </w:p>
    <w:p>
      <w:pPr>
        <w:pStyle w:val="Heading1"/>
        <w:pBdr>
          <w:bottom w:val="single" w:sz="6" w:space="4" w:color="C9BFB4"/>
        </w:pBdr>
      </w:pPr>
      <w:r>
        <w:t>Chapter 3: Design</w:t>
      </w:r>
    </w:p>
    <w:p>
      <w:pPr>
        <w:pStyle w:val="Heading2"/>
      </w:pPr>
      <w:r>
        <w:t>3.1 Domain, users, and requirements</w:t>
      </w:r>
    </w:p>
    <w:p>
      <w:r>
        <w:rPr>
          <w:b w:val="0"/>
          <w:i w:val="0"/>
        </w:rPr>
        <w:t>NextTrack sits in music technology, combining recommendation, RESTful API design and privacy-focused system design. The domain is characterised by very large catalogues, irreducibly subjective taste, and evaluation conventions set by ISMIR and ACM RecSys.</w:t>
      </w:r>
    </w:p>
    <w:p>
      <w:r>
        <w:rPr>
          <w:b w:val="0"/>
          <w:i w:val="0"/>
        </w:rPr>
        <w:t xml:space="preserve">Four user groups shape the design. </w:t>
      </w:r>
      <w:r>
        <w:rPr>
          <w:b w:val="0"/>
          <w:i/>
        </w:rPr>
        <w:t>Privacy-conscious listeners</w:t>
      </w:r>
      <w:r>
        <w:rPr>
          <w:b w:val="0"/>
          <w:i w:val="0"/>
        </w:rPr>
        <w:t xml:space="preserve">, the primary target, want recommendations without a permanent profile. </w:t>
      </w:r>
      <w:r>
        <w:rPr>
          <w:b w:val="0"/>
          <w:i/>
        </w:rPr>
        <w:t>Application developers</w:t>
      </w:r>
      <w:r>
        <w:rPr>
          <w:b w:val="0"/>
          <w:i w:val="0"/>
        </w:rPr>
        <w:t xml:space="preserve"> want a lightweight endpoint without account-management overhead, which shapes the API contract: self-contained requests, typed schemas, machine-readable failures. </w:t>
      </w:r>
      <w:r>
        <w:rPr>
          <w:b w:val="0"/>
          <w:i/>
        </w:rPr>
        <w:t>Shared-account households</w:t>
      </w:r>
      <w:r>
        <w:rPr>
          <w:b w:val="0"/>
          <w:i w:val="0"/>
        </w:rPr>
        <w:t xml:space="preserve"> want recommendations that reflect whoever is listening now instead of a blended history. Statelessness handles that case for free, since there is no accumulated profile to contaminate. </w:t>
      </w:r>
      <w:r>
        <w:rPr>
          <w:b w:val="0"/>
          <w:i/>
        </w:rPr>
        <w:t>Academic users</w:t>
      </w:r>
      <w:r>
        <w:rPr>
          <w:b w:val="0"/>
          <w:i w:val="0"/>
        </w:rPr>
        <w:t xml:space="preserve"> want an inspectable system, which is why every recommendation carries its reasoning and the evaluation reproduces from the repository.</w:t>
      </w:r>
    </w:p>
    <w:p>
      <w:r>
        <w:rPr>
          <w:b w:val="0"/>
          <w:i w:val="0"/>
        </w:rPr>
        <w:t>The requirements these imply are, in priority order: (R1) the server retains nothing about a user between requests; (R2) a single request carries everything needed to answer it; (R3) every recommendation is explained in plain language; (R4) identical requests produce identical responses; (R5) failure of any single upstream degrades the result but not the service; (R6) the system runs with no credentials. I promoted R4 to a first-class requirement during this submission, after finding it did not hold (Section 4.7). A stateless contract that drifts between calls offers a developer much less than it appears to.</w:t>
      </w:r>
    </w:p>
    <w:p>
      <w:pPr>
        <w:pStyle w:val="Heading2"/>
      </w:pPr>
      <w:r>
        <w:t>3.2 Design justification</w:t>
      </w:r>
    </w:p>
    <w:p>
      <w:r>
        <w:rPr>
          <w:b w:val="0"/>
          <w:i w:val="0"/>
        </w:rPr>
        <w:t>The stateless architecture has two independent supports. The privacy argument follows Cavoukian (2009) and GDPR data minimisation: data never collected cannot leak, be subpoenaed, or be inferred from (Yuan et al., 2023). The technical argument follows Whitman and Lawrence (2002) and Deldjoo et al. (2024): metadata-driven similarity carries enough signal to be useful without per-user state.</w:t>
      </w:r>
    </w:p>
    <w:p>
      <w:r>
        <w:rPr>
          <w:b w:val="0"/>
          <w:i w:val="0"/>
        </w:rPr>
        <w:t xml:space="preserve">The recommendation design is a </w:t>
      </w:r>
      <w:r>
        <w:rPr>
          <w:b/>
          <w:i w:val="0"/>
        </w:rPr>
        <w:t>cascade hybrid</w:t>
      </w:r>
      <w:r>
        <w:rPr>
          <w:b w:val="0"/>
          <w:i w:val="0"/>
        </w:rPr>
        <w:t xml:space="preserve"> in Burke's (2002) sense, running content-based candidate generation, then aggregate collaborative re-ranking, then diversity post-processing. The cascade form is what makes the privacy constraint survivable. In a </w:t>
      </w:r>
      <w:r>
        <w:rPr>
          <w:b w:val="0"/>
          <w:i/>
        </w:rPr>
        <w:t>weighted</w:t>
      </w:r>
      <w:r>
        <w:rPr>
          <w:b w:val="0"/>
          <w:i w:val="0"/>
        </w:rPr>
        <w:t xml:space="preserve"> or </w:t>
      </w:r>
      <w:r>
        <w:rPr>
          <w:b w:val="0"/>
          <w:i/>
        </w:rPr>
        <w:t>feature-combination</w:t>
      </w:r>
      <w:r>
        <w:rPr>
          <w:b w:val="0"/>
          <w:i w:val="0"/>
        </w:rPr>
        <w:t xml:space="preserve"> hybrid the collaborative component would need per-user vectors. In a cascade each stage only re-orders what the previous stage produced, so a stage can draw on population-level evidence without the system holding any individual's data.</w:t>
      </w:r>
    </w:p>
    <w:p>
      <w:r>
        <w:rPr>
          <w:b w:val="0"/>
          <w:i w:val="0"/>
        </w:rPr>
        <w:t>All three stages are implemented, and the design below describes what runs rather than what was intended; Section 3.7 lists what changed and why.</w:t>
      </w:r>
    </w:p>
    <w:p>
      <w:pPr>
        <w:pStyle w:val="Heading2"/>
      </w:pPr>
      <w:r>
        <w:t>3.3 System architecture</w:t>
      </w:r>
    </w:p>
    <w:p>
      <w:r>
        <w:rPr>
          <w:b w:val="0"/>
          <w:i w:val="0"/>
        </w:rPr>
        <w:t>The system has four layers (Figure 1): presentation, API, recommendation engine, and data/cache. The separation earned its keep. I added the collaborative and diversity stages without touching the API or presentation layers, and the evaluation harness reuses the engine layer directly by substituting the data layer beneath it.</w:t>
      </w:r>
    </w:p>
    <w:p>
      <w:pPr>
        <w:spacing w:before="80" w:after="280"/>
        <w:jc w:val="center"/>
      </w:pPr>
      <w:r>
        <w:rPr>
          <w:b/>
          <w:i w:val="0"/>
          <w:color w:val="5A524C"/>
          <w:sz w:val="18"/>
        </w:rPr>
        <w:t>Figure 1. NextTrack's four-layer architecture.</w:t>
      </w:r>
      <w:r>
        <w:rPr>
          <w:b w:val="0"/>
          <w:i w:val="0"/>
          <w:color w:val="5A524C"/>
          <w:sz w:val="18"/>
        </w:rPr>
        <w:t xml:space="preserve"> All components shown are implemented and tested. The dashed Last.fm client from the preliminary design has been replaced by the ListenBrainz client, for the reasons in Section 2.3.</w:t>
      </w:r>
    </w:p>
    <w:p>
      <w:pPr>
        <w:keepLines/>
        <w:spacing w:before="160" w:after="200" w:line="240" w:lineRule="auto"/>
        <w:ind w:left="170"/>
        <w:shd w:val="clear" w:color="auto" w:fill="F7F4F0"/>
        <w:pBdr>
          <w:left w:val="single" w:sz="12" w:space="4" w:color="D8CFC4"/>
        </w:pBdr>
      </w:pPr>
      <w:r>
        <w:rPr>
          <w:rFonts w:ascii="Consolas" w:hAnsi="Consolas"/>
          <w:color w:val="1A1614"/>
          <w:sz w:val="15"/>
        </w:rPr>
        <w:t>┌──────────────────────────────────────────────────────────────────┐</w:t>
        <w:br/>
      </w:r>
      <w:r>
        <w:rPr>
          <w:rFonts w:ascii="Consolas" w:hAnsi="Consolas"/>
          <w:color w:val="1A1614"/>
          <w:sz w:val="15"/>
        </w:rPr>
        <w:t>│ PRESENTATION   React 18 + TypeScript SPA                         │</w:t>
        <w:br/>
      </w:r>
      <w:r>
        <w:rPr>
          <w:rFonts w:ascii="Consolas" w:hAnsi="Consolas"/>
          <w:color w:val="1A1614"/>
          <w:sz w:val="15"/>
        </w:rPr>
        <w:t>│   search · Today's Top 5 · player · setlist · recommendation     │</w:t>
        <w:br/>
      </w:r>
      <w:r>
        <w:rPr>
          <w:rFonts w:ascii="Consolas" w:hAnsi="Consolas"/>
          <w:color w:val="1A1614"/>
          <w:sz w:val="15"/>
        </w:rPr>
        <w:t>│   card · preferences · feedback · privacy badge · theme          │</w:t>
        <w:br/>
      </w:r>
      <w:r>
        <w:rPr>
          <w:rFonts w:ascii="Consolas" w:hAnsi="Consolas"/>
          <w:color w:val="1A1614"/>
          <w:sz w:val="15"/>
        </w:rPr>
        <w:t>│   state: localStorage only (history, current track, prefs)       │</w:t>
        <w:br/>
      </w:r>
      <w:r>
        <w:rPr>
          <w:rFonts w:ascii="Consolas" w:hAnsi="Consolas"/>
          <w:color w:val="1A1614"/>
          <w:sz w:val="15"/>
        </w:rPr>
        <w:t>└───────────────────────────────┬──────────────────────────────────┘</w:t>
        <w:br/>
      </w:r>
      <w:r>
        <w:rPr>
          <w:rFonts w:ascii="Consolas" w:hAnsi="Consolas"/>
          <w:color w:val="1A1614"/>
          <w:sz w:val="15"/>
        </w:rPr>
        <w:t xml:space="preserve">                                │ HTTPS, self-contained requests</w:t>
        <w:br/>
      </w:r>
      <w:r>
        <w:rPr>
          <w:rFonts w:ascii="Consolas" w:hAnsi="Consolas"/>
          <w:color w:val="1A1614"/>
          <w:sz w:val="15"/>
        </w:rPr>
        <w:t>┌───────────────────────────────▼──────────────────────────────────┐</w:t>
        <w:br/>
      </w:r>
      <w:r>
        <w:rPr>
          <w:rFonts w:ascii="Consolas" w:hAnsi="Consolas"/>
          <w:color w:val="1A1614"/>
          <w:sz w:val="15"/>
        </w:rPr>
        <w:t>│ API            FastAPI + Pydantic v2 (extra="forbid")            │</w:t>
        <w:br/>
      </w:r>
      <w:r>
        <w:rPr>
          <w:rFonts w:ascii="Consolas" w:hAnsi="Consolas"/>
          <w:color w:val="1A1614"/>
          <w:sz w:val="15"/>
        </w:rPr>
        <w:t>│   POST /search   GET /top   POST /resolve                        │</w:t>
        <w:br/>
      </w:r>
      <w:r>
        <w:rPr>
          <w:rFonts w:ascii="Consolas" w:hAnsi="Consolas"/>
          <w:color w:val="1A1614"/>
          <w:sz w:val="15"/>
        </w:rPr>
        <w:t>│   POST /recommend   GET /health          → OpenAPI at /docs      │</w:t>
        <w:br/>
      </w:r>
      <w:r>
        <w:rPr>
          <w:rFonts w:ascii="Consolas" w:hAnsi="Consolas"/>
          <w:color w:val="1A1614"/>
          <w:sz w:val="15"/>
        </w:rPr>
        <w:t>└───────────────────────────────┬──────────────────────────────────┘</w:t>
        <w:br/>
      </w:r>
      <w:r>
        <w:rPr>
          <w:rFonts w:ascii="Consolas" w:hAnsi="Consolas"/>
          <w:color w:val="1A1614"/>
          <w:sz w:val="15"/>
        </w:rPr>
        <w:t>┌───────────────────────────────▼──────────────────────────────────┐</w:t>
        <w:br/>
      </w:r>
      <w:r>
        <w:rPr>
          <w:rFonts w:ascii="Consolas" w:hAnsi="Consolas"/>
          <w:color w:val="1A1614"/>
          <w:sz w:val="15"/>
        </w:rPr>
        <w:t>│ ENGINE         cascade hybrid, computed fresh per request        │</w:t>
        <w:br/>
      </w:r>
      <w:r>
        <w:rPr>
          <w:rFonts w:ascii="Consolas" w:hAnsi="Consolas"/>
          <w:color w:val="1A1614"/>
          <w:sz w:val="15"/>
        </w:rPr>
        <w:t>│   1 content      features.py + similarity.py  (cosine/centroid)  │</w:t>
        <w:br/>
      </w:r>
      <w:r>
        <w:rPr>
          <w:rFonts w:ascii="Consolas" w:hAnsi="Consolas"/>
          <w:color w:val="1A1614"/>
          <w:sz w:val="15"/>
        </w:rPr>
        <w:t>│   2 collaborative  collaborative.py           (LB affinity)      │</w:t>
        <w:br/>
      </w:r>
      <w:r>
        <w:rPr>
          <w:rFonts w:ascii="Consolas" w:hAnsi="Consolas"/>
          <w:color w:val="1A1614"/>
          <w:sz w:val="15"/>
        </w:rPr>
        <w:t>│   3 diversity      diversity.py               (MMR vs history)   │</w:t>
        <w:br/>
      </w:r>
      <w:r>
        <w:rPr>
          <w:rFonts w:ascii="Consolas" w:hAnsi="Consolas"/>
          <w:color w:val="1A1614"/>
          <w:sz w:val="15"/>
        </w:rPr>
        <w:t>│                    rationale.py               (explanation)      │</w:t>
        <w:br/>
      </w:r>
      <w:r>
        <w:rPr>
          <w:rFonts w:ascii="Consolas" w:hAnsi="Consolas"/>
          <w:color w:val="1A1614"/>
          <w:sz w:val="15"/>
        </w:rPr>
        <w:t>└───────────────────────────────┬──────────────────────────────────┘</w:t>
        <w:br/>
      </w:r>
      <w:r>
        <w:rPr>
          <w:rFonts w:ascii="Consolas" w:hAnsi="Consolas"/>
          <w:color w:val="1A1614"/>
          <w:sz w:val="15"/>
        </w:rPr>
        <w:t>┌───────────────────────────────▼──────────────────────────────────┐</w:t>
        <w:br/>
      </w:r>
      <w:r>
        <w:rPr>
          <w:rFonts w:ascii="Consolas" w:hAnsi="Consolas"/>
          <w:color w:val="1A1614"/>
          <w:sz w:val="15"/>
        </w:rPr>
        <w:t>│ DATA / CACHE   MusicBrainz · AcousticBrainz · ListenBrainz ·     │</w:t>
        <w:br/>
      </w:r>
      <w:r>
        <w:rPr>
          <w:rFonts w:ascii="Consolas" w:hAnsi="Consolas"/>
          <w:color w:val="1A1614"/>
          <w:sz w:val="15"/>
        </w:rPr>
        <w:t>│                YouTube Music                                     │</w:t>
        <w:br/>
      </w:r>
      <w:r>
        <w:rPr>
          <w:rFonts w:ascii="Consolas" w:hAnsi="Consolas"/>
          <w:color w:val="1A1614"/>
          <w:sz w:val="15"/>
        </w:rPr>
        <w:t>│   in-memory caches keyed on public identifiers only:             │</w:t>
        <w:br/>
      </w:r>
      <w:r>
        <w:rPr>
          <w:rFonts w:ascii="Consolas" w:hAnsi="Consolas"/>
          <w:color w:val="1A1614"/>
          <w:sz w:val="15"/>
        </w:rPr>
        <w:t>│   features[mbid] · youtube[mbid] · candidates[genre] ·           │</w:t>
        <w:br/>
      </w:r>
      <w:r>
        <w:rPr>
          <w:rFonts w:ascii="Consolas" w:hAnsi="Consolas"/>
          <w:color w:val="1A1614"/>
          <w:sz w:val="15"/>
        </w:rPr>
        <w:t>│   artist_tags[artist] · similar_artists[artist]                  │</w:t>
        <w:br/>
      </w:r>
      <w:r>
        <w:rPr>
          <w:rFonts w:ascii="Consolas" w:hAnsi="Consolas"/>
          <w:color w:val="1A1614"/>
          <w:sz w:val="15"/>
        </w:rPr>
        <w:t>└──────────────────────────────────────────────────────────────────┘</w:t>
      </w:r>
    </w:p>
    <w:p>
      <w:r>
        <w:rPr>
          <w:b w:val="0"/>
          <w:i w:val="0"/>
        </w:rPr>
        <w:t xml:space="preserve">The </w:t>
      </w:r>
      <w:r>
        <w:rPr>
          <w:b/>
          <w:i w:val="0"/>
        </w:rPr>
        <w:t>presentation layer</w:t>
      </w:r>
      <w:r>
        <w:rPr>
          <w:b w:val="0"/>
          <w:i w:val="0"/>
        </w:rPr>
        <w:t xml:space="preserve"> is a React 18 and TypeScript single-page application. The browser holds session history, the current track, preferences, feedback, and the day/night theme in </w:t>
      </w:r>
      <w:r>
        <w:rPr>
          <w:rFonts w:ascii="Consolas" w:hAnsi="Consolas"/>
          <w:b w:val="0"/>
          <w:i w:val="0"/>
          <w:sz w:val="20"/>
        </w:rPr>
        <w:t>localStorage</w:t>
      </w:r>
      <w:r>
        <w:rPr>
          <w:b w:val="0"/>
          <w:i w:val="0"/>
        </w:rPr>
        <w:t xml:space="preserve">; the server receives history only when </w:t>
      </w:r>
      <w:r>
        <w:rPr>
          <w:rFonts w:ascii="Consolas" w:hAnsi="Consolas"/>
          <w:b w:val="0"/>
          <w:i w:val="0"/>
          <w:sz w:val="20"/>
        </w:rPr>
        <w:t>/recommend</w:t>
      </w:r>
      <w:r>
        <w:rPr>
          <w:b w:val="0"/>
          <w:i w:val="0"/>
        </w:rPr>
        <w:t xml:space="preserve"> is called, and only for the duration of that call.</w:t>
      </w:r>
    </w:p>
    <w:p>
      <w:r>
        <w:rPr>
          <w:b w:val="0"/>
          <w:i w:val="0"/>
        </w:rPr>
        <w:t xml:space="preserve">The </w:t>
      </w:r>
      <w:r>
        <w:rPr>
          <w:b/>
          <w:i w:val="0"/>
        </w:rPr>
        <w:t>API layer</w:t>
      </w:r>
      <w:r>
        <w:rPr>
          <w:b w:val="0"/>
          <w:i w:val="0"/>
        </w:rPr>
        <w:t xml:space="preserve"> exposes five endpoints. Pydantic v2 validates every request with </w:t>
      </w:r>
      <w:r>
        <w:rPr>
          <w:rFonts w:ascii="Consolas" w:hAnsi="Consolas"/>
          <w:b w:val="0"/>
          <w:i w:val="0"/>
          <w:sz w:val="20"/>
        </w:rPr>
        <w:t>extra="forbid"</w:t>
      </w:r>
      <w:r>
        <w:rPr>
          <w:b w:val="0"/>
          <w:i w:val="0"/>
        </w:rPr>
        <w:t>, so an unrecognised field is rejected instead of silently ignored. That is deliberate for an API meant to be integrated against: silently accepting a misspelled parameter is a debugging trap.</w:t>
      </w:r>
    </w:p>
    <w:p>
      <w:r>
        <w:rPr>
          <w:b w:val="0"/>
          <w:i w:val="0"/>
        </w:rPr>
        <w:t xml:space="preserve">The </w:t>
      </w:r>
      <w:r>
        <w:rPr>
          <w:b/>
          <w:i w:val="0"/>
        </w:rPr>
        <w:t>engine layer</w:t>
      </w:r>
      <w:r>
        <w:rPr>
          <w:b w:val="0"/>
          <w:i w:val="0"/>
        </w:rPr>
        <w:t xml:space="preserve"> runs the three cascade stages within a single request, with no persisted model and no training step. Nothing it computes outlives the response.</w:t>
      </w:r>
    </w:p>
    <w:p>
      <w:r>
        <w:rPr>
          <w:b w:val="0"/>
          <w:i w:val="0"/>
        </w:rPr>
        <w:t xml:space="preserve">The </w:t>
      </w:r>
      <w:r>
        <w:rPr>
          <w:b/>
          <w:i w:val="0"/>
        </w:rPr>
        <w:t>data layer</w:t>
      </w:r>
      <w:r>
        <w:rPr>
          <w:b w:val="0"/>
          <w:i w:val="0"/>
        </w:rPr>
        <w:t xml:space="preserve"> integrates four upstream services and holds the caches. Every cache key is a public identifier, either an MBID, an artist MBID or a genre tag, so cached values are facts about the world and not facts about a caller (Section 5.7).</w:t>
      </w:r>
    </w:p>
    <w:p>
      <w:pPr>
        <w:pStyle w:val="Heading2"/>
      </w:pPr>
      <w:r>
        <w:t>3.4 The two-identifier resolution model</w:t>
      </w:r>
    </w:p>
    <w:p>
      <w:r>
        <w:rPr>
          <w:b w:val="0"/>
          <w:i w:val="0"/>
        </w:rPr>
        <w:t xml:space="preserve">Moving search to YouTube Music introduced a design problem the preliminary report did not anticipate. Search results and Today's Top 5 carry a </w:t>
      </w:r>
      <w:r>
        <w:rPr>
          <w:b w:val="0"/>
          <w:i/>
        </w:rPr>
        <w:t>YouTube video id</w:t>
      </w:r>
      <w:r>
        <w:rPr>
          <w:b w:val="0"/>
          <w:i w:val="0"/>
        </w:rPr>
        <w:t xml:space="preserve">, but the engine needs a </w:t>
      </w:r>
      <w:r>
        <w:rPr>
          <w:b w:val="0"/>
          <w:i/>
        </w:rPr>
        <w:t>MusicBrainz id</w:t>
      </w:r>
      <w:r>
        <w:rPr>
          <w:b w:val="0"/>
          <w:i w:val="0"/>
        </w:rPr>
        <w:t xml:space="preserve"> to look up genre, acoustic, and collaborative data.</w:t>
      </w:r>
    </w:p>
    <w:p>
      <w:r>
        <w:rPr>
          <w:b w:val="0"/>
          <w:i w:val="0"/>
        </w:rPr>
        <w:t xml:space="preserve">NextTrack resolves this with a lazy two-identifier model (Figure 2). A search result plays immediately from its YouTube id. Only when the user actually plays it does the client call </w:t>
      </w:r>
      <w:r>
        <w:rPr>
          <w:rFonts w:ascii="Consolas" w:hAnsi="Consolas"/>
          <w:b w:val="0"/>
          <w:i w:val="0"/>
          <w:sz w:val="20"/>
        </w:rPr>
        <w:t>POST /resolve</w:t>
      </w:r>
      <w:r>
        <w:rPr>
          <w:b w:val="0"/>
          <w:i w:val="0"/>
        </w:rPr>
        <w:t>, which issues a fielded MusicBrainz query (</w:t>
      </w:r>
      <w:r>
        <w:rPr>
          <w:rFonts w:ascii="Consolas" w:hAnsi="Consolas"/>
          <w:b w:val="0"/>
          <w:i w:val="0"/>
          <w:sz w:val="20"/>
        </w:rPr>
        <w:t>recording:"…" AND artist:"…"</w:t>
      </w:r>
      <w:r>
        <w:rPr>
          <w:b w:val="0"/>
          <w:i w:val="0"/>
        </w:rPr>
        <w:t xml:space="preserve">) to pin the official recording instead of accepting a free-text match. The resolved MBID then replaces the YouTube id in that history entry. Entries that fail to resolve still play, but they are excluded from the next </w:t>
      </w:r>
      <w:r>
        <w:rPr>
          <w:rFonts w:ascii="Consolas" w:hAnsi="Consolas"/>
          <w:b w:val="0"/>
          <w:i w:val="0"/>
          <w:sz w:val="20"/>
        </w:rPr>
        <w:t>/recommend</w:t>
      </w:r>
      <w:r>
        <w:rPr>
          <w:b w:val="0"/>
          <w:i w:val="0"/>
        </w:rPr>
        <w:t xml:space="preserve"> call, since only a valid MBID can seed one. A recommendation response already carries its own MBID, so continuing to listen never triggers another resolve. Only the entry point does.</w:t>
      </w:r>
    </w:p>
    <w:p>
      <w:pPr>
        <w:spacing w:before="80" w:after="280"/>
        <w:jc w:val="center"/>
      </w:pPr>
      <w:r>
        <w:rPr>
          <w:b/>
          <w:i w:val="0"/>
          <w:color w:val="5A524C"/>
          <w:sz w:val="18"/>
        </w:rPr>
        <w:t>Figure 2. The two-identifier resolution flow.</w:t>
      </w:r>
    </w:p>
    <w:p>
      <w:pPr>
        <w:keepLines/>
        <w:spacing w:before="160" w:after="200" w:line="240" w:lineRule="auto"/>
        <w:ind w:left="170"/>
        <w:shd w:val="clear" w:color="auto" w:fill="F7F4F0"/>
        <w:pBdr>
          <w:left w:val="single" w:sz="12" w:space="4" w:color="D8CFC4"/>
        </w:pBdr>
      </w:pPr>
      <w:r>
        <w:rPr>
          <w:rFonts w:ascii="Consolas" w:hAnsi="Consolas"/>
          <w:color w:val="1A1614"/>
          <w:sz w:val="15"/>
        </w:rPr>
        <w:t xml:space="preserve">  search / Top 5 ──► YouTube video id ──► plays immediately</w:t>
        <w:br/>
      </w:r>
      <w:r>
        <w:rPr>
          <w:rFonts w:ascii="Consolas" w:hAnsi="Consolas"/>
          <w:color w:val="1A1614"/>
          <w:sz w:val="15"/>
        </w:rPr>
        <w:t xml:space="preserve">                            │</w:t>
        <w:br/>
      </w:r>
      <w:r>
        <w:rPr>
          <w:rFonts w:ascii="Consolas" w:hAnsi="Consolas"/>
          <w:color w:val="1A1614"/>
          <w:sz w:val="15"/>
        </w:rPr>
        <w:t xml:space="preserve">                     user presses play</w:t>
        <w:br/>
      </w:r>
      <w:r>
        <w:rPr>
          <w:rFonts w:ascii="Consolas" w:hAnsi="Consolas"/>
          <w:color w:val="1A1614"/>
          <w:sz w:val="15"/>
        </w:rPr>
        <w:t xml:space="preserve">                            │</w:t>
        <w:br/>
      </w:r>
      <w:r>
        <w:rPr>
          <w:rFonts w:ascii="Consolas" w:hAnsi="Consolas"/>
          <w:color w:val="1A1614"/>
          <w:sz w:val="15"/>
        </w:rPr>
        <w:t xml:space="preserve">                            ▼</w:t>
        <w:br/>
      </w:r>
      <w:r>
        <w:rPr>
          <w:rFonts w:ascii="Consolas" w:hAnsi="Consolas"/>
          <w:color w:val="1A1614"/>
          <w:sz w:val="15"/>
        </w:rPr>
        <w:t xml:space="preserve">                   POST /resolve {title, artist}</w:t>
        <w:br/>
      </w:r>
      <w:r>
        <w:rPr>
          <w:rFonts w:ascii="Consolas" w:hAnsi="Consolas"/>
          <w:color w:val="1A1614"/>
          <w:sz w:val="15"/>
        </w:rPr>
        <w:t xml:space="preserve">                            │</w:t>
        <w:br/>
      </w:r>
      <w:r>
        <w:rPr>
          <w:rFonts w:ascii="Consolas" w:hAnsi="Consolas"/>
          <w:color w:val="1A1614"/>
          <w:sz w:val="15"/>
        </w:rPr>
        <w:t xml:space="preserve">              fielded MusicBrainz query pins the</w:t>
        <w:br/>
      </w:r>
      <w:r>
        <w:rPr>
          <w:rFonts w:ascii="Consolas" w:hAnsi="Consolas"/>
          <w:color w:val="1A1614"/>
          <w:sz w:val="15"/>
        </w:rPr>
        <w:t xml:space="preserve">              official recording (not a cover)</w:t>
        <w:br/>
      </w:r>
      <w:r>
        <w:rPr>
          <w:rFonts w:ascii="Consolas" w:hAnsi="Consolas"/>
          <w:color w:val="1A1614"/>
          <w:sz w:val="15"/>
        </w:rPr>
        <w:t xml:space="preserve">                            │</w:t>
        <w:br/>
      </w:r>
      <w:r>
        <w:rPr>
          <w:rFonts w:ascii="Consolas" w:hAnsi="Consolas"/>
          <w:color w:val="1A1614"/>
          <w:sz w:val="15"/>
        </w:rPr>
        <w:t xml:space="preserve">              ┌─────────────┴──────────────┐</w:t>
        <w:br/>
      </w:r>
      <w:r>
        <w:rPr>
          <w:rFonts w:ascii="Consolas" w:hAnsi="Consolas"/>
          <w:color w:val="1A1614"/>
          <w:sz w:val="15"/>
        </w:rPr>
        <w:t xml:space="preserve">              ▼                            ▼</w:t>
        <w:br/>
      </w:r>
      <w:r>
        <w:rPr>
          <w:rFonts w:ascii="Consolas" w:hAnsi="Consolas"/>
          <w:color w:val="1A1614"/>
          <w:sz w:val="15"/>
        </w:rPr>
        <w:t xml:space="preserve">        MBID found                   no match</w:t>
        <w:br/>
      </w:r>
      <w:r>
        <w:rPr>
          <w:rFonts w:ascii="Consolas" w:hAnsi="Consolas"/>
          <w:color w:val="1A1614"/>
          <w:sz w:val="15"/>
        </w:rPr>
        <w:t xml:space="preserve">   replaces the YouTube id      still plays; excluded</w:t>
        <w:br/>
      </w:r>
      <w:r>
        <w:rPr>
          <w:rFonts w:ascii="Consolas" w:hAnsi="Consolas"/>
          <w:color w:val="1A1614"/>
          <w:sz w:val="15"/>
        </w:rPr>
        <w:t xml:space="preserve">   in the history entry         from /recommend seeding</w:t>
        <w:br/>
      </w:r>
      <w:r>
        <w:rPr>
          <w:rFonts w:ascii="Consolas" w:hAnsi="Consolas"/>
          <w:color w:val="1A1614"/>
          <w:sz w:val="15"/>
        </w:rPr>
        <w:t xml:space="preserve">              │</w:t>
        <w:br/>
      </w:r>
      <w:r>
        <w:rPr>
          <w:rFonts w:ascii="Consolas" w:hAnsi="Consolas"/>
          <w:color w:val="1A1614"/>
          <w:sz w:val="15"/>
        </w:rPr>
        <w:t xml:space="preserve">              ▼</w:t>
        <w:br/>
      </w:r>
      <w:r>
        <w:rPr>
          <w:rFonts w:ascii="Consolas" w:hAnsi="Consolas"/>
          <w:color w:val="1A1614"/>
          <w:sz w:val="15"/>
        </w:rPr>
        <w:t xml:space="preserve">        POST /recommend ──► response already carries an MBID,</w:t>
        <w:br/>
      </w:r>
      <w:r>
        <w:rPr>
          <w:rFonts w:ascii="Consolas" w:hAnsi="Consolas"/>
          <w:color w:val="1A1614"/>
          <w:sz w:val="15"/>
        </w:rPr>
        <w:t xml:space="preserve">                            so the loop needs no further resolve</w:t>
      </w:r>
    </w:p>
    <w:p>
      <w:r>
        <w:rPr>
          <w:b w:val="0"/>
          <w:i w:val="0"/>
        </w:rPr>
        <w:t>Laziness here is deliberate. Resolving every search result up front would spend a rate-limited MusicBrainz request per result on tracks the user will never play. At 1 req/sec that is the difference between a search returning in under a second and one taking ten.</w:t>
      </w:r>
    </w:p>
    <w:p>
      <w:pPr>
        <w:pStyle w:val="Heading2"/>
      </w:pPr>
      <w:r>
        <w:t>3.5 The recommendation pipeline</w:t>
      </w:r>
    </w:p>
    <w:p>
      <w:r>
        <w:rPr>
          <w:b/>
          <w:i w:val="0"/>
        </w:rPr>
        <w:t>Stage 1 — content.</w:t>
      </w:r>
      <w:r>
        <w:rPr>
          <w:b w:val="0"/>
          <w:i w:val="0"/>
        </w:rPr>
        <w:t xml:space="preserve"> Each track becomes a vector: 16 fixed acoustic dimensions (tempo normalised over 40–200 BPM, a 12-dimension one-hot pitch class with enharmonic flats mapped to sharps, a major/minor flag, clamped energy and loudness) concatenated with a sparse genre TF-IDF block. The history vectors are averaged into a session centroid, and candidates are ranked by cosine similarity to it.</w:t>
      </w:r>
    </w:p>
    <w:p>
      <w:r>
        <w:rPr>
          <w:b w:val="0"/>
          <w:i w:val="0"/>
        </w:rPr>
        <w:t xml:space="preserve">The genre vocabulary is </w:t>
      </w:r>
      <w:r>
        <w:rPr>
          <w:b/>
          <w:i w:val="0"/>
        </w:rPr>
        <w:t>rebuilt per request</w:t>
      </w:r>
      <w:r>
        <w:rPr>
          <w:b w:val="0"/>
          <w:i w:val="0"/>
        </w:rPr>
        <w:t>, scoped to the genres present in that request's history and candidates. This follows directly from R1 and is not an oversight. A persistent global vocabulary would be shared mutable server state, through which one request could, however faintly, influence another's feature space. The cost is that vector dimensionality varies between requests. The benefit is that every recommendation is reproducible from its own inputs alone.</w:t>
      </w:r>
    </w:p>
    <w:p>
      <w:r>
        <w:rPr>
          <w:b/>
          <w:i w:val="0"/>
        </w:rPr>
        <w:t>Stage 2 — aggregate collaborative.</w:t>
      </w:r>
      <w:r>
        <w:rPr>
          <w:b w:val="0"/>
          <w:i w:val="0"/>
        </w:rPr>
        <w:t xml:space="preserve"> Each history track's artist MBID goes to ListenBrainz, which returns the artists that the ListenBrainz population co-listens with that artist. Those scores are raw co-occurrence counts, and their magnitude depends on the reference artist's popularity. Each list is therefore normalised against its own maximum before merging, and an artist matching several history artists takes the strongest normalised score instead of the sum. That keeps affinity bounded in [0, 1] and stops a broadly popular artist accumulating an unbounded advantage.</w:t>
      </w:r>
    </w:p>
    <w:p>
      <w:r>
        <w:rPr>
          <w:b w:val="0"/>
          <w:i w:val="0"/>
        </w:rPr>
        <w:t xml:space="preserve">The blend is </w:t>
      </w:r>
      <w:r>
        <w:rPr>
          <w:rFonts w:ascii="Consolas" w:hAnsi="Consolas"/>
          <w:b w:val="0"/>
          <w:i w:val="0"/>
          <w:sz w:val="20"/>
        </w:rPr>
        <w:t>(1 − w)·content + w·collaborative</w:t>
      </w:r>
      <w:r>
        <w:rPr>
          <w:b w:val="0"/>
          <w:i w:val="0"/>
        </w:rPr>
        <w:t xml:space="preserve"> with </w:t>
      </w:r>
      <w:r>
        <w:rPr>
          <w:rFonts w:ascii="Consolas" w:hAnsi="Consolas"/>
          <w:b w:val="0"/>
          <w:i w:val="0"/>
          <w:sz w:val="20"/>
        </w:rPr>
        <w:t>w = 0.3</w:t>
      </w:r>
      <w:r>
        <w:rPr>
          <w:b w:val="0"/>
          <w:i w:val="0"/>
        </w:rPr>
        <w:t xml:space="preserve">, applied </w:t>
      </w:r>
      <w:r>
        <w:rPr>
          <w:b/>
          <w:i w:val="0"/>
        </w:rPr>
        <w:t>only where collaborative evidence exists</w:t>
      </w:r>
      <w:r>
        <w:rPr>
          <w:b w:val="0"/>
          <w:i w:val="0"/>
        </w:rPr>
        <w:t xml:space="preserve">. With no evidence the content score passes through unchanged. Always applying the blend would scale every unmatched candidate by </w:t>
      </w:r>
      <w:r>
        <w:rPr>
          <w:rFonts w:ascii="Consolas" w:hAnsi="Consolas"/>
          <w:b w:val="0"/>
          <w:i w:val="0"/>
          <w:sz w:val="20"/>
        </w:rPr>
        <w:t>(1 − w)</w:t>
      </w:r>
      <w:r>
        <w:rPr>
          <w:b w:val="0"/>
          <w:i w:val="0"/>
        </w:rPr>
        <w:t>, a uniform rescaling that changes nothing about relative order but deflates the confidence score shown to the user. Given partial ListenBrainz coverage, that would have made most scores quietly meaningless.</w:t>
      </w:r>
    </w:p>
    <w:p>
      <w:r>
        <w:rPr>
          <w:b/>
          <w:i w:val="0"/>
        </w:rPr>
        <w:t>Stage 3 — diversity.</w:t>
      </w:r>
      <w:r>
        <w:rPr>
          <w:b w:val="0"/>
          <w:i w:val="0"/>
        </w:rPr>
        <w:t xml:space="preserve"> Maximal Marginal Relevance (Carbonell and Goldstein, 1998) greedily selects by </w:t>
      </w:r>
      <w:r>
        <w:rPr>
          <w:rFonts w:ascii="Consolas" w:hAnsi="Consolas"/>
          <w:b w:val="0"/>
          <w:i w:val="0"/>
          <w:sz w:val="20"/>
        </w:rPr>
        <w:t>λ·rel(c) − (1 − λ)·max_{s∈S} sim(c, s)</w:t>
      </w:r>
      <w:r>
        <w:rPr>
          <w:b w:val="0"/>
          <w:i w:val="0"/>
        </w:rPr>
        <w:t xml:space="preserve">, with </w:t>
      </w:r>
      <w:r>
        <w:rPr>
          <w:rFonts w:ascii="Consolas" w:hAnsi="Consolas"/>
          <w:b w:val="0"/>
          <w:i w:val="0"/>
          <w:sz w:val="20"/>
        </w:rPr>
        <w:t>λ = 0.7</w:t>
      </w:r>
      <w:r>
        <w:rPr>
          <w:b w:val="0"/>
          <w:i w:val="0"/>
        </w:rPr>
        <w:t xml:space="preserve">. The design decision here is what goes into </w:t>
      </w:r>
      <w:r>
        <w:rPr>
          <w:rFonts w:ascii="Consolas" w:hAnsi="Consolas"/>
          <w:b w:val="0"/>
          <w:i w:val="0"/>
          <w:sz w:val="20"/>
        </w:rPr>
        <w:t>S</w:t>
      </w:r>
      <w:r>
        <w:rPr>
          <w:b w:val="0"/>
          <w:i w:val="0"/>
        </w:rPr>
        <w:t xml:space="preserve">. Classical MMR starts with </w:t>
      </w:r>
      <w:r>
        <w:rPr>
          <w:rFonts w:ascii="Consolas" w:hAnsi="Consolas"/>
          <w:b w:val="0"/>
          <w:i w:val="0"/>
          <w:sz w:val="20"/>
        </w:rPr>
        <w:t>S</w:t>
      </w:r>
      <w:r>
        <w:rPr>
          <w:b w:val="0"/>
          <w:i w:val="0"/>
        </w:rPr>
        <w:t xml:space="preserve"> empty, but a next-track recommender emits one item, so an empty </w:t>
      </w:r>
      <w:r>
        <w:rPr>
          <w:rFonts w:ascii="Consolas" w:hAnsi="Consolas"/>
          <w:b w:val="0"/>
          <w:i w:val="0"/>
          <w:sz w:val="20"/>
        </w:rPr>
        <w:t>S</w:t>
      </w:r>
      <w:r>
        <w:rPr>
          <w:b w:val="0"/>
          <w:i w:val="0"/>
        </w:rPr>
        <w:t xml:space="preserve"> reduces MMR to plain relevance ranking and changes nothing. NextTrack therefore </w:t>
      </w:r>
      <w:r>
        <w:rPr>
          <w:b/>
          <w:i w:val="0"/>
        </w:rPr>
        <w:t xml:space="preserve">seeds </w:t>
      </w:r>
      <w:r>
        <w:rPr>
          <w:rFonts w:ascii="Consolas" w:hAnsi="Consolas"/>
          <w:b/>
          <w:i w:val="0"/>
          <w:sz w:val="20"/>
        </w:rPr>
        <w:t>S</w:t>
      </w:r>
      <w:r>
        <w:rPr>
          <w:b/>
          <w:i w:val="0"/>
        </w:rPr>
        <w:t xml:space="preserve"> with the listening history</w:t>
      </w:r>
      <w:r>
        <w:rPr>
          <w:b w:val="0"/>
          <w:i w:val="0"/>
        </w:rPr>
        <w:t xml:space="preserve">. The redundancy term then measures how close a candidate is to music the listener has just heard, which is exactly the over-specialisation Lops et al. (2011) predict. Setting </w:t>
      </w:r>
      <w:r>
        <w:rPr>
          <w:rFonts w:ascii="Consolas" w:hAnsi="Consolas"/>
          <w:b w:val="0"/>
          <w:i w:val="0"/>
          <w:sz w:val="20"/>
        </w:rPr>
        <w:t>λ = 1</w:t>
      </w:r>
      <w:r>
        <w:rPr>
          <w:b w:val="0"/>
          <w:i w:val="0"/>
        </w:rPr>
        <w:t xml:space="preserve"> recovers pure relevance ranking, and that is how the ablation in Section 5.5 disables the stage without a separate code path.</w:t>
      </w:r>
    </w:p>
    <w:p>
      <w:pPr>
        <w:pStyle w:val="Heading2"/>
      </w:pPr>
      <w:r>
        <w:t>3.6 Design decisions and alternatives considered</w:t>
      </w:r>
    </w:p>
    <w:p>
      <w:r>
        <w:rPr>
          <w:b/>
          <w:i w:val="0"/>
        </w:rPr>
        <w:t>Cascade over weighted hybrid.</w:t>
      </w:r>
      <w:r>
        <w:rPr>
          <w:b w:val="0"/>
          <w:i w:val="0"/>
        </w:rPr>
        <w:t xml:space="preserve"> A weighted hybrid would let the collaborative signal contribute everywhere rather than only as a re-rank, but needs per-user vectors to weight against. The cascade preserves R1.</w:t>
      </w:r>
    </w:p>
    <w:p>
      <w:r>
        <w:rPr>
          <w:b/>
          <w:i w:val="0"/>
        </w:rPr>
        <w:t>ListenBrainz over Last.fm</w:t>
      </w:r>
      <w:r>
        <w:rPr>
          <w:b w:val="0"/>
          <w:i w:val="0"/>
        </w:rPr>
        <w:t xml:space="preserve"> (Section 2.3): the requirement was aggregate collaborative evidence, not a particular vendor.</w:t>
      </w:r>
    </w:p>
    <w:p>
      <w:r>
        <w:rPr>
          <w:b/>
          <w:i w:val="0"/>
        </w:rPr>
        <w:t>Artist-level over track-level collaborative similarity.</w:t>
      </w:r>
      <w:r>
        <w:rPr>
          <w:b w:val="0"/>
          <w:i w:val="0"/>
        </w:rPr>
        <w:t xml:space="preserve"> I implemented and tested track-level similarity first. It returned empty results for most seeds in this catalogue. Artist-level similarity resolves for essentially any charting artist and captures the same cross-genre audience overlap. Measurement decided this one, not preference.</w:t>
      </w:r>
    </w:p>
    <w:p>
      <w:r>
        <w:rPr>
          <w:b/>
          <w:i w:val="0"/>
        </w:rPr>
        <w:t>Caching the candidate pool.</w:t>
      </w:r>
      <w:r>
        <w:rPr>
          <w:b w:val="0"/>
          <w:i w:val="0"/>
        </w:rPr>
        <w:t xml:space="preserve"> The preliminary design had no candidate cache. I added one after measurement showed MusicBrainz's tag search returns a different result set on every call, breaking R4 (Sections 4.7, 5.6). Accepting the non-determinism was the alternative, and I rejected it because reproducibility is a substantial part of what a stateless API offers.</w:t>
      </w:r>
    </w:p>
    <w:p>
      <w:r>
        <w:rPr>
          <w:b/>
          <w:i w:val="0"/>
        </w:rPr>
        <w:t>Bulk acoustic fetching.</w:t>
      </w:r>
      <w:r>
        <w:rPr>
          <w:b w:val="0"/>
          <w:i w:val="0"/>
        </w:rPr>
        <w:t xml:space="preserve"> Resolving ~50 candidates individually meant roughly a hundred concurrent requests to a single decommissioned host and dominated cold-request latency. AcousticBrainz's bulk endpoints reduce this to four requests.</w:t>
      </w:r>
    </w:p>
    <w:p>
      <w:r>
        <w:rPr>
          <w:b/>
          <w:i w:val="0"/>
        </w:rPr>
        <w:t>Rejecting Redis.</w:t>
      </w:r>
      <w:r>
        <w:rPr>
          <w:b w:val="0"/>
          <w:i w:val="0"/>
        </w:rPr>
        <w:t xml:space="preserve"> Marked in the code as deferred, and left deferred. The in-memory caches already deliver, within one process, the latency and determinism benefits Redis was wanted for. A distributed cache is a scaling concern, not a correctness one, and adding it would have introduced a persistent store into a project whose premise is not having one.</w:t>
      </w:r>
    </w:p>
    <w:p>
      <w:pPr>
        <w:pStyle w:val="Heading2"/>
      </w:pPr>
      <w:r>
        <w:t>3.7 Changes since the draft design</w:t>
      </w:r>
    </w:p>
    <w:p>
      <w:r>
        <w:rPr>
          <w:b w:val="0"/>
          <w:i w:val="0"/>
        </w:rPr>
        <w:t>Four substantive changes, all driven by evidence rather than preference:</w:t>
      </w:r>
    </w:p>
    <w:p>
      <w:pPr>
        <w:pStyle w:val="ListNumber"/>
        <w:spacing w:after="80"/>
      </w:pPr>
      <w:r>
        <w:rPr>
          <w:b/>
          <w:i w:val="0"/>
        </w:rPr>
        <w:t>Stages 2 and 3 built.</w:t>
      </w:r>
      <w:r>
        <w:rPr>
          <w:b w:val="0"/>
          <w:i w:val="0"/>
        </w:rPr>
        <w:t xml:space="preserve"> The draft marked both as planned. Both now run, and each is independently ablatable through a </w:t>
      </w:r>
      <w:r>
        <w:rPr>
          <w:rFonts w:ascii="Consolas" w:hAnsi="Consolas"/>
          <w:b w:val="0"/>
          <w:i w:val="0"/>
          <w:sz w:val="20"/>
        </w:rPr>
        <w:t>PipelineConfig</w:t>
      </w:r>
      <w:r>
        <w:rPr>
          <w:b w:val="0"/>
          <w:i w:val="0"/>
        </w:rPr>
        <w:t xml:space="preserve"> the API never varies and the evaluation harness does.</w:t>
      </w:r>
    </w:p>
    <w:p>
      <w:pPr>
        <w:pStyle w:val="ListNumber"/>
        <w:spacing w:after="80"/>
      </w:pPr>
      <w:r>
        <w:rPr>
          <w:b/>
          <w:i w:val="0"/>
        </w:rPr>
        <w:t>A fourth upstream source.</w:t>
      </w:r>
      <w:r>
        <w:rPr>
          <w:b w:val="0"/>
          <w:i w:val="0"/>
        </w:rPr>
        <w:t xml:space="preserve"> ListenBrainz joins MusicBrainz, AcousticBrainz and YouTube Music, and is reported on </w:t>
      </w:r>
      <w:r>
        <w:rPr>
          <w:rFonts w:ascii="Consolas" w:hAnsi="Consolas"/>
          <w:b w:val="0"/>
          <w:i w:val="0"/>
          <w:sz w:val="20"/>
        </w:rPr>
        <w:t>/health</w:t>
      </w:r>
      <w:r>
        <w:rPr>
          <w:b w:val="0"/>
          <w:i w:val="0"/>
        </w:rPr>
        <w:t xml:space="preserve"> alongside them.</w:t>
      </w:r>
    </w:p>
    <w:p>
      <w:pPr>
        <w:pStyle w:val="ListNumber"/>
        <w:spacing w:after="80"/>
      </w:pPr>
      <w:r>
        <w:rPr>
          <w:b/>
          <w:i w:val="0"/>
        </w:rPr>
        <w:t>Candidate-pool caching</w:t>
      </w:r>
      <w:r>
        <w:rPr>
          <w:b w:val="0"/>
          <w:i w:val="0"/>
        </w:rPr>
        <w:t>, promoted from an optimisation to a correctness mechanism once R4 was found to be violated.</w:t>
      </w:r>
    </w:p>
    <w:p>
      <w:pPr>
        <w:pStyle w:val="ListNumber"/>
        <w:spacing w:after="80"/>
      </w:pPr>
      <w:r>
        <w:rPr>
          <w:b/>
          <w:i w:val="0"/>
        </w:rPr>
        <w:t>Bulk acoustic retrieval</w:t>
      </w:r>
      <w:r>
        <w:rPr>
          <w:b w:val="0"/>
          <w:i w:val="0"/>
        </w:rPr>
        <w:t>, replacing per-candidate fetching.</w:t>
      </w:r>
    </w:p>
    <w:p>
      <w:r>
        <w:rPr>
          <w:b w:val="0"/>
          <w:i w:val="0"/>
        </w:rPr>
        <w:t>The engine described here is the engine that runs. Where the design and the implementation differ in any respect, Chapter 4 says so.</w:t>
      </w:r>
    </w:p>
    <w:p>
      <w:r>
        <w:br w:type="page"/>
      </w:r>
    </w:p>
    <w:p>
      <w:pPr>
        <w:pStyle w:val="Heading1"/>
        <w:pBdr>
          <w:bottom w:val="single" w:sz="6" w:space="4" w:color="C9BFB4"/>
        </w:pBdr>
      </w:pPr>
      <w:r>
        <w:t>Chapter 4: Implementation</w:t>
      </w:r>
    </w:p>
    <w:p>
      <w:pPr>
        <w:pStyle w:val="Heading2"/>
      </w:pPr>
      <w:r>
        <w:t>4.1 Technology choices</w:t>
      </w:r>
    </w:p>
    <w:p>
      <w:r>
        <w:rPr>
          <w:b w:val="0"/>
          <w:i w:val="0"/>
        </w:rPr>
        <w:t xml:space="preserve">The backend is Python 3.12 with FastAPI, uvicorn, Pydantic v2, NumPy, scikit-learn, httpx, </w:t>
      </w:r>
      <w:r>
        <w:rPr>
          <w:rFonts w:ascii="Consolas" w:hAnsi="Consolas"/>
          <w:b w:val="0"/>
          <w:i w:val="0"/>
          <w:sz w:val="20"/>
        </w:rPr>
        <w:t>musicbrainzngs</w:t>
      </w:r>
      <w:r>
        <w:rPr>
          <w:b w:val="0"/>
          <w:i w:val="0"/>
        </w:rPr>
        <w:t xml:space="preserve">, </w:t>
      </w:r>
      <w:r>
        <w:rPr>
          <w:rFonts w:ascii="Consolas" w:hAnsi="Consolas"/>
          <w:b w:val="0"/>
          <w:i w:val="0"/>
          <w:sz w:val="20"/>
        </w:rPr>
        <w:t>ytmusicapi</w:t>
      </w:r>
      <w:r>
        <w:rPr>
          <w:b w:val="0"/>
          <w:i w:val="0"/>
        </w:rPr>
        <w:t xml:space="preserve"> and </w:t>
      </w:r>
      <w:r>
        <w:rPr>
          <w:rFonts w:ascii="Consolas" w:hAnsi="Consolas"/>
          <w:b w:val="0"/>
          <w:i w:val="0"/>
          <w:sz w:val="20"/>
        </w:rPr>
        <w:t>python-dotenv</w:t>
      </w:r>
      <w:r>
        <w:rPr>
          <w:b w:val="0"/>
          <w:i w:val="0"/>
        </w:rPr>
        <w:t>. I chose FastAPI for three properties this project needs together: validation from type annotations, OpenAPI documentation generated from those same annotations (which satisfies Objective 3 without a parallel spec to keep in sync), and native async handling. The last matters because a single recommendation fans out to four independent external services.</w:t>
      </w:r>
    </w:p>
    <w:p>
      <w:r>
        <w:rPr>
          <w:rFonts w:ascii="Consolas" w:hAnsi="Consolas"/>
          <w:b w:val="0"/>
          <w:i w:val="0"/>
          <w:sz w:val="20"/>
        </w:rPr>
        <w:t>musicbrainzngs</w:t>
      </w:r>
      <w:r>
        <w:rPr>
          <w:b w:val="0"/>
          <w:i w:val="0"/>
        </w:rPr>
        <w:t xml:space="preserve"> and </w:t>
      </w:r>
      <w:r>
        <w:rPr>
          <w:rFonts w:ascii="Consolas" w:hAnsi="Consolas"/>
          <w:b w:val="0"/>
          <w:i w:val="0"/>
          <w:sz w:val="20"/>
        </w:rPr>
        <w:t>ytmusicapi</w:t>
      </w:r>
      <w:r>
        <w:rPr>
          <w:b w:val="0"/>
          <w:i w:val="0"/>
        </w:rPr>
        <w:t xml:space="preserve"> are both synchronous, so every call into them is wrapped in </w:t>
      </w:r>
      <w:r>
        <w:rPr>
          <w:rFonts w:ascii="Consolas" w:hAnsi="Consolas"/>
          <w:b w:val="0"/>
          <w:i w:val="0"/>
          <w:sz w:val="20"/>
        </w:rPr>
        <w:t>asyncio.to_thread</w:t>
      </w:r>
      <w:r>
        <w:rPr>
          <w:b w:val="0"/>
          <w:i w:val="0"/>
        </w:rPr>
        <w:t xml:space="preserve">. AcousticBrainz and ListenBrainz are reached through async </w:t>
      </w:r>
      <w:r>
        <w:rPr>
          <w:rFonts w:ascii="Consolas" w:hAnsi="Consolas"/>
          <w:b w:val="0"/>
          <w:i w:val="0"/>
          <w:sz w:val="20"/>
        </w:rPr>
        <w:t>httpx</w:t>
      </w:r>
      <w:r>
        <w:rPr>
          <w:b w:val="0"/>
          <w:i w:val="0"/>
        </w:rPr>
        <w:t xml:space="preserve"> directly. That mixed model is why the concurrency work in Section 4.5 was necessary.</w:t>
      </w:r>
    </w:p>
    <w:p>
      <w:r>
        <w:rPr>
          <w:b w:val="0"/>
          <w:i w:val="0"/>
        </w:rPr>
        <w:t xml:space="preserve">The frontend is React 18, TypeScript, Vite, Tailwind CSS, </w:t>
      </w:r>
      <w:r>
        <w:rPr>
          <w:rFonts w:ascii="Consolas" w:hAnsi="Consolas"/>
          <w:b w:val="0"/>
          <w:i w:val="0"/>
          <w:sz w:val="20"/>
        </w:rPr>
        <w:t>react-youtube</w:t>
      </w:r>
      <w:r>
        <w:rPr>
          <w:b w:val="0"/>
          <w:i w:val="0"/>
        </w:rPr>
        <w:t xml:space="preserve">, and </w:t>
      </w:r>
      <w:r>
        <w:rPr>
          <w:rFonts w:ascii="Consolas" w:hAnsi="Consolas"/>
          <w:b w:val="0"/>
          <w:i w:val="0"/>
          <w:sz w:val="20"/>
        </w:rPr>
        <w:t>lucide-react</w:t>
      </w:r>
      <w:r>
        <w:rPr>
          <w:b w:val="0"/>
          <w:i w:val="0"/>
        </w:rPr>
        <w:t>, with a deliberately non-generic visual identity (Section 4.9).</w:t>
      </w:r>
    </w:p>
    <w:p>
      <w:pPr>
        <w:pStyle w:val="Heading2"/>
      </w:pPr>
      <w:r>
        <w:t>4.2 The request pipeline</w:t>
      </w:r>
    </w:p>
    <w:p>
      <w:r>
        <w:rPr>
          <w:rFonts w:ascii="Consolas" w:hAnsi="Consolas"/>
          <w:b w:val="0"/>
          <w:i w:val="0"/>
          <w:sz w:val="20"/>
        </w:rPr>
        <w:t>POST /recommend</w:t>
      </w:r>
      <w:r>
        <w:rPr>
          <w:b w:val="0"/>
          <w:i w:val="0"/>
        </w:rPr>
        <w:t xml:space="preserve"> executes the steps in Figure 3, none of which reads or writes state that outlives the request.</w:t>
      </w:r>
    </w:p>
    <w:p>
      <w:pPr>
        <w:spacing w:before="80" w:after="280"/>
        <w:jc w:val="center"/>
      </w:pPr>
      <w:r>
        <w:rPr>
          <w:b/>
          <w:i w:val="0"/>
          <w:color w:val="5A524C"/>
          <w:sz w:val="18"/>
        </w:rPr>
        <w:t xml:space="preserve">Figure 3. The seven-step pipeline inside a single </w:t>
      </w:r>
      <w:r>
        <w:rPr>
          <w:rFonts w:ascii="Consolas" w:hAnsi="Consolas"/>
          <w:b/>
          <w:i w:val="0"/>
          <w:color w:val="5A524C"/>
          <w:sz w:val="17"/>
        </w:rPr>
        <w:t>POST /recommend</w:t>
      </w:r>
      <w:r>
        <w:rPr>
          <w:b/>
          <w:i w:val="0"/>
          <w:color w:val="5A524C"/>
          <w:sz w:val="18"/>
        </w:rPr>
        <w:t>.</w:t>
      </w:r>
    </w:p>
    <w:p>
      <w:pPr>
        <w:keepLines/>
        <w:spacing w:before="160" w:after="200" w:line="240" w:lineRule="auto"/>
        <w:ind w:left="170"/>
        <w:shd w:val="clear" w:color="auto" w:fill="F7F4F0"/>
        <w:pBdr>
          <w:left w:val="single" w:sz="12" w:space="4" w:color="D8CFC4"/>
        </w:pBdr>
      </w:pPr>
      <w:r>
        <w:rPr>
          <w:rFonts w:ascii="Consolas" w:hAnsi="Consolas"/>
          <w:color w:val="1A1614"/>
          <w:sz w:val="15"/>
        </w:rPr>
        <w:t>1  resolve history        asyncio.gather over MBIDs → MusicBrainz + AcousticBrainz</w:t>
        <w:br/>
      </w:r>
      <w:r>
        <w:rPr>
          <w:rFonts w:ascii="Consolas" w:hAnsi="Consolas"/>
          <w:color w:val="1A1614"/>
          <w:sz w:val="15"/>
        </w:rPr>
        <w:t xml:space="preserve">                          (cache hit skips both)</w:t>
        <w:br/>
      </w:r>
      <w:r>
        <w:rPr>
          <w:rFonts w:ascii="Consolas" w:hAnsi="Consolas"/>
          <w:color w:val="1A1614"/>
          <w:sz w:val="15"/>
        </w:rPr>
        <w:t>2  select search genres   three most common history genres, ties by first appearance</w:t>
        <w:br/>
      </w:r>
      <w:r>
        <w:rPr>
          <w:rFonts w:ascii="Consolas" w:hAnsi="Consolas"/>
          <w:color w:val="1A1614"/>
          <w:sz w:val="15"/>
        </w:rPr>
        <w:t>3  retrieve candidates    per-genre pool from cache, else MusicBrainz tag search</w:t>
        <w:br/>
      </w:r>
      <w:r>
        <w:rPr>
          <w:rFonts w:ascii="Consolas" w:hAnsi="Consolas"/>
          <w:color w:val="1A1614"/>
          <w:sz w:val="15"/>
        </w:rPr>
        <w:t>4  filter                 history · excluded artists · excluded tracks · tempo window</w:t>
        <w:br/>
      </w:r>
      <w:r>
        <w:rPr>
          <w:rFonts w:ascii="Consolas" w:hAnsi="Consolas"/>
          <w:color w:val="1A1614"/>
          <w:sz w:val="15"/>
        </w:rPr>
        <w:t>5  resolve candidates     ONE bulk AcousticBrainz call per 25 candidates</w:t>
        <w:br/>
      </w:r>
      <w:r>
        <w:rPr>
          <w:rFonts w:ascii="Consolas" w:hAnsi="Consolas"/>
          <w:color w:val="1A1614"/>
          <w:sz w:val="15"/>
        </w:rPr>
        <w:t>6  collaborative affinity ListenBrainz artist similarity for the history's artists</w:t>
        <w:br/>
      </w:r>
      <w:r>
        <w:rPr>
          <w:rFonts w:ascii="Consolas" w:hAnsi="Consolas"/>
          <w:color w:val="1A1614"/>
          <w:sz w:val="15"/>
        </w:rPr>
        <w:t>─────────────────────── await-free boundary ───────────────────────</w:t>
        <w:br/>
      </w:r>
      <w:r>
        <w:rPr>
          <w:rFonts w:ascii="Consolas" w:hAnsi="Consolas"/>
          <w:color w:val="1A1614"/>
          <w:sz w:val="15"/>
        </w:rPr>
        <w:t>7  rank                   vocabulary → vectors → centroid → cosine</w:t>
        <w:br/>
      </w:r>
      <w:r>
        <w:rPr>
          <w:rFonts w:ascii="Consolas" w:hAnsi="Consolas"/>
          <w:color w:val="1A1614"/>
          <w:sz w:val="15"/>
        </w:rPr>
        <w:t xml:space="preserve">                          → collaborative blend → MMR re-rank</w:t>
        <w:br/>
      </w:r>
      <w:r>
        <w:rPr>
          <w:rFonts w:ascii="Consolas" w:hAnsi="Consolas"/>
          <w:color w:val="1A1614"/>
          <w:sz w:val="15"/>
        </w:rPr>
        <w:t>8  resolve playback       YouTube Music, falling through on misses</w:t>
        <w:br/>
      </w:r>
      <w:r>
        <w:rPr>
          <w:rFonts w:ascii="Consolas" w:hAnsi="Consolas"/>
          <w:color w:val="1A1614"/>
          <w:sz w:val="15"/>
        </w:rPr>
        <w:t>9  explain                rationale sentence from the signals that matched</w:t>
      </w:r>
    </w:p>
    <w:p>
      <w:r>
        <w:rPr>
          <w:b w:val="0"/>
          <w:i w:val="0"/>
        </w:rPr>
        <w:t>The horizontal rule is load-bearing and is discussed in Section 4.5.</w:t>
      </w:r>
    </w:p>
    <w:p>
      <w:pPr>
        <w:pStyle w:val="Heading2"/>
      </w:pPr>
      <w:r>
        <w:t>4.3 Feature vectors and the request-scoped vocabulary</w:t>
      </w:r>
    </w:p>
    <w:p>
      <w:r>
        <w:rPr>
          <w:rFonts w:ascii="Consolas" w:hAnsi="Consolas"/>
          <w:b w:val="0"/>
          <w:i w:val="0"/>
          <w:sz w:val="20"/>
        </w:rPr>
        <w:t>features.build_feature_vector</w:t>
      </w:r>
      <w:r>
        <w:rPr>
          <w:b w:val="0"/>
          <w:i w:val="0"/>
        </w:rPr>
        <w:t xml:space="preserve"> concatenates the 16 fixed acoustic dimensions with a genre TF-IDF block. The weighting uses the standard smoothed form, </w:t>
      </w:r>
      <w:r>
        <w:rPr>
          <w:rFonts w:ascii="Consolas" w:hAnsi="Consolas"/>
          <w:b w:val="0"/>
          <w:i w:val="0"/>
          <w:sz w:val="20"/>
        </w:rPr>
        <w:t>idf(g) = ln((1 + N) / (1 + df(g))) + 1</w:t>
      </w:r>
      <w:r>
        <w:rPr>
          <w:b w:val="0"/>
          <w:i w:val="0"/>
        </w:rPr>
        <w:t>, so a genre appearing on most observed tracks ("rock", "pop") contributes less than one appearing on few ("shoegaze", "math rock"). This is Whitman and Lawrence's (2002) metadata-similarity intuition applied at tag level instead of free-text level. The vocabulary is module-level mutable state. That is what makes vectors within a request comparable, and also what made request isolation a genuine engineering problem (Section 4.5).</w:t>
      </w:r>
    </w:p>
    <w:p>
      <w:r>
        <w:rPr>
          <w:rFonts w:ascii="Consolas" w:hAnsi="Consolas"/>
          <w:b w:val="0"/>
          <w:i w:val="0"/>
          <w:sz w:val="20"/>
        </w:rPr>
        <w:t>similarity.cosine_score</w:t>
      </w:r>
      <w:r>
        <w:rPr>
          <w:b w:val="0"/>
          <w:i w:val="0"/>
        </w:rPr>
        <w:t xml:space="preserve"> clamps to [0, 1] and returns 0 for a zero vector instead of propagating scikit-learn's undefined-cosine behaviour. A candidate with no genre tags and default acoustics can legitimately produce one.</w:t>
      </w:r>
    </w:p>
    <w:p>
      <w:pPr>
        <w:pStyle w:val="Heading2"/>
      </w:pPr>
      <w:r>
        <w:t>4.4 The collaborative stage</w:t>
      </w:r>
    </w:p>
    <w:p>
      <w:r>
        <w:rPr>
          <w:b w:val="0"/>
          <w:i w:val="0"/>
        </w:rPr>
        <w:t xml:space="preserve">The interesting part of </w:t>
      </w:r>
      <w:r>
        <w:rPr>
          <w:rFonts w:ascii="Consolas" w:hAnsi="Consolas"/>
          <w:b w:val="0"/>
          <w:i w:val="0"/>
          <w:sz w:val="20"/>
        </w:rPr>
        <w:t>collaborative.py</w:t>
      </w:r>
      <w:r>
        <w:rPr>
          <w:b w:val="0"/>
          <w:i w:val="0"/>
        </w:rPr>
        <w:t xml:space="preserve"> is not the lookup but the score arithmetic, because ListenBrainz returns raw co-occurrence counts rather than normalised similarities:</w:t>
      </w:r>
    </w:p>
    <w:p>
      <w:pPr>
        <w:keepLines/>
        <w:spacing w:before="160" w:after="200" w:line="240" w:lineRule="auto"/>
        <w:ind w:left="170"/>
        <w:shd w:val="clear" w:color="auto" w:fill="F7F4F0"/>
        <w:pBdr>
          <w:left w:val="single" w:sz="12" w:space="4" w:color="D8CFC4"/>
        </w:pBdr>
      </w:pPr>
      <w:r>
        <w:rPr>
          <w:rFonts w:ascii="Consolas" w:hAnsi="Consolas"/>
          <w:color w:val="1A1614"/>
          <w:sz w:val="15"/>
        </w:rPr>
        <w:t>def build_affinity(similar_by_artist: dict[str, dict[str, float]]) -&gt; dict[str, float]:</w:t>
        <w:br/>
      </w:r>
      <w:r>
        <w:rPr>
          <w:rFonts w:ascii="Consolas" w:hAnsi="Consolas"/>
          <w:color w:val="1A1614"/>
          <w:sz w:val="15"/>
        </w:rPr>
        <w:t xml:space="preserve">    affinity: dict[str, float] = {}</w:t>
        <w:br/>
      </w:r>
      <w:r>
        <w:rPr>
          <w:rFonts w:ascii="Consolas" w:hAnsi="Consolas"/>
          <w:color w:val="1A1614"/>
          <w:sz w:val="15"/>
        </w:rPr>
        <w:t xml:space="preserve">    for similar in similar_by_artist.values():</w:t>
        <w:br/>
      </w:r>
      <w:r>
        <w:rPr>
          <w:rFonts w:ascii="Consolas" w:hAnsi="Consolas"/>
          <w:color w:val="1A1614"/>
          <w:sz w:val="15"/>
        </w:rPr>
        <w:t xml:space="preserve">        if not similar:</w:t>
        <w:br/>
      </w:r>
      <w:r>
        <w:rPr>
          <w:rFonts w:ascii="Consolas" w:hAnsi="Consolas"/>
          <w:color w:val="1A1614"/>
          <w:sz w:val="15"/>
        </w:rPr>
        <w:t xml:space="preserve">            continue</w:t>
        <w:br/>
      </w:r>
      <w:r>
        <w:rPr>
          <w:rFonts w:ascii="Consolas" w:hAnsi="Consolas"/>
          <w:color w:val="1A1614"/>
          <w:sz w:val="15"/>
        </w:rPr>
        <w:t xml:space="preserve">        peak = max(similar.values())          # per-reference-artist normalisation</w:t>
        <w:br/>
      </w:r>
      <w:r>
        <w:rPr>
          <w:rFonts w:ascii="Consolas" w:hAnsi="Consolas"/>
          <w:color w:val="1A1614"/>
          <w:sz w:val="15"/>
        </w:rPr>
        <w:t xml:space="preserve">        if peak &lt;= 0:</w:t>
        <w:br/>
      </w:r>
      <w:r>
        <w:rPr>
          <w:rFonts w:ascii="Consolas" w:hAnsi="Consolas"/>
          <w:color w:val="1A1614"/>
          <w:sz w:val="15"/>
        </w:rPr>
        <w:t xml:space="preserve">            continue</w:t>
        <w:br/>
      </w:r>
      <w:r>
        <w:rPr>
          <w:rFonts w:ascii="Consolas" w:hAnsi="Consolas"/>
          <w:color w:val="1A1614"/>
          <w:sz w:val="15"/>
        </w:rPr>
        <w:t xml:space="preserve">        for mbid, score in similar.items():</w:t>
        <w:br/>
      </w:r>
      <w:r>
        <w:rPr>
          <w:rFonts w:ascii="Consolas" w:hAnsi="Consolas"/>
          <w:color w:val="1A1614"/>
          <w:sz w:val="15"/>
        </w:rPr>
        <w:t xml:space="preserve">            normalised = score / peak</w:t>
        <w:br/>
      </w:r>
      <w:r>
        <w:rPr>
          <w:rFonts w:ascii="Consolas" w:hAnsi="Consolas"/>
          <w:color w:val="1A1614"/>
          <w:sz w:val="15"/>
        </w:rPr>
        <w:t xml:space="preserve">            if normalised &gt; affinity.get(mbid, 0.0):   # max, not sum</w:t>
        <w:br/>
      </w:r>
      <w:r>
        <w:rPr>
          <w:rFonts w:ascii="Consolas" w:hAnsi="Consolas"/>
          <w:color w:val="1A1614"/>
          <w:sz w:val="15"/>
        </w:rPr>
        <w:t xml:space="preserve">                affinity[mbid] = normalised</w:t>
        <w:br/>
      </w:r>
      <w:r>
        <w:rPr>
          <w:rFonts w:ascii="Consolas" w:hAnsi="Consolas"/>
          <w:color w:val="1A1614"/>
          <w:sz w:val="15"/>
        </w:rPr>
        <w:t xml:space="preserve">    return affinity</w:t>
      </w:r>
    </w:p>
    <w:p>
      <w:r>
        <w:rPr>
          <w:b w:val="0"/>
          <w:i w:val="0"/>
        </w:rPr>
        <w:t>Two decisions are encoded here. Normalising per reference artist is necessary because a count of 900 against Queen and a count of 20 against an obscure artist represent comparable strengths of association, and comparing them raw would let popularity dominate. Taking the maximum instead of the sum keeps affinity bounded in [0, 1], so an artist similar to every track in a five-track history cannot accumulate a score that swamps the content signal.</w:t>
      </w:r>
    </w:p>
    <w:p>
      <w:r>
        <w:rPr>
          <w:b w:val="0"/>
          <w:i w:val="0"/>
        </w:rPr>
        <w:t>The blend then applies only where evidence exists:</w:t>
      </w:r>
    </w:p>
    <w:p>
      <w:pPr>
        <w:keepLines/>
        <w:spacing w:before="160" w:after="200" w:line="240" w:lineRule="auto"/>
        <w:ind w:left="170"/>
        <w:shd w:val="clear" w:color="auto" w:fill="F7F4F0"/>
        <w:pBdr>
          <w:left w:val="single" w:sz="12" w:space="4" w:color="D8CFC4"/>
        </w:pBdr>
      </w:pPr>
      <w:r>
        <w:rPr>
          <w:rFonts w:ascii="Consolas" w:hAnsi="Consolas"/>
          <w:color w:val="1A1614"/>
          <w:sz w:val="15"/>
        </w:rPr>
        <w:t>def blend(content_score: float, collab_score: float, weight: float) -&gt; float:</w:t>
        <w:br/>
      </w:r>
      <w:r>
        <w:rPr>
          <w:rFonts w:ascii="Consolas" w:hAnsi="Consolas"/>
          <w:color w:val="1A1614"/>
          <w:sz w:val="15"/>
        </w:rPr>
        <w:t xml:space="preserve">    if collab_score &lt;= 0.0:</w:t>
        <w:br/>
      </w:r>
      <w:r>
        <w:rPr>
          <w:rFonts w:ascii="Consolas" w:hAnsi="Consolas"/>
          <w:color w:val="1A1614"/>
          <w:sz w:val="15"/>
        </w:rPr>
        <w:t xml:space="preserve">        return content_score          # no evidence must not deflate the score</w:t>
        <w:br/>
      </w:r>
      <w:r>
        <w:rPr>
          <w:rFonts w:ascii="Consolas" w:hAnsi="Consolas"/>
          <w:color w:val="1A1614"/>
          <w:sz w:val="15"/>
        </w:rPr>
        <w:t xml:space="preserve">    return (1.0 - weight) * content_score + weight * collab_score</w:t>
      </w:r>
    </w:p>
    <w:p>
      <w:r>
        <w:rPr>
          <w:b w:val="0"/>
          <w:i w:val="0"/>
        </w:rPr>
        <w:t>This is the difference between a confidence score that means something and one that is uniformly depressed by the coverage of a third-party service.</w:t>
      </w:r>
    </w:p>
    <w:p>
      <w:r>
        <w:rPr>
          <w:b w:val="0"/>
          <w:i w:val="0"/>
        </w:rPr>
        <w:t xml:space="preserve">Every failure mode of the ListenBrainz client returns an empty dict: unknown artist, HTTP error, malformed payload, connection failure, timeout. The pipeline reads that as "no collaborative evidence". A failure is deliberately </w:t>
      </w:r>
      <w:r>
        <w:rPr>
          <w:b w:val="0"/>
          <w:i/>
        </w:rPr>
        <w:t>not</w:t>
      </w:r>
      <w:r>
        <w:rPr>
          <w:b w:val="0"/>
          <w:i w:val="0"/>
        </w:rPr>
        <w:t xml:space="preserve"> cached, so a transient outage cannot poison an artist's entry for the rest of the process's life. Fifteen tests cover the client, most of them failure paths.</w:t>
      </w:r>
    </w:p>
    <w:p>
      <w:pPr>
        <w:pStyle w:val="Heading2"/>
      </w:pPr>
      <w:r>
        <w:t>4.5 Request isolation under concurrency</w:t>
      </w:r>
    </w:p>
    <w:p>
      <w:r>
        <w:rPr>
          <w:b w:val="0"/>
          <w:i w:val="0"/>
        </w:rPr>
        <w:t>The genre vocabulary is a process-global singleton. If one request's reset-observe-build sequence interleaved with another's on the event loop, genres from one listener's session could enter another's feature vectors. That violates R1 and R4 directly, and it is the worst kind of defect: invisible to inspection, intermittent in testing.</w:t>
      </w:r>
    </w:p>
    <w:p>
      <w:r>
        <w:rPr>
          <w:b w:val="0"/>
          <w:i w:val="0"/>
        </w:rPr>
        <w:t xml:space="preserve">The fix is structural. The whole sequence lives in </w:t>
      </w:r>
      <w:r>
        <w:rPr>
          <w:rFonts w:ascii="Consolas" w:hAnsi="Consolas"/>
          <w:b w:val="0"/>
          <w:i w:val="0"/>
          <w:sz w:val="20"/>
        </w:rPr>
        <w:t>recommender._rank</w:t>
      </w:r>
      <w:r>
        <w:rPr>
          <w:b w:val="0"/>
          <w:i w:val="0"/>
        </w:rPr>
        <w:t xml:space="preserve">, a synchronous function containing no </w:t>
      </w:r>
      <w:r>
        <w:rPr>
          <w:rFonts w:ascii="Consolas" w:hAnsi="Consolas"/>
          <w:b w:val="0"/>
          <w:i w:val="0"/>
          <w:sz w:val="20"/>
        </w:rPr>
        <w:t>await</w:t>
      </w:r>
      <w:r>
        <w:rPr>
          <w:b w:val="0"/>
          <w:i w:val="0"/>
        </w:rPr>
        <w:t xml:space="preserve">, and the event loop cannot switch tasks except at an await point. I hoisted every operation that </w:t>
      </w:r>
      <w:r>
        <w:rPr>
          <w:b w:val="0"/>
          <w:i/>
        </w:rPr>
        <w:t>does</w:t>
      </w:r>
      <w:r>
        <w:rPr>
          <w:b w:val="0"/>
          <w:i w:val="0"/>
        </w:rPr>
        <w:t xml:space="preserve"> await above it — resolving history, retrieving candidates, bulk acoustics, ListenBrainz affinity. That is why step 6 in Figure 3 precedes step 7, even though ranking is the only thing that consumes the collaborative score. I stated the invariant in the function's docstring so that a future edit introducing an </w:t>
      </w:r>
      <w:r>
        <w:rPr>
          <w:rFonts w:ascii="Consolas" w:hAnsi="Consolas"/>
          <w:b w:val="0"/>
          <w:i w:val="0"/>
          <w:sz w:val="20"/>
        </w:rPr>
        <w:t>await</w:t>
      </w:r>
      <w:r>
        <w:rPr>
          <w:b w:val="0"/>
          <w:i w:val="0"/>
        </w:rPr>
        <w:t xml:space="preserve"> reads as a correctness change and not a style change, and </w:t>
      </w:r>
      <w:r>
        <w:rPr>
          <w:rFonts w:ascii="Consolas" w:hAnsi="Consolas"/>
          <w:b w:val="0"/>
          <w:i w:val="0"/>
          <w:sz w:val="20"/>
        </w:rPr>
        <w:t>test_recommend_concurrency.py</w:t>
      </w:r>
      <w:r>
        <w:rPr>
          <w:b w:val="0"/>
          <w:i w:val="0"/>
        </w:rPr>
        <w:t xml:space="preserve"> asserts it two ways: by planting foreign vocabulary before a request, and by gathering two concurrent recommendations.</w:t>
      </w:r>
    </w:p>
    <w:p>
      <w:pPr>
        <w:pStyle w:val="Heading2"/>
      </w:pPr>
      <w:r>
        <w:t>4.6 Explanation generation, and a defect that hid inside it</w:t>
      </w:r>
    </w:p>
    <w:p>
      <w:r>
        <w:rPr>
          <w:rFonts w:ascii="Consolas" w:hAnsi="Consolas"/>
          <w:b w:val="0"/>
          <w:i w:val="0"/>
          <w:sz w:val="20"/>
        </w:rPr>
        <w:t>rationale.generate_rationale</w:t>
      </w:r>
      <w:r>
        <w:rPr>
          <w:b w:val="0"/>
          <w:i w:val="0"/>
        </w:rPr>
        <w:t xml:space="preserve"> builds one sentence from whichever signals actually clear their thresholds: collaborative affinity ≥ 0.15, at least two shared genre tags, tempo within 10 BPM of the history average, energy within 0.15, or a matching key and mode. When the collaborative signal is present it is named first. It is the only one sourced from other listeners instead of from the track's own metadata, and a reader should be able to tell those apart.</w:t>
      </w:r>
    </w:p>
    <w:p>
      <w:r>
        <w:rPr>
          <w:b w:val="0"/>
          <w:i w:val="0"/>
        </w:rPr>
        <w:t xml:space="preserve">This code contained a defect for the entire draft period. The session's most common key was computed with a </w:t>
      </w:r>
      <w:r>
        <w:rPr>
          <w:rFonts w:ascii="Consolas" w:hAnsi="Consolas"/>
          <w:b w:val="0"/>
          <w:i w:val="0"/>
          <w:sz w:val="20"/>
        </w:rPr>
        <w:t>Counter</w:t>
      </w:r>
      <w:r>
        <w:rPr>
          <w:b w:val="0"/>
          <w:i w:val="0"/>
        </w:rPr>
        <w:t xml:space="preserve"> keyed on </w:t>
      </w:r>
      <w:r>
        <w:rPr>
          <w:rFonts w:ascii="Consolas" w:hAnsi="Consolas"/>
          <w:b w:val="0"/>
          <w:i w:val="0"/>
          <w:sz w:val="20"/>
        </w:rPr>
        <w:t>(pitch, mode)</w:t>
      </w:r>
      <w:r>
        <w:rPr>
          <w:b w:val="0"/>
          <w:i w:val="0"/>
        </w:rPr>
        <w:t xml:space="preserve"> tuples, then unpacked as:</w:t>
      </w:r>
    </w:p>
    <w:p>
      <w:pPr>
        <w:keepLines/>
        <w:spacing w:before="160" w:after="200" w:line="240" w:lineRule="auto"/>
        <w:ind w:left="170"/>
        <w:shd w:val="clear" w:color="auto" w:fill="F7F4F0"/>
        <w:pBdr>
          <w:left w:val="single" w:sz="12" w:space="4" w:color="D8CFC4"/>
        </w:pBdr>
      </w:pPr>
      <w:r>
        <w:rPr>
          <w:rFonts w:ascii="Consolas" w:hAnsi="Consolas"/>
          <w:color w:val="1A1614"/>
          <w:sz w:val="15"/>
        </w:rPr>
        <w:t>common_pitch, common_mode = key_counts.most_common(1)[0]     # wrong</w:t>
      </w:r>
    </w:p>
    <w:p>
      <w:r>
        <w:rPr>
          <w:rFonts w:ascii="Consolas" w:hAnsi="Consolas"/>
          <w:b w:val="0"/>
          <w:i w:val="0"/>
          <w:sz w:val="20"/>
        </w:rPr>
        <w:t>Counter.most_common</w:t>
      </w:r>
      <w:r>
        <w:rPr>
          <w:b w:val="0"/>
          <w:i w:val="0"/>
        </w:rPr>
        <w:t xml:space="preserve"> yields </w:t>
      </w:r>
      <w:r>
        <w:rPr>
          <w:rFonts w:ascii="Consolas" w:hAnsi="Consolas"/>
          <w:b w:val="0"/>
          <w:i w:val="0"/>
          <w:sz w:val="20"/>
        </w:rPr>
        <w:t>(item, count)</w:t>
      </w:r>
      <w:r>
        <w:rPr>
          <w:b w:val="0"/>
          <w:i w:val="0"/>
        </w:rPr>
        <w:t xml:space="preserve"> pairs. So </w:t>
      </w:r>
      <w:r>
        <w:rPr>
          <w:rFonts w:ascii="Consolas" w:hAnsi="Consolas"/>
          <w:b w:val="0"/>
          <w:i w:val="0"/>
          <w:sz w:val="20"/>
        </w:rPr>
        <w:t>common_pitch</w:t>
      </w:r>
      <w:r>
        <w:rPr>
          <w:b w:val="0"/>
          <w:i w:val="0"/>
        </w:rPr>
        <w:t xml:space="preserve"> was bound to the whole </w:t>
      </w:r>
      <w:r>
        <w:rPr>
          <w:rFonts w:ascii="Consolas" w:hAnsi="Consolas"/>
          <w:b w:val="0"/>
          <w:i w:val="0"/>
          <w:sz w:val="20"/>
        </w:rPr>
        <w:t>('F#', 'minor')</w:t>
      </w:r>
      <w:r>
        <w:rPr>
          <w:b w:val="0"/>
          <w:i w:val="0"/>
        </w:rPr>
        <w:t xml:space="preserve"> tuple and </w:t>
      </w:r>
      <w:r>
        <w:rPr>
          <w:rFonts w:ascii="Consolas" w:hAnsi="Consolas"/>
          <w:b w:val="0"/>
          <w:i w:val="0"/>
          <w:sz w:val="20"/>
        </w:rPr>
        <w:t>common_mode</w:t>
      </w:r>
      <w:r>
        <w:rPr>
          <w:b w:val="0"/>
          <w:i w:val="0"/>
        </w:rPr>
        <w:t xml:space="preserve"> to an integer, and Python accepted it silently because both sides have arity two. The key-match branch was therefore comparing a string against a tuple and could </w:t>
      </w:r>
      <w:r>
        <w:rPr>
          <w:b w:val="0"/>
          <w:i/>
        </w:rPr>
        <w:t>never</w:t>
      </w:r>
      <w:r>
        <w:rPr>
          <w:b w:val="0"/>
          <w:i w:val="0"/>
        </w:rPr>
        <w:t xml:space="preserve"> be true. The "compatible key" explanation had been unreachable for every recommendation the system had ever produced, and the rendered key read </w:t>
      </w:r>
      <w:r>
        <w:rPr>
          <w:rFonts w:ascii="Consolas" w:hAnsi="Consolas"/>
          <w:b w:val="0"/>
          <w:i w:val="0"/>
          <w:sz w:val="20"/>
        </w:rPr>
        <w:t>"('F#', 'minor') 2"</w:t>
      </w:r>
      <w:r>
        <w:rPr>
          <w:b w:val="0"/>
          <w:i w:val="0"/>
        </w:rPr>
        <w:t>.</w:t>
      </w:r>
    </w:p>
    <w:p>
      <w:r>
        <w:rPr>
          <w:b w:val="0"/>
          <w:i w:val="0"/>
        </w:rPr>
        <w:t xml:space="preserve">No test caught it. The rationale tests exercised the genre, tempo and energy signals but never constructed a candidate that matched on key alone. </w:t>
      </w:r>
      <w:r>
        <w:rPr>
          <w:rFonts w:ascii="Consolas" w:hAnsi="Consolas"/>
          <w:b w:val="0"/>
          <w:i w:val="0"/>
          <w:sz w:val="20"/>
        </w:rPr>
        <w:t>mypy</w:t>
      </w:r>
      <w:r>
        <w:rPr>
          <w:b w:val="0"/>
          <w:i w:val="0"/>
        </w:rPr>
        <w:t xml:space="preserve"> caught it immediately. Three regression tests now cover the branch, including one whose candidate deliberately fails every threshold except key. A project claiming explainability is claiming something about running code, and what found this was static analysis, not more testing of paths I already believed worked.</w:t>
      </w:r>
    </w:p>
    <w:p>
      <w:pPr>
        <w:pStyle w:val="Heading2"/>
      </w:pPr>
      <w:r>
        <w:t>4.7 Reproducibility: a property that did not hold</w:t>
      </w:r>
    </w:p>
    <w:p>
      <w:r>
        <w:rPr>
          <w:b w:val="0"/>
          <w:i w:val="0"/>
        </w:rPr>
        <w:t>The draft report stated that identical histories "always produce the same candidate search". I added a determinism assertion to the live API-capture script and it showed the end-to-end property was false. The same request, sent twice, returned different tracks.</w:t>
      </w:r>
    </w:p>
    <w:p>
      <w:r>
        <w:rPr>
          <w:b w:val="0"/>
          <w:i w:val="0"/>
        </w:rPr>
        <w:t>The cause was not in NextTrack. Probing MusicBrainz directly:</w:t>
      </w:r>
    </w:p>
    <w:p>
      <w:pPr>
        <w:keepLines/>
        <w:spacing w:before="160" w:after="200" w:line="240" w:lineRule="auto"/>
        <w:ind w:left="170"/>
        <w:shd w:val="clear" w:color="auto" w:fill="F7F4F0"/>
        <w:pBdr>
          <w:left w:val="single" w:sz="12" w:space="4" w:color="D8CFC4"/>
        </w:pBdr>
      </w:pPr>
      <w:r>
        <w:rPr>
          <w:rFonts w:ascii="Consolas" w:hAnsi="Consolas"/>
          <w:color w:val="1A1614"/>
          <w:sz w:val="15"/>
        </w:rPr>
        <w:t>grunge            run1 == run2: False    |symmetric difference| = 100  (of 50 + 50)</w:t>
        <w:br/>
      </w:r>
      <w:r>
        <w:rPr>
          <w:rFonts w:ascii="Consolas" w:hAnsi="Consolas"/>
          <w:color w:val="1A1614"/>
          <w:sz w:val="15"/>
        </w:rPr>
        <w:t>alternative rock  run1 == run2: False    |symmetric difference| = 38</w:t>
      </w:r>
    </w:p>
    <w:p>
      <w:r>
        <w:rPr>
          <w:b w:val="0"/>
          <w:i w:val="0"/>
        </w:rPr>
        <w:t xml:space="preserve">Two consecutive tag searches for </w:t>
      </w:r>
      <w:r>
        <w:rPr>
          <w:rFonts w:ascii="Consolas" w:hAnsi="Consolas"/>
          <w:b w:val="0"/>
          <w:i w:val="0"/>
          <w:sz w:val="20"/>
        </w:rPr>
        <w:t>grunge</w:t>
      </w:r>
      <w:r>
        <w:rPr>
          <w:b w:val="0"/>
          <w:i w:val="0"/>
        </w:rPr>
        <w:t xml:space="preserve"> shared </w:t>
      </w:r>
      <w:r>
        <w:rPr>
          <w:b/>
          <w:i w:val="0"/>
        </w:rPr>
        <w:t>zero</w:t>
      </w:r>
      <w:r>
        <w:rPr>
          <w:b w:val="0"/>
          <w:i w:val="0"/>
        </w:rPr>
        <w:t xml:space="preserve"> of their fifty results. Thousands of recordings tie on relevance, and the tie order is arbitrary, so the candidate pool changed between calls, and with it the winning recommendation. Genre </w:t>
      </w:r>
      <w:r>
        <w:rPr>
          <w:b w:val="0"/>
          <w:i/>
        </w:rPr>
        <w:t>selection</w:t>
      </w:r>
      <w:r>
        <w:rPr>
          <w:b w:val="0"/>
          <w:i w:val="0"/>
        </w:rPr>
        <w:t xml:space="preserve"> was deterministic, exactly as the draft claimed. The search results were not.</w:t>
      </w:r>
    </w:p>
    <w:p>
      <w:r>
        <w:rPr>
          <w:b w:val="0"/>
          <w:i w:val="0"/>
        </w:rPr>
        <w:t>The fix has two parts and both are necessary. Candidate pools are cached per genre tag with a one-hour TTL, and each pool is sorted by MBID before storage so that no ordering dependence on the upstream survives. Like the other caches, this holds a public per-tag fact and nothing about a caller.</w:t>
      </w:r>
    </w:p>
    <w:p>
      <w:r>
        <w:rPr>
          <w:b w:val="0"/>
          <w:i w:val="0"/>
        </w:rPr>
        <w:t>It also produced the single largest performance improvement in the project, because three rate-limited MusicBrainz searches were the dominant cost of every recommendation:</w:t>
      </w:r>
    </w:p>
    <w:tbl>
      <w:tblPr>
        <w:tblStyle w:val="TableGrid"/>
        <w:tblW w:type="auto" w:w="0"/>
        <w:jc w:val="center"/>
        <w:tblLayout w:type="fixed"/>
        <w:tblLook w:firstColumn="1" w:firstRow="1" w:lastColumn="0" w:lastRow="0" w:noHBand="0" w:noVBand="1" w:val="04A0"/>
        <w:tblLayout w:type="fixed"/>
      </w:tblPr>
      <w:tblGrid>
        <w:gridCol w:w="3024"/>
        <w:gridCol w:w="3024"/>
        <w:gridCol w:w="3024"/>
      </w:tblGrid>
      <w:tr>
        <w:tc>
          <w:tcPr>
            <w:tcW w:type="dxa" w:w="5641"/>
            <w:shd w:val="clear" w:color="auto" w:fill="F3EEE8"/>
          </w:tcPr>
          <w:p>
            <w:pPr>
              <w:spacing w:before="60" w:after="60" w:line="240" w:lineRule="auto"/>
            </w:pPr>
            <w:r/>
            <w:r>
              <w:rPr>
                <w:b/>
                <w:sz w:val="18"/>
              </w:rPr>
              <w:t>Request</w:t>
            </w:r>
          </w:p>
        </w:tc>
        <w:tc>
          <w:tcPr>
            <w:tcW w:type="dxa" w:w="1838"/>
            <w:shd w:val="clear" w:color="auto" w:fill="F3EEE8"/>
          </w:tcPr>
          <w:p>
            <w:pPr>
              <w:spacing w:before="60" w:after="60" w:line="240" w:lineRule="auto"/>
              <w:jc w:val="right"/>
            </w:pPr>
            <w:r/>
            <w:r>
              <w:rPr>
                <w:b/>
                <w:sz w:val="18"/>
              </w:rPr>
              <w:t>Before</w:t>
            </w:r>
          </w:p>
        </w:tc>
        <w:tc>
          <w:tcPr>
            <w:tcW w:type="dxa" w:w="1592"/>
            <w:shd w:val="clear" w:color="auto" w:fill="F3EEE8"/>
          </w:tcPr>
          <w:p>
            <w:pPr>
              <w:spacing w:before="60" w:after="60" w:line="240" w:lineRule="auto"/>
              <w:jc w:val="right"/>
            </w:pPr>
            <w:r/>
            <w:r>
              <w:rPr>
                <w:b/>
                <w:sz w:val="18"/>
              </w:rPr>
              <w:t>After</w:t>
            </w:r>
          </w:p>
        </w:tc>
      </w:tr>
      <w:tr>
        <w:tc>
          <w:tcPr>
            <w:tcW w:type="dxa" w:w="5641"/>
          </w:tcPr>
          <w:p>
            <w:pPr>
              <w:spacing w:before="60" w:after="60" w:line="240" w:lineRule="auto"/>
            </w:pPr>
            <w:r/>
            <w:r>
              <w:rPr>
                <w:rFonts w:ascii="Consolas" w:hAnsi="Consolas"/>
                <w:b w:val="0"/>
                <w:i w:val="0"/>
                <w:sz w:val="17"/>
              </w:rPr>
              <w:t>/recommend</w:t>
            </w:r>
            <w:r>
              <w:rPr>
                <w:b w:val="0"/>
                <w:i w:val="0"/>
                <w:sz w:val="18"/>
              </w:rPr>
              <w:t>, cold</w:t>
            </w:r>
          </w:p>
        </w:tc>
        <w:tc>
          <w:tcPr>
            <w:tcW w:type="dxa" w:w="1838"/>
          </w:tcPr>
          <w:p>
            <w:pPr>
              <w:spacing w:before="60" w:after="60" w:line="240" w:lineRule="auto"/>
              <w:jc w:val="right"/>
            </w:pPr>
            <w:r/>
            <w:r>
              <w:rPr>
                <w:b w:val="0"/>
                <w:i w:val="0"/>
                <w:sz w:val="18"/>
              </w:rPr>
              <w:t>42.3 s</w:t>
            </w:r>
          </w:p>
        </w:tc>
        <w:tc>
          <w:tcPr>
            <w:tcW w:type="dxa" w:w="1592"/>
          </w:tcPr>
          <w:p>
            <w:pPr>
              <w:spacing w:before="60" w:after="60" w:line="240" w:lineRule="auto"/>
              <w:jc w:val="right"/>
            </w:pPr>
            <w:r/>
            <w:r>
              <w:rPr>
                <w:b w:val="0"/>
                <w:i w:val="0"/>
                <w:sz w:val="18"/>
              </w:rPr>
              <w:t>24.7 s</w:t>
            </w:r>
          </w:p>
        </w:tc>
      </w:tr>
      <w:tr>
        <w:tc>
          <w:tcPr>
            <w:tcW w:type="dxa" w:w="5641"/>
          </w:tcPr>
          <w:p>
            <w:pPr>
              <w:spacing w:before="60" w:after="60" w:line="240" w:lineRule="auto"/>
            </w:pPr>
            <w:r/>
            <w:r>
              <w:rPr>
                <w:rFonts w:ascii="Consolas" w:hAnsi="Consolas"/>
                <w:b w:val="0"/>
                <w:i w:val="0"/>
                <w:sz w:val="17"/>
              </w:rPr>
              <w:t>/recommend</w:t>
            </w:r>
            <w:r>
              <w:rPr>
                <w:b w:val="0"/>
                <w:i w:val="0"/>
                <w:sz w:val="18"/>
              </w:rPr>
              <w:t>, multi-track history</w:t>
            </w:r>
          </w:p>
        </w:tc>
        <w:tc>
          <w:tcPr>
            <w:tcW w:type="dxa" w:w="1838"/>
          </w:tcPr>
          <w:p>
            <w:pPr>
              <w:spacing w:before="60" w:after="60" w:line="240" w:lineRule="auto"/>
              <w:jc w:val="right"/>
            </w:pPr>
            <w:r/>
            <w:r>
              <w:rPr>
                <w:b w:val="0"/>
                <w:i w:val="0"/>
                <w:sz w:val="18"/>
              </w:rPr>
              <w:t>61.5 s</w:t>
            </w:r>
          </w:p>
        </w:tc>
        <w:tc>
          <w:tcPr>
            <w:tcW w:type="dxa" w:w="1592"/>
          </w:tcPr>
          <w:p>
            <w:pPr>
              <w:spacing w:before="60" w:after="60" w:line="240" w:lineRule="auto"/>
              <w:jc w:val="right"/>
            </w:pPr>
            <w:r/>
            <w:r>
              <w:rPr>
                <w:b w:val="0"/>
                <w:i w:val="0"/>
                <w:sz w:val="18"/>
              </w:rPr>
              <w:t>0.53 s</w:t>
            </w:r>
          </w:p>
        </w:tc>
      </w:tr>
      <w:tr>
        <w:tc>
          <w:tcPr>
            <w:tcW w:type="dxa" w:w="5641"/>
          </w:tcPr>
          <w:p>
            <w:pPr>
              <w:spacing w:before="60" w:after="60" w:line="240" w:lineRule="auto"/>
            </w:pPr>
            <w:r/>
            <w:r>
              <w:rPr>
                <w:rFonts w:ascii="Consolas" w:hAnsi="Consolas"/>
                <w:b w:val="0"/>
                <w:i w:val="0"/>
                <w:sz w:val="17"/>
              </w:rPr>
              <w:t>/recommend</w:t>
            </w:r>
            <w:r>
              <w:rPr>
                <w:b w:val="0"/>
                <w:i w:val="0"/>
                <w:sz w:val="18"/>
              </w:rPr>
              <w:t>, with constraints</w:t>
            </w:r>
          </w:p>
        </w:tc>
        <w:tc>
          <w:tcPr>
            <w:tcW w:type="dxa" w:w="1838"/>
          </w:tcPr>
          <w:p>
            <w:pPr>
              <w:spacing w:before="60" w:after="60" w:line="240" w:lineRule="auto"/>
              <w:jc w:val="right"/>
            </w:pPr>
            <w:r/>
            <w:r>
              <w:rPr>
                <w:b w:val="0"/>
                <w:i w:val="0"/>
                <w:sz w:val="18"/>
              </w:rPr>
              <w:t>32.2 s</w:t>
            </w:r>
          </w:p>
        </w:tc>
        <w:tc>
          <w:tcPr>
            <w:tcW w:type="dxa" w:w="1592"/>
          </w:tcPr>
          <w:p>
            <w:pPr>
              <w:spacing w:before="60" w:after="60" w:line="240" w:lineRule="auto"/>
              <w:jc w:val="right"/>
            </w:pPr>
            <w:r/>
            <w:r>
              <w:rPr>
                <w:b w:val="0"/>
                <w:i w:val="0"/>
                <w:sz w:val="18"/>
              </w:rPr>
              <w:t>0.79 s</w:t>
            </w:r>
          </w:p>
        </w:tc>
      </w:tr>
    </w:tbl>
    <w:p>
      <w:pPr>
        <w:spacing w:after="0"/>
      </w:pPr>
    </w:p>
    <w:p>
      <w:pPr>
        <w:spacing w:before="80" w:after="280"/>
        <w:jc w:val="center"/>
      </w:pPr>
      <w:r>
        <w:rPr>
          <w:b w:val="0"/>
          <w:i/>
          <w:color w:val="5A524C"/>
          <w:sz w:val="18"/>
        </w:rPr>
        <w:t>Table 1. End-to-end latency before and after candidate-pool caching, same three requests against live upstreams. "Cold" = empty candidate-pool cache in a running process with other caches warm, not a cold start; Table 5 reports that case and Section 5.6 reconciles them.</w:t>
      </w:r>
    </w:p>
    <w:p>
      <w:r>
        <w:rPr>
          <w:b w:val="0"/>
          <w:i w:val="0"/>
        </w:rPr>
        <w:t>The honest residual is that determinism now holds for the cache TTL, not absolutely. Once a pool expires, an identical request may legitimately return a different track, because the upstream catalogue view has changed. That is a property of MusicBrainz and not something NextTrack can fix. Section 5.6 reports it as a limitation.</w:t>
      </w:r>
    </w:p>
    <w:p>
      <w:pPr>
        <w:pStyle w:val="Heading2"/>
      </w:pPr>
      <w:r>
        <w:t>4.8 Acoustic features: bulk retrieval, and a proxy that measured the wrong thing</w:t>
      </w:r>
    </w:p>
    <w:p>
      <w:r>
        <w:rPr>
          <w:b w:val="0"/>
          <w:i w:val="0"/>
        </w:rPr>
        <w:t xml:space="preserve">Resolving a candidate pool meant one AcousticBrainz low-level request and one high-level request per candidate. That is roughly a hundred concurrent requests to a single largely-decommissioned host, and measurement identified it as the dominant remaining cold-start cost. The bulk endpoints accept up to 25 identifiers per call, which reduces the work to four requests. </w:t>
      </w:r>
      <w:r>
        <w:rPr>
          <w:rFonts w:ascii="Consolas" w:hAnsi="Consolas"/>
          <w:b w:val="0"/>
          <w:i w:val="0"/>
          <w:sz w:val="20"/>
        </w:rPr>
        <w:t>get_features_bulk</w:t>
      </w:r>
      <w:r>
        <w:rPr>
          <w:b w:val="0"/>
          <w:i w:val="0"/>
        </w:rPr>
        <w:t xml:space="preserve"> batches, issues both levels concurrently, and returns an entry for every requested MBID, with </w:t>
      </w:r>
      <w:r>
        <w:rPr>
          <w:rFonts w:ascii="Consolas" w:hAnsi="Consolas"/>
          <w:b w:val="0"/>
          <w:i w:val="0"/>
          <w:sz w:val="20"/>
        </w:rPr>
        <w:t>None</w:t>
      </w:r>
      <w:r>
        <w:rPr>
          <w:b w:val="0"/>
          <w:i w:val="0"/>
        </w:rPr>
        <w:t xml:space="preserve"> meaning "no data". That is deliberately identical to what an outage produces, since the caller has to handle both the same way.</w:t>
      </w:r>
    </w:p>
    <w:p>
      <w:r>
        <w:rPr>
          <w:b w:val="0"/>
          <w:i w:val="0"/>
        </w:rPr>
        <w:t xml:space="preserve">The more consequential problem was what the acoustic block </w:t>
      </w:r>
      <w:r>
        <w:rPr>
          <w:b w:val="0"/>
          <w:i/>
        </w:rPr>
        <w:t>contained</w:t>
      </w:r>
      <w:r>
        <w:rPr>
          <w:b w:val="0"/>
          <w:i w:val="0"/>
        </w:rPr>
        <w:t xml:space="preserve">. AcousticBrainz publishes no direct energy descriptor, so I derived one from the high-level </w:t>
      </w:r>
      <w:r>
        <w:rPr>
          <w:b/>
          <w:i w:val="0"/>
        </w:rPr>
        <w:t>danceability</w:t>
      </w:r>
      <w:r>
        <w:rPr>
          <w:b w:val="0"/>
          <w:i w:val="0"/>
        </w:rPr>
        <w:t xml:space="preserve"> classifier and left a </w:t>
      </w:r>
      <w:r>
        <w:rPr>
          <w:rFonts w:ascii="Consolas" w:hAnsi="Consolas"/>
          <w:b w:val="0"/>
          <w:i w:val="0"/>
          <w:sz w:val="20"/>
        </w:rPr>
        <w:t># TODO: verify field name</w:t>
      </w:r>
      <w:r>
        <w:rPr>
          <w:b w:val="0"/>
          <w:i w:val="0"/>
        </w:rPr>
        <w:t xml:space="preserve"> against it. Verifying it showed the field name was correct and the </w:t>
      </w:r>
      <w:r>
        <w:rPr>
          <w:b w:val="0"/>
          <w:i/>
        </w:rPr>
        <w:t>choice of field</w:t>
      </w:r>
      <w:r>
        <w:rPr>
          <w:b w:val="0"/>
          <w:i w:val="0"/>
        </w:rPr>
        <w:t xml:space="preserve"> was wrong. Queried live for The Killers' "Mr. Brightside":</w:t>
      </w:r>
    </w:p>
    <w:tbl>
      <w:tblPr>
        <w:tblStyle w:val="TableGrid"/>
        <w:tblW w:type="auto" w:w="0"/>
        <w:jc w:val="center"/>
        <w:tblLayout w:type="fixed"/>
        <w:tblLook w:firstColumn="1" w:firstRow="1" w:lastColumn="0" w:lastRow="0" w:noHBand="0" w:noVBand="1" w:val="04A0"/>
        <w:tblLayout w:type="fixed"/>
      </w:tblPr>
      <w:tblGrid>
        <w:gridCol w:w="4536"/>
        <w:gridCol w:w="4536"/>
      </w:tblGrid>
      <w:tr>
        <w:tc>
          <w:tcPr>
            <w:tcW w:type="dxa" w:w="5504"/>
            <w:shd w:val="clear" w:color="auto" w:fill="F3EEE8"/>
          </w:tcPr>
          <w:p>
            <w:pPr>
              <w:spacing w:before="60" w:after="60" w:line="240" w:lineRule="auto"/>
            </w:pPr>
            <w:r/>
            <w:r>
              <w:rPr>
                <w:b/>
                <w:sz w:val="18"/>
              </w:rPr>
              <w:t>Classifier</w:t>
            </w:r>
          </w:p>
        </w:tc>
        <w:tc>
          <w:tcPr>
            <w:tcW w:type="dxa" w:w="3567"/>
            <w:shd w:val="clear" w:color="auto" w:fill="F3EEE8"/>
          </w:tcPr>
          <w:p>
            <w:pPr>
              <w:spacing w:before="60" w:after="60" w:line="240" w:lineRule="auto"/>
              <w:jc w:val="right"/>
            </w:pPr>
            <w:r/>
            <w:r>
              <w:rPr>
                <w:b/>
                <w:sz w:val="18"/>
              </w:rPr>
              <w:t>Probability</w:t>
            </w:r>
          </w:p>
        </w:tc>
      </w:tr>
      <w:tr>
        <w:tc>
          <w:tcPr>
            <w:tcW w:type="dxa" w:w="5504"/>
          </w:tcPr>
          <w:p>
            <w:pPr>
              <w:spacing w:before="60" w:after="60" w:line="240" w:lineRule="auto"/>
            </w:pPr>
            <w:r/>
            <w:r>
              <w:rPr>
                <w:rFonts w:ascii="Consolas" w:hAnsi="Consolas"/>
                <w:b w:val="0"/>
                <w:i w:val="0"/>
                <w:sz w:val="17"/>
              </w:rPr>
              <w:t>danceability.danceable</w:t>
            </w:r>
          </w:p>
        </w:tc>
        <w:tc>
          <w:tcPr>
            <w:tcW w:type="dxa" w:w="3567"/>
          </w:tcPr>
          <w:p>
            <w:pPr>
              <w:spacing w:before="60" w:after="60" w:line="240" w:lineRule="auto"/>
              <w:jc w:val="right"/>
            </w:pPr>
            <w:r/>
            <w:r>
              <w:rPr>
                <w:b/>
                <w:i w:val="0"/>
                <w:sz w:val="18"/>
              </w:rPr>
              <w:t>0.024</w:t>
            </w:r>
          </w:p>
        </w:tc>
      </w:tr>
      <w:tr>
        <w:tc>
          <w:tcPr>
            <w:tcW w:type="dxa" w:w="5504"/>
          </w:tcPr>
          <w:p>
            <w:pPr>
              <w:spacing w:before="60" w:after="60" w:line="240" w:lineRule="auto"/>
            </w:pPr>
            <w:r/>
            <w:r>
              <w:rPr>
                <w:rFonts w:ascii="Consolas" w:hAnsi="Consolas"/>
                <w:b w:val="0"/>
                <w:i w:val="0"/>
                <w:sz w:val="17"/>
              </w:rPr>
              <w:t>mood_aggressive.aggressive</w:t>
            </w:r>
          </w:p>
        </w:tc>
        <w:tc>
          <w:tcPr>
            <w:tcW w:type="dxa" w:w="3567"/>
          </w:tcPr>
          <w:p>
            <w:pPr>
              <w:spacing w:before="60" w:after="60" w:line="240" w:lineRule="auto"/>
              <w:jc w:val="right"/>
            </w:pPr>
            <w:r/>
            <w:r>
              <w:rPr>
                <w:b w:val="0"/>
                <w:i w:val="0"/>
                <w:sz w:val="18"/>
              </w:rPr>
              <w:t>0.983</w:t>
            </w:r>
          </w:p>
        </w:tc>
      </w:tr>
      <w:tr>
        <w:tc>
          <w:tcPr>
            <w:tcW w:type="dxa" w:w="5504"/>
          </w:tcPr>
          <w:p>
            <w:pPr>
              <w:spacing w:before="60" w:after="60" w:line="240" w:lineRule="auto"/>
            </w:pPr>
            <w:r/>
            <w:r>
              <w:rPr>
                <w:rFonts w:ascii="Consolas" w:hAnsi="Consolas"/>
                <w:b w:val="0"/>
                <w:i w:val="0"/>
                <w:sz w:val="17"/>
              </w:rPr>
              <w:t>mood_party.party</w:t>
            </w:r>
          </w:p>
        </w:tc>
        <w:tc>
          <w:tcPr>
            <w:tcW w:type="dxa" w:w="3567"/>
          </w:tcPr>
          <w:p>
            <w:pPr>
              <w:spacing w:before="60" w:after="60" w:line="240" w:lineRule="auto"/>
              <w:jc w:val="right"/>
            </w:pPr>
            <w:r/>
            <w:r>
              <w:rPr>
                <w:b w:val="0"/>
                <w:i w:val="0"/>
                <w:sz w:val="18"/>
              </w:rPr>
              <w:t>0.863</w:t>
            </w:r>
          </w:p>
        </w:tc>
      </w:tr>
      <w:tr>
        <w:tc>
          <w:tcPr>
            <w:tcW w:type="dxa" w:w="5504"/>
          </w:tcPr>
          <w:p>
            <w:pPr>
              <w:spacing w:before="60" w:after="60" w:line="240" w:lineRule="auto"/>
            </w:pPr>
            <w:r/>
            <w:r>
              <w:rPr>
                <w:rFonts w:ascii="Consolas" w:hAnsi="Consolas"/>
                <w:b w:val="0"/>
                <w:i w:val="0"/>
                <w:sz w:val="17"/>
              </w:rPr>
              <w:t>mood_relaxed.relaxed</w:t>
            </w:r>
          </w:p>
        </w:tc>
        <w:tc>
          <w:tcPr>
            <w:tcW w:type="dxa" w:w="3567"/>
          </w:tcPr>
          <w:p>
            <w:pPr>
              <w:spacing w:before="60" w:after="60" w:line="240" w:lineRule="auto"/>
              <w:jc w:val="right"/>
            </w:pPr>
            <w:r/>
            <w:r>
              <w:rPr>
                <w:b w:val="0"/>
                <w:i w:val="0"/>
                <w:sz w:val="18"/>
              </w:rPr>
              <w:t>0.034</w:t>
            </w:r>
          </w:p>
        </w:tc>
      </w:tr>
    </w:tbl>
    <w:p>
      <w:pPr>
        <w:spacing w:after="0"/>
      </w:pPr>
    </w:p>
    <w:p>
      <w:pPr>
        <w:spacing w:before="80" w:after="280"/>
        <w:jc w:val="center"/>
      </w:pPr>
      <w:r>
        <w:rPr>
          <w:b w:val="0"/>
          <w:i/>
          <w:color w:val="5A524C"/>
          <w:sz w:val="18"/>
        </w:rPr>
        <w:t>Table 2. High-level AcousticBrainz classifiers for a single track, showing that danceability is close to orthogonal to energy for guitar music.</w:t>
      </w:r>
    </w:p>
    <w:p>
      <w:r>
        <w:rPr>
          <w:b w:val="0"/>
          <w:i w:val="0"/>
        </w:rPr>
        <w:t xml:space="preserve">Danceability measures whether a track invites dancing, not how energetic it is. So the value being used as "energy" was 0.02 for one of the most energetic tracks in the seed pool. That propagated three ways. Cosine similarity ranked on a near-meaningless coordinate. The "matching energy level" rationale could fire between two tracks with nothing energetic in common. And the card displayed "ENERGY 0.00" for a rock song, which simply reads as broken. The replacement averages </w:t>
      </w:r>
      <w:r>
        <w:rPr>
          <w:rFonts w:ascii="Consolas" w:hAnsi="Consolas"/>
          <w:b w:val="0"/>
          <w:i w:val="0"/>
          <w:sz w:val="20"/>
        </w:rPr>
        <w:t>mood_aggressive</w:t>
      </w:r>
      <w:r>
        <w:rPr>
          <w:b w:val="0"/>
          <w:i w:val="0"/>
        </w:rPr>
        <w:t xml:space="preserve">, </w:t>
      </w:r>
      <w:r>
        <w:rPr>
          <w:rFonts w:ascii="Consolas" w:hAnsi="Consolas"/>
          <w:b w:val="0"/>
          <w:i w:val="0"/>
          <w:sz w:val="20"/>
        </w:rPr>
        <w:t>mood_party</w:t>
      </w:r>
      <w:r>
        <w:rPr>
          <w:b w:val="0"/>
          <w:i w:val="0"/>
        </w:rPr>
        <w:t xml:space="preserve"> and the complement of </w:t>
      </w:r>
      <w:r>
        <w:rPr>
          <w:rFonts w:ascii="Consolas" w:hAnsi="Consolas"/>
          <w:b w:val="0"/>
          <w:i w:val="0"/>
          <w:sz w:val="20"/>
        </w:rPr>
        <w:t>mood_relaxed</w:t>
      </w:r>
      <w:r>
        <w:rPr>
          <w:b w:val="0"/>
          <w:i w:val="0"/>
        </w:rPr>
        <w:t>, three classifiers that do bear on energy and that agree on the example above. They score the same track 0.937.</w:t>
      </w:r>
    </w:p>
    <w:p>
      <w:r>
        <w:rPr>
          <w:b w:val="0"/>
          <w:i w:val="0"/>
        </w:rPr>
        <w:t xml:space="preserve">The evaluation corpus stores </w:t>
      </w:r>
      <w:r>
        <w:rPr>
          <w:b w:val="0"/>
          <w:i/>
        </w:rPr>
        <w:t>parsed</w:t>
      </w:r>
      <w:r>
        <w:rPr>
          <w:b w:val="0"/>
          <w:i w:val="0"/>
        </w:rPr>
        <w:t xml:space="preserve"> features, so this change would have left it stale. A </w:t>
      </w:r>
      <w:r>
        <w:rPr>
          <w:rFonts w:ascii="Consolas" w:hAnsi="Consolas"/>
          <w:b w:val="0"/>
          <w:i w:val="0"/>
          <w:sz w:val="20"/>
        </w:rPr>
        <w:t>refresh-acoustics</w:t>
      </w:r>
      <w:r>
        <w:rPr>
          <w:b w:val="0"/>
          <w:i w:val="0"/>
        </w:rPr>
        <w:t xml:space="preserve"> phase now re-derives the whole corpus through the bulk endpoints in seconds, and runs as part of the harvest.</w:t>
      </w:r>
    </w:p>
    <w:p>
      <w:pPr>
        <w:pStyle w:val="Heading2"/>
      </w:pPr>
      <w:r>
        <w:t>4.9 Frontend implementation</w:t>
      </w:r>
    </w:p>
    <w:p>
      <w:r>
        <w:rPr>
          <w:b w:val="0"/>
          <w:i w:val="0"/>
        </w:rPr>
        <w:t>The React frontend mirrors the backend's care about request correctness.</w:t>
      </w:r>
    </w:p>
    <w:p>
      <w:r>
        <w:rPr>
          <w:rFonts w:ascii="Consolas" w:hAnsi="Consolas"/>
          <w:b w:val="0"/>
          <w:i w:val="0"/>
          <w:sz w:val="20"/>
        </w:rPr>
        <w:t>useRecommendation</w:t>
      </w:r>
      <w:r>
        <w:rPr>
          <w:b w:val="0"/>
          <w:i w:val="0"/>
        </w:rPr>
        <w:t xml:space="preserve"> tags every fetch with a monotonically increasing request id and discards any response whose id is stale. That prevents a slow earlier fetch from overwriting a newer result when the user double-clicks, or when radio mode auto-advances mid-request. Both the success and the failure path are guarded. A stale </w:t>
      </w:r>
      <w:r>
        <w:rPr>
          <w:b w:val="0"/>
          <w:i/>
        </w:rPr>
        <w:t>rejection</w:t>
      </w:r>
      <w:r>
        <w:rPr>
          <w:b w:val="0"/>
          <w:i w:val="0"/>
        </w:rPr>
        <w:t xml:space="preserve"> clearing a newer valid recommendation is the subtler of the two bugs, and it has its own test.</w:t>
      </w:r>
    </w:p>
    <w:p>
      <w:r>
        <w:rPr>
          <w:rFonts w:ascii="Consolas" w:hAnsi="Consolas"/>
          <w:b w:val="0"/>
          <w:i w:val="0"/>
          <w:sz w:val="20"/>
        </w:rPr>
        <w:t>useLocalStorageState</w:t>
      </w:r>
      <w:r>
        <w:rPr>
          <w:b w:val="0"/>
          <w:i w:val="0"/>
        </w:rPr>
        <w:t xml:space="preserve"> validates anything read back from </w:t>
      </w:r>
      <w:r>
        <w:rPr>
          <w:rFonts w:ascii="Consolas" w:hAnsi="Consolas"/>
          <w:b w:val="0"/>
          <w:i w:val="0"/>
          <w:sz w:val="20"/>
        </w:rPr>
        <w:t>localStorage</w:t>
      </w:r>
      <w:r>
        <w:rPr>
          <w:b w:val="0"/>
          <w:i w:val="0"/>
        </w:rPr>
        <w:t xml:space="preserve"> against a type guard, so a stale schema or a hand-edited value hydrates the default rather than reaching components with the wrong shape.</w:t>
      </w:r>
    </w:p>
    <w:p>
      <w:r>
        <w:rPr>
          <w:b w:val="0"/>
          <w:i w:val="0"/>
        </w:rPr>
        <w:t xml:space="preserve">I hardened </w:t>
      </w:r>
      <w:r>
        <w:rPr>
          <w:rFonts w:ascii="Consolas" w:hAnsi="Consolas"/>
          <w:b w:val="0"/>
          <w:i w:val="0"/>
          <w:sz w:val="20"/>
        </w:rPr>
        <w:t>playTrack</w:t>
      </w:r>
      <w:r>
        <w:rPr>
          <w:b w:val="0"/>
          <w:i w:val="0"/>
        </w:rPr>
        <w:t xml:space="preserve"> during this pass. It awaited </w:t>
      </w:r>
      <w:r>
        <w:rPr>
          <w:rFonts w:ascii="Consolas" w:hAnsi="Consolas"/>
          <w:b w:val="0"/>
          <w:i w:val="0"/>
          <w:sz w:val="20"/>
        </w:rPr>
        <w:t>resolveTrack</w:t>
      </w:r>
      <w:r>
        <w:rPr>
          <w:b w:val="0"/>
          <w:i w:val="0"/>
        </w:rPr>
        <w:t xml:space="preserve"> without error handling, so a MusicBrainz outage (a 503) rejected the promise and abandoned the rest of the function. The track played but never entered the setlist, no recommendation was requested, and the only trace was an unhandled rejection in the console. A failed resolve is now treated as "unresolved", so playback and history still work.</w:t>
      </w:r>
    </w:p>
    <w:p>
      <w:r>
        <w:rPr>
          <w:b/>
          <w:i w:val="0"/>
        </w:rPr>
        <w:t>Demo mode</w:t>
      </w:r>
      <w:r>
        <w:rPr>
          <w:b w:val="0"/>
          <w:i w:val="0"/>
        </w:rPr>
        <w:t xml:space="preserve"> (</w:t>
      </w:r>
      <w:r>
        <w:rPr>
          <w:rFonts w:ascii="Consolas" w:hAnsi="Consolas"/>
          <w:b w:val="0"/>
          <w:i w:val="0"/>
          <w:sz w:val="20"/>
        </w:rPr>
        <w:t>VITE_DEMO_MODE=true</w:t>
      </w:r>
      <w:r>
        <w:rPr>
          <w:b w:val="0"/>
          <w:i w:val="0"/>
        </w:rPr>
        <w:t xml:space="preserve">) swaps every network call for deterministic mock data, and it was broken end to end. Mock tracks carried placeholder identifiers like </w:t>
      </w:r>
      <w:r>
        <w:rPr>
          <w:rFonts w:ascii="Consolas" w:hAnsi="Consolas"/>
          <w:b w:val="0"/>
          <w:i w:val="0"/>
          <w:sz w:val="20"/>
        </w:rPr>
        <w:t>mock-0001-teen-spirit</w:t>
      </w:r>
      <w:r>
        <w:rPr>
          <w:b w:val="0"/>
          <w:i w:val="0"/>
        </w:rPr>
        <w:t xml:space="preserve">, which fail the </w:t>
      </w:r>
      <w:r>
        <w:rPr>
          <w:rFonts w:ascii="Consolas" w:hAnsi="Consolas"/>
          <w:b w:val="0"/>
          <w:i w:val="0"/>
          <w:sz w:val="20"/>
        </w:rPr>
        <w:t>isMbid()</w:t>
      </w:r>
      <w:r>
        <w:rPr>
          <w:b w:val="0"/>
          <w:i w:val="0"/>
        </w:rPr>
        <w:t xml:space="preserve"> guard, so playing anything from search or Today's Top 5 produced "we couldn't identify that track" — on exactly the path a demonstration would take. Mock tracks now carry </w:t>
      </w:r>
      <w:r>
        <w:rPr>
          <w:b w:val="0"/>
          <w:i/>
        </w:rPr>
        <w:t>real</w:t>
      </w:r>
      <w:r>
        <w:rPr>
          <w:b w:val="0"/>
          <w:i w:val="0"/>
        </w:rPr>
        <w:t xml:space="preserve"> MusicBrainz identifiers, and the resolve stub mirrors the live endpoint's contract including its </w:t>
      </w:r>
      <w:r>
        <w:rPr>
          <w:rFonts w:ascii="Consolas" w:hAnsi="Consolas"/>
          <w:b w:val="0"/>
          <w:i w:val="0"/>
          <w:sz w:val="20"/>
        </w:rPr>
        <w:t>null</w:t>
      </w:r>
      <w:r>
        <w:rPr>
          <w:b w:val="0"/>
          <w:i w:val="0"/>
        </w:rPr>
        <w:t xml:space="preserve"> return, so demo mode exercises the live code path.</w:t>
      </w:r>
    </w:p>
    <w:p>
      <w:r>
        <w:rPr>
          <w:b w:val="0"/>
          <w:i w:val="0"/>
        </w:rPr>
        <w:t xml:space="preserve">The visual design is deliberately not a component-library default. The Tailwind configuration replaces the framework palette with a named set of custom properties (paper, sleeve, deck, ink, amber, moss, rust), a restricted type scale, hard 2px borders and a one-pixel unblurred drop shadow, paired with Fraunces and Instrument Sans, plus a day/night theme applied as a single class flip on </w:t>
      </w:r>
      <w:r>
        <w:rPr>
          <w:rFonts w:ascii="Consolas" w:hAnsi="Consolas"/>
          <w:b w:val="0"/>
          <w:i w:val="0"/>
          <w:sz w:val="20"/>
        </w:rPr>
        <w:t>&lt;html&gt;</w:t>
      </w:r>
      <w:r>
        <w:rPr>
          <w:b w:val="0"/>
          <w:i w:val="0"/>
        </w:rPr>
        <w:t xml:space="preserve"> before first paint. The "listening deck" identity reinforces the session-based framing of the product (Figure 4).</w:t>
      </w:r>
    </w:p>
    <w:p>
      <w:pPr>
        <w:spacing w:before="200" w:after="40"/>
        <w:jc w:val="center"/>
      </w:pPr>
      <w:r>
        <w:drawing>
          <wp:inline xmlns:a="http://schemas.openxmlformats.org/drawingml/2006/main" xmlns:pic="http://schemas.openxmlformats.org/drawingml/2006/picture">
            <wp:extent cx="4950000" cy="4680000"/>
            <wp:docPr id="1" name="Picture 1"/>
            <wp:cNvGraphicFramePr>
              <a:graphicFrameLocks noChangeAspect="1"/>
            </wp:cNvGraphicFramePr>
            <a:graphic>
              <a:graphicData uri="http://schemas.openxmlformats.org/drawingml/2006/picture">
                <pic:pic>
                  <pic:nvPicPr>
                    <pic:cNvPr id="0" name="screenshot_recommendation.png"/>
                    <pic:cNvPicPr/>
                  </pic:nvPicPr>
                  <pic:blipFill>
                    <a:blip r:embed="rId9"/>
                    <a:stretch>
                      <a:fillRect/>
                    </a:stretch>
                  </pic:blipFill>
                  <pic:spPr>
                    <a:xfrm>
                      <a:off x="0" y="0"/>
                      <a:ext cx="4950000" cy="4680000"/>
                    </a:xfrm>
                    <a:prstGeom prst="rect"/>
                  </pic:spPr>
                </pic:pic>
              </a:graphicData>
            </a:graphic>
          </wp:inline>
        </w:drawing>
      </w:r>
    </w:p>
    <w:p>
      <w:pPr>
        <w:spacing w:before="80" w:after="280"/>
        <w:jc w:val="center"/>
      </w:pPr>
      <w:r>
        <w:rPr>
          <w:b/>
          <w:i w:val="0"/>
          <w:color w:val="5A524C"/>
          <w:sz w:val="18"/>
        </w:rPr>
        <w:t>Figure 4.</w:t>
      </w:r>
      <w:r>
        <w:rPr>
          <w:b w:val="0"/>
          <w:i w:val="0"/>
          <w:color w:val="5A524C"/>
          <w:sz w:val="18"/>
        </w:rPr>
        <w:t xml:space="preserve"> NextTrack running live: Today's Top 5, the player and setlist, and the Recommended Next card showing a Daft Punk → Röyksopp recommendation whose rationale reads "Recommended based on listeners of these artists also listening to this one." That recommendation crosses a genre boundary the content stage alone would not have crossed, which makes it a visible instance of the collaborative stage doing work.</w:t>
      </w:r>
    </w:p>
    <w:p>
      <w:pPr>
        <w:spacing w:before="200" w:after="40"/>
        <w:jc w:val="center"/>
      </w:pPr>
      <w:r>
        <w:drawing>
          <wp:inline xmlns:a="http://schemas.openxmlformats.org/drawingml/2006/main" xmlns:pic="http://schemas.openxmlformats.org/drawingml/2006/picture">
            <wp:extent cx="4109057" cy="4680000"/>
            <wp:docPr id="2" name="Picture 2"/>
            <wp:cNvGraphicFramePr>
              <a:graphicFrameLocks noChangeAspect="1"/>
            </wp:cNvGraphicFramePr>
            <a:graphic>
              <a:graphicData uri="http://schemas.openxmlformats.org/drawingml/2006/picture">
                <pic:pic>
                  <pic:nvPicPr>
                    <pic:cNvPr id="0" name="screenshot_swagger.png"/>
                    <pic:cNvPicPr/>
                  </pic:nvPicPr>
                  <pic:blipFill>
                    <a:blip r:embed="rId10"/>
                    <a:stretch>
                      <a:fillRect/>
                    </a:stretch>
                  </pic:blipFill>
                  <pic:spPr>
                    <a:xfrm>
                      <a:off x="0" y="0"/>
                      <a:ext cx="4109057" cy="4680000"/>
                    </a:xfrm>
                    <a:prstGeom prst="rect"/>
                  </pic:spPr>
                </pic:pic>
              </a:graphicData>
            </a:graphic>
          </wp:inline>
        </w:drawing>
      </w:r>
    </w:p>
    <w:p>
      <w:pPr>
        <w:spacing w:before="80" w:after="280"/>
        <w:jc w:val="center"/>
      </w:pPr>
      <w:r>
        <w:rPr>
          <w:b/>
          <w:i w:val="0"/>
          <w:color w:val="5A524C"/>
          <w:sz w:val="18"/>
        </w:rPr>
        <w:t>Figure 5.</w:t>
      </w:r>
      <w:r>
        <w:rPr>
          <w:b w:val="0"/>
          <w:i w:val="0"/>
          <w:color w:val="5A524C"/>
          <w:sz w:val="18"/>
        </w:rPr>
        <w:t xml:space="preserve"> the FastAPI-generated OpenAPI documentation at </w:t>
      </w:r>
      <w:r>
        <w:rPr>
          <w:rFonts w:ascii="Consolas" w:hAnsi="Consolas"/>
          <w:b w:val="0"/>
          <w:i w:val="0"/>
          <w:color w:val="5A524C"/>
          <w:sz w:val="17"/>
        </w:rPr>
        <w:t>/docs</w:t>
      </w:r>
      <w:r>
        <w:rPr>
          <w:b w:val="0"/>
          <w:i w:val="0"/>
          <w:color w:val="5A524C"/>
          <w:sz w:val="18"/>
        </w:rPr>
        <w:t>, listing all five endpoints and their schemas.</w:t>
      </w:r>
    </w:p>
    <w:p>
      <w:pPr>
        <w:pStyle w:val="Heading2"/>
      </w:pPr>
      <w:r>
        <w:t>4.10 Testing and quality gates</w:t>
      </w:r>
    </w:p>
    <w:p>
      <w:r>
        <w:rPr>
          <w:b w:val="0"/>
          <w:i w:val="0"/>
        </w:rPr>
        <w:t xml:space="preserve">The backend carries </w:t>
      </w:r>
      <w:r>
        <w:rPr>
          <w:b/>
          <w:i w:val="0"/>
        </w:rPr>
        <w:t>121 tests</w:t>
      </w:r>
      <w:r>
        <w:rPr>
          <w:b w:val="0"/>
          <w:i w:val="0"/>
        </w:rPr>
        <w:t xml:space="preserve"> across fourteen files (up from 37 at the draft stage), and the frontend </w:t>
      </w:r>
      <w:r>
        <w:rPr>
          <w:b/>
          <w:i w:val="0"/>
        </w:rPr>
        <w:t>29</w:t>
      </w:r>
      <w:r>
        <w:rPr>
          <w:b w:val="0"/>
          <w:i w:val="0"/>
        </w:rPr>
        <w:t xml:space="preserve"> across three, using Vitest and React Testing Library where it previously had none.</w:t>
      </w:r>
    </w:p>
    <w:p>
      <w:r>
        <w:rPr>
          <w:b w:val="0"/>
          <w:i w:val="0"/>
        </w:rPr>
        <w:t xml:space="preserve">One property deserves describing, because it was a claim before it was a mechanism. The README and draft report both stated that all external APIs are mocked and no real network calls are made. That was a convention. Nothing enforced it, and the ListenBrainz health probe was in fact making live requests from the suite. An autouse fixture now guards the boundary, and it needed two layers to do so. A socket-level guard catches the synchronous clients but </w:t>
      </w:r>
      <w:r>
        <w:rPr>
          <w:b/>
          <w:i w:val="0"/>
        </w:rPr>
        <w:t>not</w:t>
      </w:r>
      <w:r>
        <w:rPr>
          <w:b w:val="0"/>
          <w:i w:val="0"/>
        </w:rPr>
        <w:t xml:space="preserve"> async </w:t>
      </w:r>
      <w:r>
        <w:rPr>
          <w:rFonts w:ascii="Consolas" w:hAnsi="Consolas"/>
          <w:b w:val="0"/>
          <w:i w:val="0"/>
          <w:sz w:val="20"/>
        </w:rPr>
        <w:t>httpx</w:t>
      </w:r>
      <w:r>
        <w:rPr>
          <w:b w:val="0"/>
          <w:i w:val="0"/>
        </w:rPr>
        <w:t xml:space="preserve">, because on Windows the Proactor event loop connects through overlapped I/O instead of </w:t>
      </w:r>
      <w:r>
        <w:rPr>
          <w:rFonts w:ascii="Consolas" w:hAnsi="Consolas"/>
          <w:b w:val="0"/>
          <w:i w:val="0"/>
          <w:sz w:val="20"/>
        </w:rPr>
        <w:t>socket.socket.connect</w:t>
      </w:r>
      <w:r>
        <w:rPr>
          <w:b w:val="0"/>
          <w:i w:val="0"/>
        </w:rPr>
        <w:t xml:space="preserve">, so an unmocked async client passes straight through. That gap was not hypothetical: the AcousticBrainz bulk client made live requests from the suite until I found it. An httpx-level guard inspecting the request URL closes it, and </w:t>
      </w:r>
      <w:r>
        <w:rPr>
          <w:rFonts w:ascii="Consolas" w:hAnsi="Consolas"/>
          <w:b w:val="0"/>
          <w:i w:val="0"/>
          <w:sz w:val="20"/>
        </w:rPr>
        <w:t>test_network_guard.py</w:t>
      </w:r>
      <w:r>
        <w:rPr>
          <w:b w:val="0"/>
          <w:i w:val="0"/>
        </w:rPr>
        <w:t xml:space="preserve"> tests the guard itself, so a future gap fails there instead of silently re-enabling live traffic.</w:t>
      </w:r>
    </w:p>
    <w:p>
      <w:r>
        <w:rPr>
          <w:b w:val="0"/>
          <w:i w:val="0"/>
        </w:rPr>
        <w:t>Beyond the suite, a 32-case adversarial sweep (</w:t>
      </w:r>
      <w:r>
        <w:rPr>
          <w:rFonts w:ascii="Consolas" w:hAnsi="Consolas"/>
          <w:b w:val="0"/>
          <w:i w:val="0"/>
          <w:sz w:val="20"/>
        </w:rPr>
        <w:t>scripts/adversarial_sweep.py</w:t>
      </w:r>
      <w:r>
        <w:rPr>
          <w:b w:val="0"/>
          <w:i w:val="0"/>
        </w:rPr>
        <w:t xml:space="preserve">) throws hostile input at a running instance — wrong types and arity, 100 KB strings, injection-shaped identifiers, reversed ranges, unicode, wrong methods — against one rule: </w:t>
      </w:r>
      <w:r>
        <w:rPr>
          <w:b/>
          <w:i w:val="0"/>
        </w:rPr>
        <w:t>no malformed request may produce a 5xx</w:t>
      </w:r>
      <w:r>
        <w:rPr>
          <w:b w:val="0"/>
          <w:i w:val="0"/>
        </w:rPr>
        <w:t xml:space="preserve">. It found one: a whitespace-padded identifier passed validation (which strips) but was used unstripped, reached MusicBrainz, retried eight times, and surfaced as a 503 blaming a working service. Validating one value and using another is the defect; a </w:t>
      </w:r>
      <w:r>
        <w:rPr>
          <w:rFonts w:ascii="Consolas" w:hAnsi="Consolas"/>
          <w:b w:val="0"/>
          <w:i w:val="0"/>
          <w:sz w:val="20"/>
        </w:rPr>
        <w:t>normalise_mbid</w:t>
      </w:r>
      <w:r>
        <w:rPr>
          <w:b w:val="0"/>
          <w:i w:val="0"/>
        </w:rPr>
        <w:t xml:space="preserve"> step at the boundary fixes it, and the sweep now passes 32/32.</w:t>
      </w:r>
    </w:p>
    <w:p>
      <w:r>
        <w:rPr>
          <w:b w:val="0"/>
          <w:i w:val="0"/>
        </w:rPr>
        <w:t xml:space="preserve">Static analysis runs clean: </w:t>
      </w:r>
      <w:r>
        <w:rPr>
          <w:rFonts w:ascii="Consolas" w:hAnsi="Consolas"/>
          <w:b w:val="0"/>
          <w:i w:val="0"/>
          <w:sz w:val="20"/>
        </w:rPr>
        <w:t>ruff</w:t>
      </w:r>
      <w:r>
        <w:rPr>
          <w:b w:val="0"/>
          <w:i w:val="0"/>
        </w:rPr>
        <w:t xml:space="preserve"> (with import ordering, bugbear, comprehension, modernisation and unused-argument rules), </w:t>
      </w:r>
      <w:r>
        <w:rPr>
          <w:rFonts w:ascii="Consolas" w:hAnsi="Consolas"/>
          <w:b w:val="0"/>
          <w:i w:val="0"/>
          <w:sz w:val="20"/>
        </w:rPr>
        <w:t>mypy</w:t>
      </w:r>
      <w:r>
        <w:rPr>
          <w:b w:val="0"/>
          <w:i w:val="0"/>
        </w:rPr>
        <w:t xml:space="preserve"> over all 23 backend source files, and </w:t>
      </w:r>
      <w:r>
        <w:rPr>
          <w:rFonts w:ascii="Consolas" w:hAnsi="Consolas"/>
          <w:b w:val="0"/>
          <w:i w:val="0"/>
          <w:sz w:val="20"/>
        </w:rPr>
        <w:t>tsc --noEmit</w:t>
      </w:r>
      <w:r>
        <w:rPr>
          <w:b w:val="0"/>
          <w:i w:val="0"/>
        </w:rPr>
        <w:t xml:space="preserve"> over the frontend. </w:t>
      </w:r>
      <w:r>
        <w:rPr>
          <w:rFonts w:ascii="Consolas" w:hAnsi="Consolas"/>
          <w:b w:val="0"/>
          <w:i w:val="0"/>
          <w:sz w:val="20"/>
        </w:rPr>
        <w:t>mypy</w:t>
      </w:r>
      <w:r>
        <w:rPr>
          <w:b w:val="0"/>
          <w:i w:val="0"/>
        </w:rPr>
        <w:t xml:space="preserve"> earned its place by finding the defect in Section 4.6. I also repaired the frontend dependency tree. Vite 8 had been installed against a plugin declaring support only to Vite 7, which left </w:t>
      </w:r>
      <w:r>
        <w:rPr>
          <w:rFonts w:ascii="Consolas" w:hAnsi="Consolas"/>
          <w:b w:val="0"/>
          <w:i w:val="0"/>
          <w:sz w:val="20"/>
        </w:rPr>
        <w:t>npm ls</w:t>
      </w:r>
      <w:r>
        <w:rPr>
          <w:b w:val="0"/>
          <w:i w:val="0"/>
        </w:rPr>
        <w:t xml:space="preserve"> reporting an invalid tree and </w:t>
      </w:r>
      <w:r>
        <w:rPr>
          <w:rFonts w:ascii="Consolas" w:hAnsi="Consolas"/>
          <w:b w:val="0"/>
          <w:i w:val="0"/>
          <w:sz w:val="20"/>
        </w:rPr>
        <w:t>npm audit</w:t>
      </w:r>
      <w:r>
        <w:rPr>
          <w:b w:val="0"/>
          <w:i w:val="0"/>
        </w:rPr>
        <w:t xml:space="preserve"> reporting two high-severity advisories. Both are resolved.</w:t>
      </w:r>
    </w:p>
    <w:p>
      <w:pPr>
        <w:pStyle w:val="Heading2"/>
      </w:pPr>
      <w:r>
        <w:t>4.11 Reproducible evaluation tooling</w:t>
      </w:r>
    </w:p>
    <w:p>
      <w:r>
        <w:rPr>
          <w:b w:val="0"/>
          <w:i w:val="0"/>
        </w:rPr>
        <w:t xml:space="preserve">The evaluation lives in the repository rather than beside it, in four scripts under </w:t>
      </w:r>
      <w:r>
        <w:rPr>
          <w:rFonts w:ascii="Consolas" w:hAnsi="Consolas"/>
          <w:b w:val="0"/>
          <w:i w:val="0"/>
          <w:sz w:val="20"/>
        </w:rPr>
        <w:t>backend/scripts/</w:t>
      </w:r>
      <w:r>
        <w:rPr>
          <w:b w:val="0"/>
          <w:i w:val="0"/>
        </w:rPr>
        <w:t xml:space="preserve">: </w:t>
      </w:r>
      <w:r>
        <w:rPr>
          <w:rFonts w:ascii="Consolas" w:hAnsi="Consolas"/>
          <w:b w:val="0"/>
          <w:i w:val="0"/>
          <w:sz w:val="20"/>
        </w:rPr>
        <w:t>build_eval_dataset.py</w:t>
      </w:r>
      <w:r>
        <w:rPr>
          <w:b w:val="0"/>
          <w:i w:val="0"/>
        </w:rPr>
        <w:t xml:space="preserve"> harvests held-out listening sessions in three resumable, checkpointed phases; </w:t>
      </w:r>
      <w:r>
        <w:rPr>
          <w:rFonts w:ascii="Consolas" w:hAnsi="Consolas"/>
          <w:b w:val="0"/>
          <w:i w:val="0"/>
          <w:sz w:val="20"/>
        </w:rPr>
        <w:t>augment_catalogue.py</w:t>
      </w:r>
      <w:r>
        <w:rPr>
          <w:b w:val="0"/>
          <w:i w:val="0"/>
        </w:rPr>
        <w:t xml:space="preserve"> snapshots real MusicBrainz candidate-retrieval responses; </w:t>
      </w:r>
      <w:r>
        <w:rPr>
          <w:rFonts w:ascii="Consolas" w:hAnsi="Consolas"/>
          <w:b w:val="0"/>
          <w:i w:val="0"/>
          <w:sz w:val="20"/>
        </w:rPr>
        <w:t>offline_eval.py</w:t>
      </w:r>
      <w:r>
        <w:rPr>
          <w:b w:val="0"/>
          <w:i w:val="0"/>
        </w:rPr>
        <w:t xml:space="preserve"> runs seven arms over the snapshot; and </w:t>
      </w:r>
      <w:r>
        <w:rPr>
          <w:rFonts w:ascii="Consolas" w:hAnsi="Consolas"/>
          <w:b w:val="0"/>
          <w:i w:val="0"/>
          <w:sz w:val="20"/>
        </w:rPr>
        <w:t>make_figures.py</w:t>
      </w:r>
      <w:r>
        <w:rPr>
          <w:b w:val="0"/>
          <w:i w:val="0"/>
        </w:rPr>
        <w:t xml:space="preserve"> renders every figure from the raw results, so no number in a figure is typed by hand.</w:t>
      </w:r>
    </w:p>
    <w:p>
      <w:r>
        <w:rPr>
          <w:b w:val="0"/>
          <w:i w:val="0"/>
        </w:rPr>
        <w:t xml:space="preserve">One decision matters most for validity. </w:t>
      </w:r>
      <w:r>
        <w:rPr>
          <w:rFonts w:ascii="Consolas" w:hAnsi="Consolas"/>
          <w:b w:val="0"/>
          <w:i w:val="0"/>
          <w:sz w:val="20"/>
        </w:rPr>
        <w:t>offline_eval.py</w:t>
      </w:r>
      <w:r>
        <w:rPr>
          <w:b w:val="0"/>
          <w:i w:val="0"/>
        </w:rPr>
        <w:t xml:space="preserve"> calls </w:t>
      </w:r>
      <w:r>
        <w:rPr>
          <w:rFonts w:ascii="Consolas" w:hAnsi="Consolas"/>
          <w:b w:val="0"/>
          <w:i w:val="0"/>
          <w:sz w:val="20"/>
        </w:rPr>
        <w:t>recommender.recommend_ranked</w:t>
      </w:r>
      <w:r>
        <w:rPr>
          <w:b w:val="0"/>
          <w:i w:val="0"/>
        </w:rPr>
        <w:t xml:space="preserve"> itself, with only the data clients redirected at the snapshot. An evaluation that re-implements the scoring logic measures the re-implementation. Here the code under measurement is the code that serves requests.</w:t>
      </w:r>
    </w:p>
    <w:p>
      <w:r>
        <w:br w:type="page"/>
      </w:r>
    </w:p>
    <w:p>
      <w:pPr>
        <w:pStyle w:val="Heading1"/>
        <w:pBdr>
          <w:bottom w:val="single" w:sz="6" w:space="4" w:color="C9BFB4"/>
        </w:pBdr>
      </w:pPr>
      <w:r>
        <w:t>Chapter 5: Evaluation</w:t>
      </w:r>
    </w:p>
    <w:p>
      <w:pPr>
        <w:pStyle w:val="Heading2"/>
      </w:pPr>
      <w:r>
        <w:t>5.1 Objectives, and what this evaluation cannot establish</w:t>
      </w:r>
    </w:p>
    <w:p>
      <w:r>
        <w:rPr>
          <w:b w:val="0"/>
          <w:i w:val="0"/>
        </w:rPr>
        <w:t>The evaluation answers three questions. Can the engine predict a real listener's next track better than obvious alternatives? Does each cascade stage earn its place? And is the system correct, reproducible and robust enough to be trusted?</w:t>
      </w:r>
    </w:p>
    <w:p>
      <w:r>
        <w:rPr>
          <w:b w:val="0"/>
          <w:i w:val="0"/>
        </w:rPr>
        <w:t xml:space="preserve">It cannot answer the fourth question the original plan treated as central: whether listeners </w:t>
      </w:r>
      <w:r>
        <w:rPr>
          <w:b w:val="0"/>
          <w:i/>
        </w:rPr>
        <w:t>like</w:t>
      </w:r>
      <w:r>
        <w:rPr>
          <w:b w:val="0"/>
          <w:i w:val="0"/>
        </w:rPr>
        <w:t xml:space="preserve"> what NextTrack chooses. </w:t>
      </w:r>
      <w:r>
        <w:rPr>
          <w:b/>
          <w:i w:val="0"/>
        </w:rPr>
        <w:t>No user study was conducted</w:t>
      </w:r>
      <w:r>
        <w:rPr>
          <w:b w:val="0"/>
          <w:i w:val="0"/>
        </w:rPr>
        <w:t xml:space="preserve"> (Objective 7; reasons in Section 1.4). In partial compensation I widened the offline work to use real listening sessions instead of curated ones, three baselines, beyond-accuracy metrics, a retrieval/ranking decomposition, paired significance testing with effect sizes, a metadata control, and a live latency benchmark.</w:t>
      </w:r>
    </w:p>
    <w:p>
      <w:pPr>
        <w:pStyle w:val="Heading2"/>
      </w:pPr>
      <w:r>
        <w:t>5.2 Methodology and its justification</w:t>
      </w:r>
    </w:p>
    <w:p>
      <w:r>
        <w:rPr>
          <w:b/>
          <w:i w:val="0"/>
        </w:rPr>
        <w:t>Protocol.</w:t>
      </w:r>
      <w:r>
        <w:rPr>
          <w:b w:val="0"/>
          <w:i w:val="0"/>
        </w:rPr>
        <w:t xml:space="preserve"> Each held-out session supplies a listening history and one ground-truth next track. All seven arms rank the </w:t>
      </w:r>
      <w:r>
        <w:rPr>
          <w:b w:val="0"/>
          <w:i/>
        </w:rPr>
        <w:t>same</w:t>
      </w:r>
      <w:r>
        <w:rPr>
          <w:b w:val="0"/>
          <w:i w:val="0"/>
        </w:rPr>
        <w:t xml:space="preserve"> candidate set for the </w:t>
      </w:r>
      <w:r>
        <w:rPr>
          <w:b w:val="0"/>
          <w:i/>
        </w:rPr>
        <w:t>same</w:t>
      </w:r>
      <w:r>
        <w:rPr>
          <w:b w:val="0"/>
          <w:i w:val="0"/>
        </w:rPr>
        <w:t xml:space="preserve"> session, so any difference is attributable to ranking and not to retrieval luck.</w:t>
      </w:r>
    </w:p>
    <w:p>
      <w:r>
        <w:rPr>
          <w:b/>
          <w:i w:val="0"/>
        </w:rPr>
        <w:t>Ground truth from real listening sessions.</w:t>
      </w:r>
      <w:r>
        <w:rPr>
          <w:b w:val="0"/>
          <w:i w:val="0"/>
        </w:rPr>
        <w:t xml:space="preserve"> Building held-out sequences from my own curated seed pool would have been circular, measuring only how well a genre-driven engine reproduces its author's groupings. The ground truth comes instead from </w:t>
      </w:r>
      <w:r>
        <w:rPr>
          <w:b/>
          <w:i w:val="0"/>
        </w:rPr>
        <w:t>real, voluntarily-public ListenBrainz listening histories</w:t>
      </w:r>
      <w:r>
        <w:rPr>
          <w:b w:val="0"/>
          <w:i w:val="0"/>
        </w:rPr>
        <w:t>, segmented on a 30-minute inactivity gap (Hidasi et al., 2016) with the final track held out. Their construction knows nothing about genre, tempo or co-listening, so the ground truth is independent of every signal the engine ranks on, which addresses Bauer et al.'s (2024) warning against convenient benchmark data.</w:t>
      </w:r>
    </w:p>
    <w:p>
      <w:r>
        <w:rPr>
          <w:b/>
          <w:i w:val="0"/>
        </w:rPr>
        <w:t>Realistic distractors.</w:t>
      </w:r>
      <w:r>
        <w:rPr>
          <w:b w:val="0"/>
          <w:i w:val="0"/>
        </w:rPr>
        <w:t xml:space="preserve"> The evaluation replays </w:t>
      </w:r>
      <w:r>
        <w:rPr>
          <w:b/>
          <w:i w:val="0"/>
        </w:rPr>
        <w:t>real MusicBrainz tag-search responses</w:t>
      </w:r>
      <w:r>
        <w:rPr>
          <w:b w:val="0"/>
          <w:i w:val="0"/>
        </w:rPr>
        <w:t xml:space="preserve"> in MusicBrainz's own order, so the engine faces the production pool.</w:t>
      </w:r>
    </w:p>
    <w:p>
      <w:r>
        <w:rPr>
          <w:b/>
          <w:i w:val="0"/>
        </w:rPr>
        <w:t>The engine evaluates itself, reproducibly</w:t>
      </w:r>
      <w:r>
        <w:rPr>
          <w:b w:val="0"/>
          <w:i w:val="0"/>
        </w:rPr>
        <w:t xml:space="preserve"> (Section 4.11). The harness calls the production ranking code, redirecting only the data clients at a committed snapshot and seeding the random baseline, so </w:t>
      </w:r>
      <w:r>
        <w:rPr>
          <w:rFonts w:ascii="Consolas" w:hAnsi="Consolas"/>
          <w:b w:val="0"/>
          <w:i w:val="0"/>
          <w:sz w:val="20"/>
        </w:rPr>
        <w:t>scripts/offline_eval.py</w:t>
      </w:r>
      <w:r>
        <w:rPr>
          <w:b w:val="0"/>
          <w:i w:val="0"/>
        </w:rPr>
        <w:t xml:space="preserve"> reproduces every number.</w:t>
      </w:r>
    </w:p>
    <w:p>
      <w:pPr>
        <w:pStyle w:val="Heading2"/>
      </w:pPr>
      <w:r>
        <w:t>5.3 Dataset, baselines and metrics</w:t>
      </w:r>
    </w:p>
    <w:p>
      <w:r>
        <w:rPr>
          <w:b/>
          <w:i w:val="0"/>
        </w:rPr>
        <w:t>Dataset.</w:t>
      </w:r>
      <w:r>
        <w:rPr>
          <w:b w:val="0"/>
          <w:i w:val="0"/>
        </w:rPr>
        <w:t xml:space="preserve"> The harvest produced </w:t>
      </w:r>
      <w:r>
        <w:rPr>
          <w:b/>
          <w:i w:val="0"/>
        </w:rPr>
        <w:t>140</w:t>
      </w:r>
      <w:r>
        <w:rPr>
          <w:b w:val="0"/>
          <w:i w:val="0"/>
        </w:rPr>
        <w:t xml:space="preserve"> held-out sessions from 24 listeners, each 4–8 tracks long (median 8), covering 859 recordings by 322 artist </w:t>
      </w:r>
      <w:r>
        <w:rPr>
          <w:b w:val="0"/>
          <w:i/>
        </w:rPr>
        <w:t>names</w:t>
      </w:r>
      <w:r>
        <w:rPr>
          <w:b w:val="0"/>
          <w:i w:val="0"/>
        </w:rPr>
        <w:t xml:space="preserve">, ranked against a catalogue of 5,844 that includes 4,985 real retrieved candidates. Two reductions apply throughout: </w:t>
      </w:r>
      <w:r>
        <w:rPr>
          <w:b/>
          <w:i w:val="0"/>
        </w:rPr>
        <w:t>138 sessions are rankable</w:t>
      </w:r>
      <w:r>
        <w:rPr>
          <w:b w:val="0"/>
          <w:i w:val="0"/>
        </w:rPr>
        <w:t xml:space="preserve"> (two resolved no history track to a genre, so produced no pool, and are excluded from every arm rather than scored as misses), and the 322 names resolve to </w:t>
      </w:r>
      <w:r>
        <w:rPr>
          <w:b/>
          <w:i w:val="0"/>
        </w:rPr>
        <w:t>281 distinct MusicBrainz artist identifiers</w:t>
      </w:r>
      <w:r>
        <w:rPr>
          <w:b w:val="0"/>
          <w:i w:val="0"/>
        </w:rPr>
        <w:t xml:space="preserve">, the rest being collaboration credits and name variants collapsing onto identifiers already counted. I quote coverage against the 281, since that is what the collaborative stage queries: </w:t>
      </w:r>
      <w:r>
        <w:rPr>
          <w:b/>
          <w:i w:val="0"/>
        </w:rPr>
        <w:t>94.0%</w:t>
      </w:r>
      <w:r>
        <w:rPr>
          <w:b w:val="0"/>
          <w:i w:val="0"/>
        </w:rPr>
        <w:t xml:space="preserve"> have ListenBrainz similarity data, while </w:t>
      </w:r>
      <w:r>
        <w:rPr>
          <w:b/>
          <w:i w:val="0"/>
        </w:rPr>
        <w:t>65.8%</w:t>
      </w:r>
      <w:r>
        <w:rPr>
          <w:b w:val="0"/>
          <w:i w:val="0"/>
        </w:rPr>
        <w:t xml:space="preserve"> of session tracks have AcousticBrainz data. A median of five genre tags per track (7% carry none) means the genre block does most of the ranking work.</w:t>
      </w:r>
    </w:p>
    <w:p>
      <w:r>
        <w:rPr>
          <w:b/>
          <w:i w:val="0"/>
        </w:rPr>
        <w:t>Baselines.</w:t>
      </w:r>
      <w:r>
        <w:rPr>
          <w:b w:val="0"/>
          <w:i w:val="0"/>
        </w:rPr>
        <w:t xml:space="preserve"> </w:t>
      </w:r>
      <w:r>
        <w:rPr>
          <w:b w:val="0"/>
          <w:i/>
        </w:rPr>
        <w:t>Random (retrieved pool)</w:t>
      </w:r>
      <w:r>
        <w:rPr>
          <w:b w:val="0"/>
          <w:i w:val="0"/>
        </w:rPr>
        <w:t xml:space="preserve"> isolates ranking by giving chance the same 100-item set every arm receives. </w:t>
      </w:r>
      <w:r>
        <w:rPr>
          <w:b w:val="0"/>
          <w:i/>
        </w:rPr>
        <w:t>Most popular</w:t>
      </w:r>
      <w:r>
        <w:rPr>
          <w:b w:val="0"/>
          <w:i w:val="0"/>
        </w:rPr>
        <w:t xml:space="preserve"> ranks that set by how many corpus sessions contain each track. It is the strongest non-personalised baseline, and the one Bonnin and Jannach (2014) warn is harder to beat than it looks. </w:t>
      </w:r>
      <w:r>
        <w:rPr>
          <w:b w:val="0"/>
          <w:i/>
        </w:rPr>
        <w:t>Random (whole catalogue)</w:t>
      </w:r>
      <w:r>
        <w:rPr>
          <w:b w:val="0"/>
          <w:i w:val="0"/>
        </w:rPr>
        <w:t xml:space="preserve"> samples all 5,844 tracks instead, so it does not share the others' protocol and appears in Table 4 only as a sanity floor.</w:t>
      </w:r>
    </w:p>
    <w:p>
      <w:r>
        <w:rPr>
          <w:b/>
          <w:i w:val="0"/>
        </w:rPr>
        <w:t>Ablation.</w:t>
      </w:r>
      <w:r>
        <w:rPr>
          <w:b w:val="0"/>
          <w:i w:val="0"/>
        </w:rPr>
        <w:t xml:space="preserve"> Content only; content + collaborative; content + MMR; full cascade. Disabling a stage sets its parameter to the neutral value (collaborative weight 0, MMR λ = 1) instead of branching, so the ablation exercises production code.</w:t>
      </w:r>
    </w:p>
    <w:p>
      <w:r>
        <w:rPr>
          <w:b/>
          <w:i w:val="0"/>
        </w:rPr>
        <w:t>Metrics.</w:t>
      </w:r>
      <w:r>
        <w:rPr>
          <w:b w:val="0"/>
          <w:i w:val="0"/>
        </w:rPr>
        <w:t xml:space="preserve"> HitRate@K and nDCG@K measure accuracy, the latter sensitive to </w:t>
      </w:r>
      <w:r>
        <w:rPr>
          <w:b w:val="0"/>
          <w:i/>
        </w:rPr>
        <w:t>where</w:t>
      </w:r>
      <w:r>
        <w:rPr>
          <w:b w:val="0"/>
          <w:i w:val="0"/>
        </w:rPr>
        <w:t xml:space="preserve"> the track landed, and MRR summarises rank position. Intra-list diversity, novelty and coverage are the beyond-accuracy measures Celma and Herrera (2008) and Kaminskas and Bridge (2016) argue music recommendation needs. Reachability is reported separately, because it bounds every accuracy figure.</w:t>
      </w:r>
    </w:p>
    <w:p>
      <w:r>
        <w:rPr>
          <w:b/>
          <w:i w:val="0"/>
        </w:rPr>
        <w:t>Significance.</w:t>
      </w:r>
      <w:r>
        <w:rPr>
          <w:b w:val="0"/>
          <w:i w:val="0"/>
        </w:rPr>
        <w:t xml:space="preserve"> Arms score the same sessions, so results are paired. I used a Wilcoxon signed-rank test (Wilcoxon, 1945) instead of a t-test, since per-session nDCG is bounded, heavily tied at zero and not normal. Six pairwise comparisons inflate the family-wise error rate, so p-values are quoted uncorrected and then checked under Holm–Bonferroni at α = 0.05, which changes no conclusion. Effect sizes are matched-pairs rank-biserial correlations </w:t>
      </w:r>
      <w:r>
        <w:rPr>
          <w:b w:val="0"/>
          <w:i/>
        </w:rPr>
        <w:t>r</w:t>
      </w:r>
      <w:r>
        <w:rPr>
          <w:b w:val="0"/>
          <w:i w:val="0"/>
        </w:rPr>
        <w:t>. Appendix C gives the full table.</w:t>
      </w:r>
    </w:p>
    <w:p>
      <w:pPr>
        <w:pStyle w:val="Heading2"/>
      </w:pPr>
      <w:r>
        <w:t>5.4 Experiment A — the retrieval stage cannot reach the target</w:t>
      </w:r>
    </w:p>
    <w:p>
      <w:r>
        <w:rPr>
          <w:b w:val="0"/>
          <w:i w:val="0"/>
        </w:rPr>
        <w:t>The first result reframes everything after it. For each of the 138 rankable sessions the engine's genre-gated MusicBrainz search ran exactly as in production, producing a mean pool of 145.7 candidates, which I checked for the track played next.</w:t>
      </w:r>
    </w:p>
    <w:tbl>
      <w:tblPr>
        <w:tblStyle w:val="TableGrid"/>
        <w:tblW w:type="auto" w:w="0"/>
        <w:jc w:val="center"/>
        <w:tblLayout w:type="fixed"/>
        <w:tblLook w:firstColumn="1" w:firstRow="1" w:lastColumn="0" w:lastRow="0" w:noHBand="0" w:noVBand="1" w:val="04A0"/>
        <w:tblLayout w:type="fixed"/>
      </w:tblPr>
      <w:tblGrid>
        <w:gridCol w:w="4536"/>
        <w:gridCol w:w="4536"/>
      </w:tblGrid>
      <w:tr>
        <w:tc>
          <w:tcPr>
            <w:tcW w:type="dxa" w:w="6490"/>
            <w:shd w:val="clear" w:color="auto" w:fill="F3EEE8"/>
          </w:tcPr>
          <w:p>
            <w:pPr>
              <w:spacing w:before="60" w:after="60" w:line="240" w:lineRule="auto"/>
            </w:pPr>
            <w:r/>
            <w:r>
              <w:rPr>
                <w:b/>
                <w:sz w:val="18"/>
              </w:rPr>
              <w:t>Held-out track present in the retrieved pool?</w:t>
            </w:r>
          </w:p>
        </w:tc>
        <w:tc>
          <w:tcPr>
            <w:tcW w:type="dxa" w:w="2581"/>
            <w:shd w:val="clear" w:color="auto" w:fill="F3EEE8"/>
          </w:tcPr>
          <w:p>
            <w:pPr>
              <w:spacing w:before="60" w:after="60" w:line="240" w:lineRule="auto"/>
              <w:jc w:val="right"/>
            </w:pPr>
            <w:r/>
            <w:r>
              <w:rPr>
                <w:b/>
                <w:sz w:val="18"/>
              </w:rPr>
              <w:t>Share of sessions</w:t>
            </w:r>
          </w:p>
        </w:tc>
      </w:tr>
      <w:tr>
        <w:tc>
          <w:tcPr>
            <w:tcW w:type="dxa" w:w="6490"/>
          </w:tcPr>
          <w:p>
            <w:pPr>
              <w:spacing w:before="60" w:after="60" w:line="240" w:lineRule="auto"/>
            </w:pPr>
            <w:r/>
            <w:r>
              <w:rPr>
                <w:b w:val="0"/>
                <w:i w:val="0"/>
                <w:sz w:val="18"/>
              </w:rPr>
              <w:t>Exact recording identifier</w:t>
            </w:r>
          </w:p>
        </w:tc>
        <w:tc>
          <w:tcPr>
            <w:tcW w:type="dxa" w:w="2581"/>
          </w:tcPr>
          <w:p>
            <w:pPr>
              <w:spacing w:before="60" w:after="60" w:line="240" w:lineRule="auto"/>
              <w:jc w:val="right"/>
            </w:pPr>
            <w:r/>
            <w:r>
              <w:rPr>
                <w:b/>
                <w:i w:val="0"/>
                <w:sz w:val="18"/>
              </w:rPr>
              <w:t>0.000</w:t>
            </w:r>
          </w:p>
        </w:tc>
      </w:tr>
      <w:tr>
        <w:tc>
          <w:tcPr>
            <w:tcW w:type="dxa" w:w="6490"/>
          </w:tcPr>
          <w:p>
            <w:pPr>
              <w:spacing w:before="60" w:after="60" w:line="240" w:lineRule="auto"/>
            </w:pPr>
            <w:r/>
            <w:r>
              <w:rPr>
                <w:b w:val="0"/>
                <w:i w:val="0"/>
                <w:sz w:val="18"/>
              </w:rPr>
              <w:t>Same song (normalised artist and title, any release)</w:t>
            </w:r>
          </w:p>
        </w:tc>
        <w:tc>
          <w:tcPr>
            <w:tcW w:type="dxa" w:w="2581"/>
          </w:tcPr>
          <w:p>
            <w:pPr>
              <w:spacing w:before="60" w:after="60" w:line="240" w:lineRule="auto"/>
              <w:jc w:val="right"/>
            </w:pPr>
            <w:r/>
            <w:r>
              <w:rPr>
                <w:b/>
                <w:i w:val="0"/>
                <w:sz w:val="18"/>
              </w:rPr>
              <w:t>0.000</w:t>
            </w:r>
          </w:p>
        </w:tc>
      </w:tr>
      <w:tr>
        <w:tc>
          <w:tcPr>
            <w:tcW w:type="dxa" w:w="6490"/>
          </w:tcPr>
          <w:p>
            <w:pPr>
              <w:spacing w:before="60" w:after="60" w:line="240" w:lineRule="auto"/>
            </w:pPr>
            <w:r/>
            <w:r>
              <w:rPr>
                <w:b w:val="0"/>
                <w:i w:val="0"/>
                <w:sz w:val="18"/>
              </w:rPr>
              <w:t xml:space="preserve">Same </w:t>
            </w:r>
            <w:r>
              <w:rPr>
                <w:b w:val="0"/>
                <w:i/>
                <w:sz w:val="18"/>
              </w:rPr>
              <w:t>artist</w:t>
            </w:r>
            <w:r>
              <w:rPr>
                <w:b w:val="0"/>
                <w:i w:val="0"/>
                <w:sz w:val="18"/>
              </w:rPr>
              <w:t xml:space="preserve"> only, anywhere in the pool</w:t>
            </w:r>
          </w:p>
        </w:tc>
        <w:tc>
          <w:tcPr>
            <w:tcW w:type="dxa" w:w="2581"/>
          </w:tcPr>
          <w:p>
            <w:pPr>
              <w:spacing w:before="60" w:after="60" w:line="240" w:lineRule="auto"/>
              <w:jc w:val="right"/>
            </w:pPr>
            <w:r/>
            <w:r>
              <w:rPr>
                <w:b w:val="0"/>
                <w:i w:val="0"/>
                <w:sz w:val="18"/>
              </w:rPr>
              <w:t>0.130</w:t>
            </w:r>
          </w:p>
        </w:tc>
      </w:tr>
    </w:tbl>
    <w:p>
      <w:pPr>
        <w:spacing w:after="0"/>
      </w:pPr>
    </w:p>
    <w:p>
      <w:pPr>
        <w:spacing w:before="80" w:after="280"/>
        <w:jc w:val="center"/>
      </w:pPr>
      <w:r>
        <w:rPr>
          <w:b w:val="0"/>
          <w:i/>
          <w:color w:val="5A524C"/>
          <w:sz w:val="18"/>
        </w:rPr>
        <w:t>Table 3. Retrieval reachability across 138 held-out sessions, mean pool size 145.7.</w:t>
      </w:r>
    </w:p>
    <w:p>
      <w:pPr>
        <w:spacing w:before="200" w:after="40"/>
        <w:jc w:val="center"/>
      </w:pPr>
      <w:r>
        <w:drawing>
          <wp:inline xmlns:a="http://schemas.openxmlformats.org/drawingml/2006/main" xmlns:pic="http://schemas.openxmlformats.org/drawingml/2006/picture">
            <wp:extent cx="5400000" cy="3064865"/>
            <wp:docPr id="3" name="Picture 3"/>
            <wp:cNvGraphicFramePr>
              <a:graphicFrameLocks noChangeAspect="1"/>
            </wp:cNvGraphicFramePr>
            <a:graphic>
              <a:graphicData uri="http://schemas.openxmlformats.org/drawingml/2006/picture">
                <pic:pic>
                  <pic:nvPicPr>
                    <pic:cNvPr id="0" name="fig_reachability.png"/>
                    <pic:cNvPicPr/>
                  </pic:nvPicPr>
                  <pic:blipFill>
                    <a:blip r:embed="rId11"/>
                    <a:stretch>
                      <a:fillRect/>
                    </a:stretch>
                  </pic:blipFill>
                  <pic:spPr>
                    <a:xfrm>
                      <a:off x="0" y="0"/>
                      <a:ext cx="5400000" cy="3064865"/>
                    </a:xfrm>
                    <a:prstGeom prst="rect"/>
                  </pic:spPr>
                </pic:pic>
              </a:graphicData>
            </a:graphic>
          </wp:inline>
        </w:drawing>
      </w:r>
    </w:p>
    <w:p>
      <w:pPr>
        <w:spacing w:before="80" w:after="280"/>
        <w:jc w:val="center"/>
      </w:pPr>
      <w:r>
        <w:rPr>
          <w:b/>
          <w:i w:val="0"/>
          <w:color w:val="5A524C"/>
          <w:sz w:val="18"/>
        </w:rPr>
        <w:t>Figure 6.</w:t>
      </w:r>
      <w:r>
        <w:rPr>
          <w:b w:val="0"/>
          <w:i w:val="0"/>
          <w:color w:val="5A524C"/>
          <w:sz w:val="18"/>
        </w:rPr>
        <w:t xml:space="preserve"> the same result as a chart: the held-out track is never in the pool by identity or by song, and its artist appears in one pool in eight.</w:t>
      </w:r>
    </w:p>
    <w:p>
      <w:r>
        <w:rPr>
          <w:b/>
          <w:i w:val="0"/>
        </w:rPr>
        <w:t>Not once in 138 sessions did retrieval surface the track the listener played next.</w:t>
      </w:r>
      <w:r>
        <w:rPr>
          <w:b w:val="0"/>
          <w:i w:val="0"/>
        </w:rPr>
        <w:t xml:space="preserve"> Not the exact recording, and not the same song under another release identifier. Even the artist appeared in only 13% of pools. End-to-end accuracy is therefore exactly zero for every arm, baselines included, and no ranking improvement could change it.</w:t>
      </w:r>
    </w:p>
    <w:p>
      <w:r>
        <w:rPr>
          <w:b w:val="0"/>
          <w:i w:val="0"/>
        </w:rPr>
        <w:t xml:space="preserve">The cause is visible in the pools. </w:t>
      </w:r>
      <w:r>
        <w:rPr>
          <w:rFonts w:ascii="Consolas" w:hAnsi="Consolas"/>
          <w:b w:val="0"/>
          <w:i w:val="0"/>
          <w:sz w:val="20"/>
        </w:rPr>
        <w:t>search_recordings(tag=…)</w:t>
      </w:r>
      <w:r>
        <w:rPr>
          <w:b w:val="0"/>
          <w:i w:val="0"/>
        </w:rPr>
        <w:t xml:space="preserve"> returns only recordings carrying a folksonomy tag, a small and arbitrary long-tail slice of the catalogue. Searching </w:t>
      </w:r>
      <w:r>
        <w:rPr>
          <w:rFonts w:ascii="Consolas" w:hAnsi="Consolas"/>
          <w:b w:val="0"/>
          <w:i w:val="0"/>
          <w:sz w:val="20"/>
        </w:rPr>
        <w:t>electronic</w:t>
      </w:r>
      <w:r>
        <w:rPr>
          <w:b w:val="0"/>
          <w:i w:val="0"/>
        </w:rPr>
        <w:t xml:space="preserve"> returns Perky Chap, 2/5 BZ and Nuno Canavarro. The corpus listeners were playing Röyksopp, Jon Hopkins and Ott. The two populations barely intersect, and widening the pool would only draw more of the same tail.</w:t>
      </w:r>
    </w:p>
    <w:p>
      <w:r>
        <w:rPr>
          <w:b w:val="0"/>
          <w:i w:val="0"/>
        </w:rPr>
        <w:t xml:space="preserve">This contradicts an assumption I carried unexamined from the preliminary report onward: that MusicBrainz tag search is a viable candidate generator. It generates candidates for </w:t>
      </w:r>
      <w:r>
        <w:rPr>
          <w:b w:val="0"/>
          <w:i/>
        </w:rPr>
        <w:t>tagged recordings</w:t>
      </w:r>
      <w:r>
        <w:rPr>
          <w:b w:val="0"/>
          <w:i w:val="0"/>
        </w:rPr>
        <w:t>, which is a different and much smaller thing. Because end-to-end accuracy is uniformly zero it cannot discriminate between configurations, so I measured ranking separately.</w:t>
      </w:r>
    </w:p>
    <w:p>
      <w:pPr>
        <w:pStyle w:val="Heading2"/>
      </w:pPr>
      <w:r>
        <w:t>5.5 Experiment B — ranking quality, and what each stage contributes</w:t>
      </w:r>
    </w:p>
    <w:p>
      <w:r>
        <w:rPr>
          <w:b/>
          <w:i w:val="0"/>
        </w:rPr>
        <w:t>Protocol, stated plainly because it matters.</w:t>
      </w:r>
      <w:r>
        <w:rPr>
          <w:b w:val="0"/>
          <w:i w:val="0"/>
        </w:rPr>
        <w:t xml:space="preserve"> The held-out track is </w:t>
      </w:r>
      <w:r>
        <w:rPr>
          <w:b/>
          <w:i w:val="0"/>
        </w:rPr>
        <w:t>injected</w:t>
      </w:r>
      <w:r>
        <w:rPr>
          <w:b w:val="0"/>
          <w:i w:val="0"/>
        </w:rPr>
        <w:t xml:space="preserve"> into a 100-item candidate set, itself plus 99 negatives sampled from the pool the engine really retrieved, and every arm ranks that same set. This is the sampled-negatives protocol standard in sequential recommendation (Kang and McAuley, 2018; Sun et al., 2019), and it measures ranking </w:t>
      </w:r>
      <w:r>
        <w:rPr>
          <w:b w:val="0"/>
          <w:i/>
        </w:rPr>
        <w:t>given</w:t>
      </w:r>
      <w:r>
        <w:rPr>
          <w:b w:val="0"/>
          <w:i w:val="0"/>
        </w:rPr>
        <w:t xml:space="preserve"> reachability. It is </w:t>
      </w:r>
      <w:r>
        <w:rPr>
          <w:b/>
          <w:i w:val="0"/>
        </w:rPr>
        <w:t>not</w:t>
      </w:r>
      <w:r>
        <w:rPr>
          <w:b w:val="0"/>
          <w:i w:val="0"/>
        </w:rPr>
        <w:t xml:space="preserve"> end-to-end accuracy, which Section 5.4 reports as zero.</w:t>
      </w:r>
    </w:p>
    <w:tbl>
      <w:tblPr>
        <w:tblStyle w:val="TableGrid"/>
        <w:tblW w:type="auto" w:w="0"/>
        <w:jc w:val="center"/>
        <w:tblLayout w:type="fixed"/>
        <w:tblLook w:firstColumn="1" w:firstRow="1" w:lastColumn="0" w:lastRow="0" w:noHBand="0" w:noVBand="1" w:val="04A0"/>
        <w:tblLayout w:type="fixed"/>
      </w:tblPr>
      <w:tblGrid>
        <w:gridCol w:w="1296"/>
        <w:gridCol w:w="1296"/>
        <w:gridCol w:w="1296"/>
        <w:gridCol w:w="1296"/>
        <w:gridCol w:w="1296"/>
        <w:gridCol w:w="1296"/>
        <w:gridCol w:w="1296"/>
      </w:tblGrid>
      <w:tr>
        <w:tc>
          <w:tcPr>
            <w:tcW w:type="dxa" w:w="2368"/>
            <w:shd w:val="clear" w:color="auto" w:fill="F3EEE8"/>
          </w:tcPr>
          <w:p>
            <w:pPr>
              <w:spacing w:before="60" w:after="60" w:line="240" w:lineRule="auto"/>
            </w:pPr>
            <w:r/>
            <w:r>
              <w:rPr>
                <w:b/>
                <w:sz w:val="18"/>
              </w:rPr>
              <w:t>Arm</w:t>
            </w:r>
          </w:p>
        </w:tc>
        <w:tc>
          <w:tcPr>
            <w:tcW w:type="dxa" w:w="1289"/>
            <w:shd w:val="clear" w:color="auto" w:fill="F3EEE8"/>
          </w:tcPr>
          <w:p>
            <w:pPr>
              <w:spacing w:before="60" w:after="60" w:line="240" w:lineRule="auto"/>
              <w:jc w:val="right"/>
            </w:pPr>
            <w:r/>
            <w:r>
              <w:rPr>
                <w:b/>
                <w:sz w:val="18"/>
              </w:rPr>
              <w:t>HitRate@1</w:t>
            </w:r>
          </w:p>
        </w:tc>
        <w:tc>
          <w:tcPr>
            <w:tcW w:type="dxa" w:w="1412"/>
            <w:shd w:val="clear" w:color="auto" w:fill="F3EEE8"/>
          </w:tcPr>
          <w:p>
            <w:pPr>
              <w:spacing w:before="60" w:after="60" w:line="240" w:lineRule="auto"/>
              <w:jc w:val="right"/>
            </w:pPr>
            <w:r/>
            <w:r>
              <w:rPr>
                <w:b/>
                <w:sz w:val="18"/>
              </w:rPr>
              <w:t>HitRate@10</w:t>
            </w:r>
          </w:p>
        </w:tc>
        <w:tc>
          <w:tcPr>
            <w:tcW w:type="dxa" w:w="1043"/>
            <w:shd w:val="clear" w:color="auto" w:fill="F3EEE8"/>
          </w:tcPr>
          <w:p>
            <w:pPr>
              <w:spacing w:before="60" w:after="60" w:line="240" w:lineRule="auto"/>
              <w:jc w:val="right"/>
            </w:pPr>
            <w:r/>
            <w:r>
              <w:rPr>
                <w:b/>
                <w:sz w:val="18"/>
              </w:rPr>
              <w:t>nDCG@10</w:t>
            </w:r>
          </w:p>
        </w:tc>
        <w:tc>
          <w:tcPr>
            <w:tcW w:type="dxa" w:w="875"/>
            <w:shd w:val="clear" w:color="auto" w:fill="F3EEE8"/>
          </w:tcPr>
          <w:p>
            <w:pPr>
              <w:spacing w:before="60" w:after="60" w:line="240" w:lineRule="auto"/>
              <w:jc w:val="right"/>
            </w:pPr>
            <w:r/>
            <w:r>
              <w:rPr>
                <w:b/>
                <w:sz w:val="18"/>
              </w:rPr>
              <w:t>MRR</w:t>
            </w:r>
          </w:p>
        </w:tc>
        <w:tc>
          <w:tcPr>
            <w:tcW w:type="dxa" w:w="920"/>
            <w:shd w:val="clear" w:color="auto" w:fill="F3EEE8"/>
          </w:tcPr>
          <w:p>
            <w:pPr>
              <w:spacing w:before="60" w:after="60" w:line="240" w:lineRule="auto"/>
              <w:jc w:val="right"/>
            </w:pPr>
            <w:r/>
            <w:r>
              <w:rPr>
                <w:b/>
                <w:sz w:val="18"/>
              </w:rPr>
              <w:t>ILD@10</w:t>
            </w:r>
          </w:p>
        </w:tc>
        <w:tc>
          <w:tcPr>
            <w:tcW w:type="dxa" w:w="1166"/>
            <w:shd w:val="clear" w:color="auto" w:fill="F3EEE8"/>
          </w:tcPr>
          <w:p>
            <w:pPr>
              <w:spacing w:before="60" w:after="60" w:line="240" w:lineRule="auto"/>
              <w:jc w:val="right"/>
            </w:pPr>
            <w:r/>
            <w:r>
              <w:rPr>
                <w:b/>
                <w:sz w:val="18"/>
              </w:rPr>
              <w:t>Coverage</w:t>
            </w:r>
          </w:p>
        </w:tc>
      </w:tr>
      <w:tr>
        <w:tc>
          <w:tcPr>
            <w:tcW w:type="dxa" w:w="2368"/>
          </w:tcPr>
          <w:p>
            <w:pPr>
              <w:spacing w:before="60" w:after="60" w:line="240" w:lineRule="auto"/>
            </w:pPr>
            <w:r/>
            <w:r>
              <w:rPr>
                <w:b w:val="0"/>
                <w:i w:val="0"/>
                <w:sz w:val="18"/>
              </w:rPr>
              <w:t>Random (whole catalogue) †</w:t>
            </w:r>
          </w:p>
        </w:tc>
        <w:tc>
          <w:tcPr>
            <w:tcW w:type="dxa" w:w="1289"/>
          </w:tcPr>
          <w:p>
            <w:pPr>
              <w:spacing w:before="60" w:after="60" w:line="240" w:lineRule="auto"/>
              <w:jc w:val="right"/>
            </w:pPr>
            <w:r/>
            <w:r>
              <w:rPr>
                <w:b w:val="0"/>
                <w:i w:val="0"/>
                <w:sz w:val="18"/>
              </w:rPr>
              <w:t>0.000</w:t>
            </w:r>
          </w:p>
        </w:tc>
        <w:tc>
          <w:tcPr>
            <w:tcW w:type="dxa" w:w="1412"/>
          </w:tcPr>
          <w:p>
            <w:pPr>
              <w:spacing w:before="60" w:after="60" w:line="240" w:lineRule="auto"/>
              <w:jc w:val="right"/>
            </w:pPr>
            <w:r/>
            <w:r>
              <w:rPr>
                <w:b w:val="0"/>
                <w:i w:val="0"/>
                <w:sz w:val="18"/>
              </w:rPr>
              <w:t>0.000</w:t>
            </w:r>
          </w:p>
        </w:tc>
        <w:tc>
          <w:tcPr>
            <w:tcW w:type="dxa" w:w="1043"/>
          </w:tcPr>
          <w:p>
            <w:pPr>
              <w:spacing w:before="60" w:after="60" w:line="240" w:lineRule="auto"/>
              <w:jc w:val="right"/>
            </w:pPr>
            <w:r/>
            <w:r>
              <w:rPr>
                <w:b w:val="0"/>
                <w:i w:val="0"/>
                <w:sz w:val="18"/>
              </w:rPr>
              <w:t>0.000</w:t>
            </w:r>
          </w:p>
        </w:tc>
        <w:tc>
          <w:tcPr>
            <w:tcW w:type="dxa" w:w="875"/>
          </w:tcPr>
          <w:p>
            <w:pPr>
              <w:spacing w:before="60" w:after="60" w:line="240" w:lineRule="auto"/>
              <w:jc w:val="right"/>
            </w:pPr>
            <w:r/>
            <w:r>
              <w:rPr>
                <w:b w:val="0"/>
                <w:i w:val="0"/>
                <w:sz w:val="18"/>
              </w:rPr>
              <w:t>0.000</w:t>
            </w:r>
          </w:p>
        </w:tc>
        <w:tc>
          <w:tcPr>
            <w:tcW w:type="dxa" w:w="920"/>
          </w:tcPr>
          <w:p>
            <w:pPr>
              <w:spacing w:before="60" w:after="60" w:line="240" w:lineRule="auto"/>
              <w:jc w:val="right"/>
            </w:pPr>
            <w:r/>
            <w:r>
              <w:rPr>
                <w:b w:val="0"/>
                <w:i w:val="0"/>
                <w:sz w:val="18"/>
              </w:rPr>
              <w:t>0.887</w:t>
            </w:r>
          </w:p>
        </w:tc>
        <w:tc>
          <w:tcPr>
            <w:tcW w:type="dxa" w:w="1166"/>
          </w:tcPr>
          <w:p>
            <w:pPr>
              <w:spacing w:before="60" w:after="60" w:line="240" w:lineRule="auto"/>
              <w:jc w:val="right"/>
            </w:pPr>
            <w:r/>
            <w:r>
              <w:rPr>
                <w:b w:val="0"/>
                <w:i w:val="0"/>
                <w:sz w:val="18"/>
              </w:rPr>
              <w:t>0.213</w:t>
            </w:r>
          </w:p>
        </w:tc>
      </w:tr>
      <w:tr>
        <w:tc>
          <w:tcPr>
            <w:tcW w:type="dxa" w:w="2368"/>
          </w:tcPr>
          <w:p>
            <w:pPr>
              <w:spacing w:before="60" w:after="60" w:line="240" w:lineRule="auto"/>
            </w:pPr>
            <w:r/>
            <w:r>
              <w:rPr>
                <w:b w:val="0"/>
                <w:i w:val="0"/>
                <w:sz w:val="18"/>
              </w:rPr>
              <w:t>Random (retrieved pool)</w:t>
            </w:r>
          </w:p>
        </w:tc>
        <w:tc>
          <w:tcPr>
            <w:tcW w:type="dxa" w:w="1289"/>
          </w:tcPr>
          <w:p>
            <w:pPr>
              <w:spacing w:before="60" w:after="60" w:line="240" w:lineRule="auto"/>
              <w:jc w:val="right"/>
            </w:pPr>
            <w:r/>
            <w:r>
              <w:rPr>
                <w:b w:val="0"/>
                <w:i w:val="0"/>
                <w:sz w:val="18"/>
              </w:rPr>
              <w:t>0.000</w:t>
            </w:r>
          </w:p>
        </w:tc>
        <w:tc>
          <w:tcPr>
            <w:tcW w:type="dxa" w:w="1412"/>
          </w:tcPr>
          <w:p>
            <w:pPr>
              <w:spacing w:before="60" w:after="60" w:line="240" w:lineRule="auto"/>
              <w:jc w:val="right"/>
            </w:pPr>
            <w:r/>
            <w:r>
              <w:rPr>
                <w:b w:val="0"/>
                <w:i w:val="0"/>
                <w:sz w:val="18"/>
              </w:rPr>
              <w:t>0.101</w:t>
            </w:r>
          </w:p>
        </w:tc>
        <w:tc>
          <w:tcPr>
            <w:tcW w:type="dxa" w:w="1043"/>
          </w:tcPr>
          <w:p>
            <w:pPr>
              <w:spacing w:before="60" w:after="60" w:line="240" w:lineRule="auto"/>
              <w:jc w:val="right"/>
            </w:pPr>
            <w:r/>
            <w:r>
              <w:rPr>
                <w:b w:val="0"/>
                <w:i w:val="0"/>
                <w:sz w:val="18"/>
              </w:rPr>
              <w:t>0.039</w:t>
            </w:r>
          </w:p>
        </w:tc>
        <w:tc>
          <w:tcPr>
            <w:tcW w:type="dxa" w:w="875"/>
          </w:tcPr>
          <w:p>
            <w:pPr>
              <w:spacing w:before="60" w:after="60" w:line="240" w:lineRule="auto"/>
              <w:jc w:val="right"/>
            </w:pPr>
            <w:r/>
            <w:r>
              <w:rPr>
                <w:b w:val="0"/>
                <w:i w:val="0"/>
                <w:sz w:val="18"/>
              </w:rPr>
              <w:t>0.021</w:t>
            </w:r>
          </w:p>
        </w:tc>
        <w:tc>
          <w:tcPr>
            <w:tcW w:type="dxa" w:w="920"/>
          </w:tcPr>
          <w:p>
            <w:pPr>
              <w:spacing w:before="60" w:after="60" w:line="240" w:lineRule="auto"/>
              <w:jc w:val="right"/>
            </w:pPr>
            <w:r/>
            <w:r>
              <w:rPr>
                <w:b w:val="0"/>
                <w:i w:val="0"/>
                <w:sz w:val="18"/>
              </w:rPr>
              <w:t>0.689</w:t>
            </w:r>
          </w:p>
        </w:tc>
        <w:tc>
          <w:tcPr>
            <w:tcW w:type="dxa" w:w="1166"/>
          </w:tcPr>
          <w:p>
            <w:pPr>
              <w:spacing w:before="60" w:after="60" w:line="240" w:lineRule="auto"/>
              <w:jc w:val="right"/>
            </w:pPr>
            <w:r/>
            <w:r>
              <w:rPr>
                <w:b w:val="0"/>
                <w:i w:val="0"/>
                <w:sz w:val="18"/>
              </w:rPr>
              <w:t>0.167</w:t>
            </w:r>
          </w:p>
        </w:tc>
      </w:tr>
      <w:tr>
        <w:tc>
          <w:tcPr>
            <w:tcW w:type="dxa" w:w="2368"/>
          </w:tcPr>
          <w:p>
            <w:pPr>
              <w:spacing w:before="60" w:after="60" w:line="240" w:lineRule="auto"/>
            </w:pPr>
            <w:r/>
            <w:r>
              <w:rPr>
                <w:b w:val="0"/>
                <w:i w:val="0"/>
                <w:sz w:val="18"/>
              </w:rPr>
              <w:t>Most popular</w:t>
            </w:r>
          </w:p>
        </w:tc>
        <w:tc>
          <w:tcPr>
            <w:tcW w:type="dxa" w:w="1289"/>
          </w:tcPr>
          <w:p>
            <w:pPr>
              <w:spacing w:before="60" w:after="60" w:line="240" w:lineRule="auto"/>
              <w:jc w:val="right"/>
            </w:pPr>
            <w:r/>
            <w:r>
              <w:rPr>
                <w:b w:val="0"/>
                <w:i w:val="0"/>
                <w:sz w:val="18"/>
              </w:rPr>
              <w:t>0.188</w:t>
            </w:r>
          </w:p>
        </w:tc>
        <w:tc>
          <w:tcPr>
            <w:tcW w:type="dxa" w:w="1412"/>
          </w:tcPr>
          <w:p>
            <w:pPr>
              <w:spacing w:before="60" w:after="60" w:line="240" w:lineRule="auto"/>
              <w:jc w:val="right"/>
            </w:pPr>
            <w:r/>
            <w:r>
              <w:rPr>
                <w:b w:val="0"/>
                <w:i w:val="0"/>
                <w:sz w:val="18"/>
              </w:rPr>
              <w:t>0.275</w:t>
            </w:r>
          </w:p>
        </w:tc>
        <w:tc>
          <w:tcPr>
            <w:tcW w:type="dxa" w:w="1043"/>
          </w:tcPr>
          <w:p>
            <w:pPr>
              <w:spacing w:before="60" w:after="60" w:line="240" w:lineRule="auto"/>
              <w:jc w:val="right"/>
            </w:pPr>
            <w:r/>
            <w:r>
              <w:rPr>
                <w:b w:val="0"/>
                <w:i w:val="0"/>
                <w:sz w:val="18"/>
              </w:rPr>
              <w:t>0.231</w:t>
            </w:r>
          </w:p>
        </w:tc>
        <w:tc>
          <w:tcPr>
            <w:tcW w:type="dxa" w:w="875"/>
          </w:tcPr>
          <w:p>
            <w:pPr>
              <w:spacing w:before="60" w:after="60" w:line="240" w:lineRule="auto"/>
              <w:jc w:val="right"/>
            </w:pPr>
            <w:r/>
            <w:r>
              <w:rPr>
                <w:b w:val="0"/>
                <w:i w:val="0"/>
                <w:sz w:val="18"/>
              </w:rPr>
              <w:t>0.217</w:t>
            </w:r>
          </w:p>
        </w:tc>
        <w:tc>
          <w:tcPr>
            <w:tcW w:type="dxa" w:w="920"/>
          </w:tcPr>
          <w:p>
            <w:pPr>
              <w:spacing w:before="60" w:after="60" w:line="240" w:lineRule="auto"/>
              <w:jc w:val="right"/>
            </w:pPr>
            <w:r/>
            <w:r>
              <w:rPr>
                <w:b w:val="0"/>
                <w:i w:val="0"/>
                <w:sz w:val="18"/>
              </w:rPr>
              <w:t>0.692</w:t>
            </w:r>
          </w:p>
        </w:tc>
        <w:tc>
          <w:tcPr>
            <w:tcW w:type="dxa" w:w="1166"/>
          </w:tcPr>
          <w:p>
            <w:pPr>
              <w:spacing w:before="60" w:after="60" w:line="240" w:lineRule="auto"/>
              <w:jc w:val="right"/>
            </w:pPr>
            <w:r/>
            <w:r>
              <w:rPr>
                <w:b w:val="0"/>
                <w:i w:val="0"/>
                <w:sz w:val="18"/>
              </w:rPr>
              <w:t>0.077</w:t>
            </w:r>
          </w:p>
        </w:tc>
      </w:tr>
      <w:tr>
        <w:tc>
          <w:tcPr>
            <w:tcW w:type="dxa" w:w="2368"/>
          </w:tcPr>
          <w:p>
            <w:pPr>
              <w:spacing w:before="60" w:after="60" w:line="240" w:lineRule="auto"/>
            </w:pPr>
            <w:r/>
            <w:r>
              <w:rPr>
                <w:b w:val="0"/>
                <w:i w:val="0"/>
                <w:sz w:val="18"/>
              </w:rPr>
              <w:t>Content only</w:t>
            </w:r>
          </w:p>
        </w:tc>
        <w:tc>
          <w:tcPr>
            <w:tcW w:type="dxa" w:w="1289"/>
          </w:tcPr>
          <w:p>
            <w:pPr>
              <w:spacing w:before="60" w:after="60" w:line="240" w:lineRule="auto"/>
              <w:jc w:val="right"/>
            </w:pPr>
            <w:r/>
            <w:r>
              <w:rPr>
                <w:b/>
                <w:i w:val="0"/>
                <w:sz w:val="18"/>
              </w:rPr>
              <w:t>0.623</w:t>
            </w:r>
          </w:p>
        </w:tc>
        <w:tc>
          <w:tcPr>
            <w:tcW w:type="dxa" w:w="1412"/>
          </w:tcPr>
          <w:p>
            <w:pPr>
              <w:spacing w:before="60" w:after="60" w:line="240" w:lineRule="auto"/>
              <w:jc w:val="right"/>
            </w:pPr>
            <w:r/>
            <w:r>
              <w:rPr>
                <w:b w:val="0"/>
                <w:i w:val="0"/>
                <w:sz w:val="18"/>
              </w:rPr>
              <w:t>0.674</w:t>
            </w:r>
          </w:p>
        </w:tc>
        <w:tc>
          <w:tcPr>
            <w:tcW w:type="dxa" w:w="1043"/>
          </w:tcPr>
          <w:p>
            <w:pPr>
              <w:spacing w:before="60" w:after="60" w:line="240" w:lineRule="auto"/>
              <w:jc w:val="right"/>
            </w:pPr>
            <w:r/>
            <w:r>
              <w:rPr>
                <w:b w:val="0"/>
                <w:i w:val="0"/>
                <w:sz w:val="18"/>
              </w:rPr>
              <w:t>0.648</w:t>
            </w:r>
          </w:p>
        </w:tc>
        <w:tc>
          <w:tcPr>
            <w:tcW w:type="dxa" w:w="875"/>
          </w:tcPr>
          <w:p>
            <w:pPr>
              <w:spacing w:before="60" w:after="60" w:line="240" w:lineRule="auto"/>
              <w:jc w:val="right"/>
            </w:pPr>
            <w:r/>
            <w:r>
              <w:rPr>
                <w:b/>
                <w:i w:val="0"/>
                <w:sz w:val="18"/>
              </w:rPr>
              <w:t>0.640</w:t>
            </w:r>
          </w:p>
        </w:tc>
        <w:tc>
          <w:tcPr>
            <w:tcW w:type="dxa" w:w="920"/>
          </w:tcPr>
          <w:p>
            <w:pPr>
              <w:spacing w:before="60" w:after="60" w:line="240" w:lineRule="auto"/>
              <w:jc w:val="right"/>
            </w:pPr>
            <w:r/>
            <w:r>
              <w:rPr>
                <w:b w:val="0"/>
                <w:i w:val="0"/>
                <w:sz w:val="18"/>
              </w:rPr>
              <w:t>0.367</w:t>
            </w:r>
          </w:p>
        </w:tc>
        <w:tc>
          <w:tcPr>
            <w:tcW w:type="dxa" w:w="1166"/>
          </w:tcPr>
          <w:p>
            <w:pPr>
              <w:spacing w:before="60" w:after="60" w:line="240" w:lineRule="auto"/>
              <w:jc w:val="right"/>
            </w:pPr>
            <w:r/>
            <w:r>
              <w:rPr>
                <w:b w:val="0"/>
                <w:i w:val="0"/>
                <w:sz w:val="18"/>
              </w:rPr>
              <w:t>0.150</w:t>
            </w:r>
          </w:p>
        </w:tc>
      </w:tr>
      <w:tr>
        <w:tc>
          <w:tcPr>
            <w:tcW w:type="dxa" w:w="2368"/>
          </w:tcPr>
          <w:p>
            <w:pPr>
              <w:spacing w:before="60" w:after="60" w:line="240" w:lineRule="auto"/>
            </w:pPr>
            <w:r/>
            <w:r>
              <w:rPr>
                <w:b w:val="0"/>
                <w:i w:val="0"/>
                <w:sz w:val="18"/>
              </w:rPr>
              <w:t>Content + collaborative</w:t>
            </w:r>
          </w:p>
        </w:tc>
        <w:tc>
          <w:tcPr>
            <w:tcW w:type="dxa" w:w="1289"/>
          </w:tcPr>
          <w:p>
            <w:pPr>
              <w:spacing w:before="60" w:after="60" w:line="240" w:lineRule="auto"/>
              <w:jc w:val="right"/>
            </w:pPr>
            <w:r/>
            <w:r>
              <w:rPr>
                <w:b/>
                <w:i w:val="0"/>
                <w:sz w:val="18"/>
              </w:rPr>
              <w:t>0.659</w:t>
            </w:r>
          </w:p>
        </w:tc>
        <w:tc>
          <w:tcPr>
            <w:tcW w:type="dxa" w:w="1412"/>
          </w:tcPr>
          <w:p>
            <w:pPr>
              <w:spacing w:before="60" w:after="60" w:line="240" w:lineRule="auto"/>
              <w:jc w:val="right"/>
            </w:pPr>
            <w:r/>
            <w:r>
              <w:rPr>
                <w:b w:val="0"/>
                <w:i w:val="0"/>
                <w:sz w:val="18"/>
              </w:rPr>
              <w:t>0.739</w:t>
            </w:r>
          </w:p>
        </w:tc>
        <w:tc>
          <w:tcPr>
            <w:tcW w:type="dxa" w:w="1043"/>
          </w:tcPr>
          <w:p>
            <w:pPr>
              <w:spacing w:before="60" w:after="60" w:line="240" w:lineRule="auto"/>
              <w:jc w:val="right"/>
            </w:pPr>
            <w:r/>
            <w:r>
              <w:rPr>
                <w:b/>
                <w:i w:val="0"/>
                <w:sz w:val="18"/>
              </w:rPr>
              <w:t>0.704</w:t>
            </w:r>
          </w:p>
        </w:tc>
        <w:tc>
          <w:tcPr>
            <w:tcW w:type="dxa" w:w="875"/>
          </w:tcPr>
          <w:p>
            <w:pPr>
              <w:spacing w:before="60" w:after="60" w:line="240" w:lineRule="auto"/>
              <w:jc w:val="right"/>
            </w:pPr>
            <w:r/>
            <w:r>
              <w:rPr>
                <w:b/>
                <w:i w:val="0"/>
                <w:sz w:val="18"/>
              </w:rPr>
              <w:t>0.692</w:t>
            </w:r>
          </w:p>
        </w:tc>
        <w:tc>
          <w:tcPr>
            <w:tcW w:type="dxa" w:w="920"/>
          </w:tcPr>
          <w:p>
            <w:pPr>
              <w:spacing w:before="60" w:after="60" w:line="240" w:lineRule="auto"/>
              <w:jc w:val="right"/>
            </w:pPr>
            <w:r/>
            <w:r>
              <w:rPr>
                <w:b w:val="0"/>
                <w:i w:val="0"/>
                <w:sz w:val="18"/>
              </w:rPr>
              <w:t>0.421</w:t>
            </w:r>
          </w:p>
        </w:tc>
        <w:tc>
          <w:tcPr>
            <w:tcW w:type="dxa" w:w="1166"/>
          </w:tcPr>
          <w:p>
            <w:pPr>
              <w:spacing w:before="60" w:after="60" w:line="240" w:lineRule="auto"/>
              <w:jc w:val="right"/>
            </w:pPr>
            <w:r/>
            <w:r>
              <w:rPr>
                <w:b w:val="0"/>
                <w:i w:val="0"/>
                <w:sz w:val="18"/>
              </w:rPr>
              <w:t>0.138</w:t>
            </w:r>
          </w:p>
        </w:tc>
      </w:tr>
      <w:tr>
        <w:tc>
          <w:tcPr>
            <w:tcW w:type="dxa" w:w="2368"/>
          </w:tcPr>
          <w:p>
            <w:pPr>
              <w:spacing w:before="60" w:after="60" w:line="240" w:lineRule="auto"/>
            </w:pPr>
            <w:r/>
            <w:r>
              <w:rPr>
                <w:b w:val="0"/>
                <w:i w:val="0"/>
                <w:sz w:val="18"/>
              </w:rPr>
              <w:t>Content + MMR</w:t>
            </w:r>
          </w:p>
        </w:tc>
        <w:tc>
          <w:tcPr>
            <w:tcW w:type="dxa" w:w="1289"/>
          </w:tcPr>
          <w:p>
            <w:pPr>
              <w:spacing w:before="60" w:after="60" w:line="240" w:lineRule="auto"/>
              <w:jc w:val="right"/>
            </w:pPr>
            <w:r/>
            <w:r>
              <w:rPr>
                <w:b w:val="0"/>
                <w:i w:val="0"/>
                <w:sz w:val="18"/>
              </w:rPr>
              <w:t>0.565</w:t>
            </w:r>
          </w:p>
        </w:tc>
        <w:tc>
          <w:tcPr>
            <w:tcW w:type="dxa" w:w="1412"/>
          </w:tcPr>
          <w:p>
            <w:pPr>
              <w:spacing w:before="60" w:after="60" w:line="240" w:lineRule="auto"/>
              <w:jc w:val="right"/>
            </w:pPr>
            <w:r/>
            <w:r>
              <w:rPr>
                <w:b/>
                <w:i w:val="0"/>
                <w:sz w:val="18"/>
              </w:rPr>
              <w:t>0.877</w:t>
            </w:r>
          </w:p>
        </w:tc>
        <w:tc>
          <w:tcPr>
            <w:tcW w:type="dxa" w:w="1043"/>
          </w:tcPr>
          <w:p>
            <w:pPr>
              <w:spacing w:before="60" w:after="60" w:line="240" w:lineRule="auto"/>
              <w:jc w:val="right"/>
            </w:pPr>
            <w:r/>
            <w:r>
              <w:rPr>
                <w:b w:val="0"/>
                <w:i w:val="0"/>
                <w:sz w:val="18"/>
              </w:rPr>
              <w:t>0.701</w:t>
            </w:r>
          </w:p>
        </w:tc>
        <w:tc>
          <w:tcPr>
            <w:tcW w:type="dxa" w:w="875"/>
          </w:tcPr>
          <w:p>
            <w:pPr>
              <w:spacing w:before="60" w:after="60" w:line="240" w:lineRule="auto"/>
              <w:jc w:val="right"/>
            </w:pPr>
            <w:r/>
            <w:r>
              <w:rPr>
                <w:b w:val="0"/>
                <w:i w:val="0"/>
                <w:sz w:val="18"/>
              </w:rPr>
              <w:t>0.647</w:t>
            </w:r>
          </w:p>
        </w:tc>
        <w:tc>
          <w:tcPr>
            <w:tcW w:type="dxa" w:w="920"/>
          </w:tcPr>
          <w:p>
            <w:pPr>
              <w:spacing w:before="60" w:after="60" w:line="240" w:lineRule="auto"/>
              <w:jc w:val="right"/>
            </w:pPr>
            <w:r/>
            <w:r>
              <w:rPr>
                <w:b/>
                <w:i w:val="0"/>
                <w:sz w:val="18"/>
              </w:rPr>
              <w:t>0.735</w:t>
            </w:r>
          </w:p>
        </w:tc>
        <w:tc>
          <w:tcPr>
            <w:tcW w:type="dxa" w:w="1166"/>
          </w:tcPr>
          <w:p>
            <w:pPr>
              <w:spacing w:before="60" w:after="60" w:line="240" w:lineRule="auto"/>
              <w:jc w:val="right"/>
            </w:pPr>
            <w:r/>
            <w:r>
              <w:rPr>
                <w:b w:val="0"/>
                <w:i w:val="0"/>
                <w:sz w:val="18"/>
              </w:rPr>
              <w:t>0.142</w:t>
            </w:r>
          </w:p>
        </w:tc>
      </w:tr>
      <w:tr>
        <w:tc>
          <w:tcPr>
            <w:tcW w:type="dxa" w:w="2368"/>
          </w:tcPr>
          <w:p>
            <w:pPr>
              <w:spacing w:before="60" w:after="60" w:line="240" w:lineRule="auto"/>
            </w:pPr>
            <w:r/>
            <w:r>
              <w:rPr>
                <w:b w:val="0"/>
                <w:i w:val="0"/>
                <w:sz w:val="18"/>
              </w:rPr>
              <w:t>Full cascade</w:t>
            </w:r>
          </w:p>
        </w:tc>
        <w:tc>
          <w:tcPr>
            <w:tcW w:type="dxa" w:w="1289"/>
          </w:tcPr>
          <w:p>
            <w:pPr>
              <w:spacing w:before="60" w:after="60" w:line="240" w:lineRule="auto"/>
              <w:jc w:val="right"/>
            </w:pPr>
            <w:r/>
            <w:r>
              <w:rPr>
                <w:b w:val="0"/>
                <w:i w:val="0"/>
                <w:sz w:val="18"/>
              </w:rPr>
              <w:t>0.551</w:t>
            </w:r>
          </w:p>
        </w:tc>
        <w:tc>
          <w:tcPr>
            <w:tcW w:type="dxa" w:w="1412"/>
          </w:tcPr>
          <w:p>
            <w:pPr>
              <w:spacing w:before="60" w:after="60" w:line="240" w:lineRule="auto"/>
              <w:jc w:val="right"/>
            </w:pPr>
            <w:r/>
            <w:r>
              <w:rPr>
                <w:b w:val="0"/>
                <w:i w:val="0"/>
                <w:sz w:val="18"/>
              </w:rPr>
              <w:t>0.855</w:t>
            </w:r>
          </w:p>
        </w:tc>
        <w:tc>
          <w:tcPr>
            <w:tcW w:type="dxa" w:w="1043"/>
          </w:tcPr>
          <w:p>
            <w:pPr>
              <w:spacing w:before="60" w:after="60" w:line="240" w:lineRule="auto"/>
              <w:jc w:val="right"/>
            </w:pPr>
            <w:r/>
            <w:r>
              <w:rPr>
                <w:b w:val="0"/>
                <w:i w:val="0"/>
                <w:sz w:val="18"/>
              </w:rPr>
              <w:t>0.695</w:t>
            </w:r>
          </w:p>
        </w:tc>
        <w:tc>
          <w:tcPr>
            <w:tcW w:type="dxa" w:w="875"/>
          </w:tcPr>
          <w:p>
            <w:pPr>
              <w:spacing w:before="60" w:after="60" w:line="240" w:lineRule="auto"/>
              <w:jc w:val="right"/>
            </w:pPr>
            <w:r/>
            <w:r>
              <w:rPr>
                <w:b w:val="0"/>
                <w:i w:val="0"/>
                <w:sz w:val="18"/>
              </w:rPr>
              <w:t>0.644</w:t>
            </w:r>
          </w:p>
        </w:tc>
        <w:tc>
          <w:tcPr>
            <w:tcW w:type="dxa" w:w="920"/>
          </w:tcPr>
          <w:p>
            <w:pPr>
              <w:spacing w:before="60" w:after="60" w:line="240" w:lineRule="auto"/>
              <w:jc w:val="right"/>
            </w:pPr>
            <w:r/>
            <w:r>
              <w:rPr>
                <w:b w:val="0"/>
                <w:i w:val="0"/>
                <w:sz w:val="18"/>
              </w:rPr>
              <w:t>0.735</w:t>
            </w:r>
          </w:p>
        </w:tc>
        <w:tc>
          <w:tcPr>
            <w:tcW w:type="dxa" w:w="1166"/>
          </w:tcPr>
          <w:p>
            <w:pPr>
              <w:spacing w:before="60" w:after="60" w:line="240" w:lineRule="auto"/>
              <w:jc w:val="right"/>
            </w:pPr>
            <w:r/>
            <w:r>
              <w:rPr>
                <w:b w:val="0"/>
                <w:i w:val="0"/>
                <w:sz w:val="18"/>
              </w:rPr>
              <w:t>0.135</w:t>
            </w:r>
          </w:p>
        </w:tc>
      </w:tr>
    </w:tbl>
    <w:p>
      <w:pPr>
        <w:spacing w:after="0"/>
      </w:pPr>
    </w:p>
    <w:p>
      <w:pPr>
        <w:spacing w:before="80" w:after="280"/>
        <w:jc w:val="center"/>
      </w:pPr>
      <w:r>
        <w:rPr>
          <w:b w:val="0"/>
          <w:i/>
          <w:color w:val="5A524C"/>
          <w:sz w:val="18"/>
        </w:rPr>
        <w:t>Table 4. Ranking the held-out track among 99 sampled negatives, 138 sessions. † samples the whole 5,844-track catalogue, not the shared candidate set — a sanity floor, not a comparable arm.</w:t>
      </w:r>
    </w:p>
    <w:p>
      <w:pPr>
        <w:spacing w:before="200" w:after="40"/>
        <w:jc w:val="center"/>
      </w:pPr>
      <w:r>
        <w:drawing>
          <wp:inline xmlns:a="http://schemas.openxmlformats.org/drawingml/2006/main" xmlns:pic="http://schemas.openxmlformats.org/drawingml/2006/picture">
            <wp:extent cx="5400000" cy="2757447"/>
            <wp:docPr id="4" name="Picture 4"/>
            <wp:cNvGraphicFramePr>
              <a:graphicFrameLocks noChangeAspect="1"/>
            </wp:cNvGraphicFramePr>
            <a:graphic>
              <a:graphicData uri="http://schemas.openxmlformats.org/drawingml/2006/picture">
                <pic:pic>
                  <pic:nvPicPr>
                    <pic:cNvPr id="0" name="fig_accuracy.png"/>
                    <pic:cNvPicPr/>
                  </pic:nvPicPr>
                  <pic:blipFill>
                    <a:blip r:embed="rId12"/>
                    <a:stretch>
                      <a:fillRect/>
                    </a:stretch>
                  </pic:blipFill>
                  <pic:spPr>
                    <a:xfrm>
                      <a:off x="0" y="0"/>
                      <a:ext cx="5400000" cy="2757447"/>
                    </a:xfrm>
                    <a:prstGeom prst="rect"/>
                  </pic:spPr>
                </pic:pic>
              </a:graphicData>
            </a:graphic>
          </wp:inline>
        </w:drawing>
      </w:r>
    </w:p>
    <w:p>
      <w:pPr>
        <w:spacing w:before="80" w:after="280"/>
        <w:jc w:val="center"/>
      </w:pPr>
      <w:r>
        <w:rPr>
          <w:b/>
          <w:i w:val="0"/>
          <w:color w:val="5A524C"/>
          <w:sz w:val="18"/>
        </w:rPr>
        <w:t>Figure 7.</w:t>
      </w:r>
      <w:r>
        <w:rPr>
          <w:b w:val="0"/>
          <w:i w:val="0"/>
          <w:color w:val="5A524C"/>
          <w:sz w:val="18"/>
        </w:rPr>
        <w:t xml:space="preserve"> baselines against engine configurations on HitRate@10 and nDCG@10.</w:t>
      </w:r>
    </w:p>
    <w:p>
      <w:pPr>
        <w:spacing w:before="200" w:after="40"/>
        <w:jc w:val="center"/>
      </w:pPr>
      <w:r>
        <w:drawing>
          <wp:inline xmlns:a="http://schemas.openxmlformats.org/drawingml/2006/main" xmlns:pic="http://schemas.openxmlformats.org/drawingml/2006/picture">
            <wp:extent cx="5400000" cy="1916129"/>
            <wp:docPr id="5" name="Picture 5"/>
            <wp:cNvGraphicFramePr>
              <a:graphicFrameLocks noChangeAspect="1"/>
            </wp:cNvGraphicFramePr>
            <a:graphic>
              <a:graphicData uri="http://schemas.openxmlformats.org/drawingml/2006/picture">
                <pic:pic>
                  <pic:nvPicPr>
                    <pic:cNvPr id="0" name="fig_ablation.png"/>
                    <pic:cNvPicPr/>
                  </pic:nvPicPr>
                  <pic:blipFill>
                    <a:blip r:embed="rId13"/>
                    <a:stretch>
                      <a:fillRect/>
                    </a:stretch>
                  </pic:blipFill>
                  <pic:spPr>
                    <a:xfrm>
                      <a:off x="0" y="0"/>
                      <a:ext cx="5400000" cy="1916129"/>
                    </a:xfrm>
                    <a:prstGeom prst="rect"/>
                  </pic:spPr>
                </pic:pic>
              </a:graphicData>
            </a:graphic>
          </wp:inline>
        </w:drawing>
      </w:r>
    </w:p>
    <w:p>
      <w:pPr>
        <w:spacing w:before="80" w:after="280"/>
        <w:jc w:val="center"/>
      </w:pPr>
      <w:r>
        <w:rPr>
          <w:b/>
          <w:i w:val="0"/>
          <w:color w:val="5A524C"/>
          <w:sz w:val="18"/>
        </w:rPr>
        <w:t>Figure 8.</w:t>
      </w:r>
      <w:r>
        <w:rPr>
          <w:b w:val="0"/>
          <w:i w:val="0"/>
          <w:color w:val="5A524C"/>
          <w:sz w:val="18"/>
        </w:rPr>
        <w:t xml:space="preserve"> each stage's contribution across top-1 accuracy, top-10 accuracy and diversity.</w:t>
      </w:r>
    </w:p>
    <w:p>
      <w:pPr>
        <w:spacing w:before="200" w:after="40"/>
        <w:jc w:val="center"/>
      </w:pPr>
      <w:r>
        <w:drawing>
          <wp:inline xmlns:a="http://schemas.openxmlformats.org/drawingml/2006/main" xmlns:pic="http://schemas.openxmlformats.org/drawingml/2006/picture">
            <wp:extent cx="5400000" cy="3970588"/>
            <wp:docPr id="6" name="Picture 6"/>
            <wp:cNvGraphicFramePr>
              <a:graphicFrameLocks noChangeAspect="1"/>
            </wp:cNvGraphicFramePr>
            <a:graphic>
              <a:graphicData uri="http://schemas.openxmlformats.org/drawingml/2006/picture">
                <pic:pic>
                  <pic:nvPicPr>
                    <pic:cNvPr id="0" name="fig_tradeoff.png"/>
                    <pic:cNvPicPr/>
                  </pic:nvPicPr>
                  <pic:blipFill>
                    <a:blip r:embed="rId14"/>
                    <a:stretch>
                      <a:fillRect/>
                    </a:stretch>
                  </pic:blipFill>
                  <pic:spPr>
                    <a:xfrm>
                      <a:off x="0" y="0"/>
                      <a:ext cx="5400000" cy="3970588"/>
                    </a:xfrm>
                    <a:prstGeom prst="rect"/>
                  </pic:spPr>
                </pic:pic>
              </a:graphicData>
            </a:graphic>
          </wp:inline>
        </w:drawing>
      </w:r>
    </w:p>
    <w:p>
      <w:pPr>
        <w:spacing w:before="80" w:after="280"/>
        <w:jc w:val="center"/>
      </w:pPr>
      <w:r>
        <w:rPr>
          <w:b/>
          <w:i w:val="0"/>
          <w:color w:val="5A524C"/>
          <w:sz w:val="18"/>
        </w:rPr>
        <w:t>Figure 9.</w:t>
      </w:r>
      <w:r>
        <w:rPr>
          <w:b w:val="0"/>
          <w:i w:val="0"/>
          <w:color w:val="5A524C"/>
          <w:sz w:val="18"/>
        </w:rPr>
        <w:t xml:space="preserve"> every arm plotted on the accuracy/diversity plane.</w:t>
      </w:r>
    </w:p>
    <w:p>
      <w:r>
        <w:rPr>
          <w:b/>
          <w:i w:val="0"/>
        </w:rPr>
        <w:t>Against the baselines, the engine wins decisively, within the injected-target protocol.</w:t>
      </w:r>
      <w:r>
        <w:rPr>
          <w:b w:val="0"/>
          <w:i w:val="0"/>
        </w:rPr>
        <w:t xml:space="preserve"> The full cascade beats random selection within the same candidate set by 0.656 nDCG (r = 0.98) and popularity by 0.464 (r = 0.89), both at p &lt; 0.00001 and both surviving Holm–Bonferroni. Random selection over the whole catalogue scores zero, the expected 1-in-5,844 result, which confirms the metrics behave. This supports the project's premise </w:t>
      </w:r>
      <w:r>
        <w:rPr>
          <w:b w:val="0"/>
          <w:i/>
        </w:rPr>
        <w:t>as a claim about ranking</w:t>
      </w:r>
      <w:r>
        <w:rPr>
          <w:b w:val="0"/>
          <w:i w:val="0"/>
        </w:rPr>
        <w:t>. Session context alone ranks a listener's actual next track far above chance and popularity, whenever that track is in the set being ranked. Section 5.4 shows production retrieval never achieves that.</w:t>
      </w:r>
    </w:p>
    <w:p>
      <w:r>
        <w:rPr>
          <w:b/>
          <w:i w:val="0"/>
        </w:rPr>
        <w:t>The collaborative stage earns its place.</w:t>
      </w:r>
      <w:r>
        <w:rPr>
          <w:b w:val="0"/>
          <w:i w:val="0"/>
        </w:rPr>
        <w:t xml:space="preserve"> ListenBrainz co-listening affinity raises nDCG@10 from 0.648 to 0.704 (p = 0.003, r = 0.85) while </w:t>
      </w:r>
      <w:r>
        <w:rPr>
          <w:b w:val="0"/>
          <w:i/>
        </w:rPr>
        <w:t>also</w:t>
      </w:r>
      <w:r>
        <w:rPr>
          <w:b w:val="0"/>
          <w:i w:val="0"/>
        </w:rPr>
        <w:t xml:space="preserve"> raising intra-list diversity, from 0.367 to 0.421. No other single change did both. One qualifier matters: only 16 of 138 sessions changed score at all, so the stage acts rarely and decisively instead of broadly. This is the clearest positive result for work done in this submission, and it is the empirical form of the argument in Section 2.5. Aggregate behavioural evidence adds information that content features cannot represent, and it is obtained without storing anything about a user.</w:t>
      </w:r>
    </w:p>
    <w:p>
      <w:r>
        <w:rPr>
          <w:b/>
          <w:i w:val="0"/>
        </w:rPr>
        <w:t>The diversity stage does what MMR should, including the cost.</w:t>
      </w:r>
      <w:r>
        <w:rPr>
          <w:b w:val="0"/>
          <w:i w:val="0"/>
        </w:rPr>
        <w:t xml:space="preserve"> MMR </w:t>
      </w:r>
      <w:r>
        <w:rPr>
          <w:b w:val="0"/>
          <w:i/>
        </w:rPr>
        <w:t>lowers</w:t>
      </w:r>
      <w:r>
        <w:rPr>
          <w:b w:val="0"/>
          <w:i w:val="0"/>
        </w:rPr>
        <w:t xml:space="preserve"> top-1 accuracy from 0.623 to 0.565 while </w:t>
      </w:r>
      <w:r>
        <w:rPr>
          <w:b w:val="0"/>
          <w:i/>
        </w:rPr>
        <w:t>raising</w:t>
      </w:r>
      <w:r>
        <w:rPr>
          <w:b w:val="0"/>
          <w:i w:val="0"/>
        </w:rPr>
        <w:t xml:space="preserve"> top-10 accuracy from 0.674 to 0.877 and doubling diversity from 0.367 to 0.735: relevance sacrificed at the head of the list for a less redundant list overall. On nDCG@10 the net movement is upward but not significant (0.648 → 0.701, p = 0.095). A non-significant improvement, then, not a cancellation.</w:t>
      </w:r>
    </w:p>
    <w:p>
      <w:r>
        <w:rPr>
          <w:b/>
          <w:i w:val="0"/>
        </w:rPr>
        <w:t>Stacking the two stages does not improve on either alone.</w:t>
      </w:r>
      <w:r>
        <w:rPr>
          <w:b w:val="0"/>
          <w:i w:val="0"/>
        </w:rPr>
        <w:t xml:space="preserve"> This is the ablation's least convenient result. The full cascade scores </w:t>
      </w:r>
      <w:r>
        <w:rPr>
          <w:b w:val="0"/>
          <w:i/>
        </w:rPr>
        <w:t>below</w:t>
      </w:r>
      <w:r>
        <w:rPr>
          <w:b w:val="0"/>
          <w:i w:val="0"/>
        </w:rPr>
        <w:t xml:space="preserve"> content + MMR on HitRate@10 (0.855 against 0.877) and nDCG@10 (0.695 against 0.701), and below content + collaborative on nDCG@10 (0.695 against 0.704). Adding the collaborative stage on top of MMR costs a little on every accuracy measure and adds nothing to diversity, which is already saturated at 0.735. The likely mechanism is competition for the same positions. The blend promotes co-listened artists; MMR then penalises the candidates most similar to the history, and co-listened artists tend to be exactly those. Each partly undoes the other. Against content alone the cascade is +0.046 nDCG at p = 0.195, not significant. The honest reading is that </w:t>
      </w:r>
      <w:r>
        <w:rPr>
          <w:b/>
          <w:i w:val="0"/>
        </w:rPr>
        <w:t>content + collaborative is best on accuracy, content + MMR is best on top-10 recall and diversity, and the full cascade is best at neither.</w:t>
      </w:r>
      <w:r>
        <w:rPr>
          <w:b w:val="0"/>
          <w:i w:val="0"/>
        </w:rPr>
        <w:t xml:space="preserve"> Production keeps the cascade because diversity is a stated requirement and the accuracy cost is within noise. But the ablation does not support calling the composite an improvement, and nDCG alone is too coarse to express the trade. That is why Kaminskas and Bridge (2016) argue for reporting beyond accuracy.</w:t>
      </w:r>
    </w:p>
    <w:p>
      <w:r>
        <w:rPr>
          <w:b/>
          <w:i w:val="0"/>
        </w:rPr>
        <w:t>Novelty was uninformative.</w:t>
      </w:r>
      <w:r>
        <w:rPr>
          <w:b w:val="0"/>
          <w:i w:val="0"/>
        </w:rPr>
        <w:t xml:space="preserve"> All arms scored ≈9.76. Almost every track in a corpus this size has one listener, so −log₂ popularity is near-constant and separates nothing.</w:t>
      </w:r>
    </w:p>
    <w:p>
      <w:r>
        <w:rPr>
          <w:b/>
          <w:i w:val="0"/>
        </w:rPr>
        <w:t>Controlling for a metadata confound.</w:t>
      </w:r>
      <w:r>
        <w:rPr>
          <w:b w:val="0"/>
          <w:i w:val="0"/>
        </w:rPr>
        <w:t xml:space="preserve"> Held-out tracks resolve through </w:t>
      </w:r>
      <w:r>
        <w:rPr>
          <w:rFonts w:ascii="Consolas" w:hAnsi="Consolas"/>
          <w:b w:val="0"/>
          <w:i w:val="0"/>
          <w:sz w:val="20"/>
        </w:rPr>
        <w:t>get_recording</w:t>
      </w:r>
      <w:r>
        <w:rPr>
          <w:b w:val="0"/>
          <w:i w:val="0"/>
        </w:rPr>
        <w:t xml:space="preserve">, which adds their artist's tags, while candidates carry only the search response's. Session tracks average 7.1 genre tags; candidates average 2.6. Genre TF-IDF could therefore be detecting </w:t>
      </w:r>
      <w:r>
        <w:rPr>
          <w:b w:val="0"/>
          <w:i/>
        </w:rPr>
        <w:t>richer metadata</w:t>
      </w:r>
      <w:r>
        <w:rPr>
          <w:b w:val="0"/>
          <w:i w:val="0"/>
        </w:rPr>
        <w:t xml:space="preserve"> instead of similarity. I re-ran the evaluation with negatives restricted to candidates carrying three or more tags, the bar 90% of targets clear. Accuracy held and rose slightly (content-only nDCG 0.648 → 0.692, full cascade 0.695 → 0.726; n = 93 of 138 sessions kept enough well-tagged negatives), every ordering preserved (Figure 10). The collaborative advantage narrows to p = 0.059 in the smaller sample: significant in the primary condition, marginal in the control, stated as measured.</w:t>
      </w:r>
    </w:p>
    <w:p>
      <w:pPr>
        <w:spacing w:before="200" w:after="40"/>
        <w:jc w:val="center"/>
      </w:pPr>
      <w:r>
        <w:drawing>
          <wp:inline xmlns:a="http://schemas.openxmlformats.org/drawingml/2006/main" xmlns:pic="http://schemas.openxmlformats.org/drawingml/2006/picture">
            <wp:extent cx="5400000" cy="2642553"/>
            <wp:docPr id="7" name="Picture 7"/>
            <wp:cNvGraphicFramePr>
              <a:graphicFrameLocks noChangeAspect="1"/>
            </wp:cNvGraphicFramePr>
            <a:graphic>
              <a:graphicData uri="http://schemas.openxmlformats.org/drawingml/2006/picture">
                <pic:pic>
                  <pic:nvPicPr>
                    <pic:cNvPr id="0" name="fig_control.png"/>
                    <pic:cNvPicPr/>
                  </pic:nvPicPr>
                  <pic:blipFill>
                    <a:blip r:embed="rId15"/>
                    <a:stretch>
                      <a:fillRect/>
                    </a:stretch>
                  </pic:blipFill>
                  <pic:spPr>
                    <a:xfrm>
                      <a:off x="0" y="0"/>
                      <a:ext cx="5400000" cy="2642553"/>
                    </a:xfrm>
                    <a:prstGeom prst="rect"/>
                  </pic:spPr>
                </pic:pic>
              </a:graphicData>
            </a:graphic>
          </wp:inline>
        </w:drawing>
      </w:r>
    </w:p>
    <w:p>
      <w:pPr>
        <w:spacing w:before="80" w:after="280"/>
        <w:jc w:val="center"/>
      </w:pPr>
      <w:r>
        <w:rPr>
          <w:b/>
          <w:i w:val="0"/>
          <w:color w:val="5A524C"/>
          <w:sz w:val="18"/>
        </w:rPr>
        <w:t>Figure 10.</w:t>
      </w:r>
      <w:r>
        <w:rPr>
          <w:b w:val="0"/>
          <w:i w:val="0"/>
          <w:color w:val="5A524C"/>
          <w:sz w:val="18"/>
        </w:rPr>
        <w:t xml:space="preserve"> nDCG@10 with negatives sampled freely against the well-tagged-negatives control.</w:t>
      </w:r>
    </w:p>
    <w:p>
      <w:pPr>
        <w:pStyle w:val="Heading2"/>
      </w:pPr>
      <w:r>
        <w:t>5.6 Correctness, reproducibility and latency</w:t>
      </w:r>
    </w:p>
    <w:p>
      <w:r>
        <w:rPr>
          <w:b/>
          <w:i w:val="0"/>
        </w:rPr>
        <w:t>Correctness.</w:t>
      </w:r>
      <w:r>
        <w:rPr>
          <w:b w:val="0"/>
          <w:i w:val="0"/>
        </w:rPr>
        <w:t xml:space="preserve"> 121 backend and 29 frontend tests pass with none skipped, weighted toward failure paths. The adversarial sweep passes 32/32, and </w:t>
      </w:r>
      <w:r>
        <w:rPr>
          <w:rFonts w:ascii="Consolas" w:hAnsi="Consolas"/>
          <w:b w:val="0"/>
          <w:i w:val="0"/>
          <w:sz w:val="20"/>
        </w:rPr>
        <w:t>ruff</w:t>
      </w:r>
      <w:r>
        <w:rPr>
          <w:b w:val="0"/>
          <w:i w:val="0"/>
        </w:rPr>
        <w:t xml:space="preserve">, </w:t>
      </w:r>
      <w:r>
        <w:rPr>
          <w:rFonts w:ascii="Consolas" w:hAnsi="Consolas"/>
          <w:b w:val="0"/>
          <w:i w:val="0"/>
          <w:sz w:val="20"/>
        </w:rPr>
        <w:t>mypy</w:t>
      </w:r>
      <w:r>
        <w:rPr>
          <w:b w:val="0"/>
          <w:i w:val="0"/>
        </w:rPr>
        <w:t xml:space="preserve"> and </w:t>
      </w:r>
      <w:r>
        <w:rPr>
          <w:rFonts w:ascii="Consolas" w:hAnsi="Consolas"/>
          <w:b w:val="0"/>
          <w:i w:val="0"/>
          <w:sz w:val="20"/>
        </w:rPr>
        <w:t>tsc</w:t>
      </w:r>
      <w:r>
        <w:rPr>
          <w:b w:val="0"/>
          <w:i w:val="0"/>
        </w:rPr>
        <w:t xml:space="preserve"> run clean (Section 4.10).</w:t>
      </w:r>
    </w:p>
    <w:p>
      <w:r>
        <w:rPr>
          <w:b/>
          <w:i w:val="0"/>
        </w:rPr>
        <w:t>Reproducibility.</w:t>
      </w:r>
      <w:r>
        <w:rPr>
          <w:b w:val="0"/>
          <w:i w:val="0"/>
        </w:rPr>
        <w:t xml:space="preserve"> Eight paired identical requests returned identical tracks, 8/8. That is a </w:t>
      </w:r>
      <w:r>
        <w:rPr>
          <w:b w:val="0"/>
          <w:i/>
        </w:rPr>
        <w:t>result</w:t>
      </w:r>
      <w:r>
        <w:rPr>
          <w:b w:val="0"/>
          <w:i w:val="0"/>
        </w:rPr>
        <w:t>, not an assumption: it was false until I added the candidate-pool cache (Section 4.7), and it holds for the cache's lifetime, not absolutely.</w:t>
      </w:r>
    </w:p>
    <w:p>
      <w:r>
        <w:rPr>
          <w:b/>
          <w:i w:val="0"/>
        </w:rPr>
        <w:t>Latency</w:t>
      </w:r>
      <w:r>
        <w:rPr>
          <w:b w:val="0"/>
          <w:i w:val="0"/>
        </w:rPr>
        <w:t>, measured against live upstreams from a freshly started process:</w:t>
      </w:r>
    </w:p>
    <w:tbl>
      <w:tblPr>
        <w:tblStyle w:val="TableGrid"/>
        <w:tblW w:type="auto" w:w="0"/>
        <w:jc w:val="center"/>
        <w:tblLayout w:type="fixed"/>
        <w:tblLook w:firstColumn="1" w:firstRow="1" w:lastColumn="0" w:lastRow="0" w:noHBand="0" w:noVBand="1" w:val="04A0"/>
        <w:tblLayout w:type="fixed"/>
      </w:tblPr>
      <w:tblGrid>
        <w:gridCol w:w="2268"/>
        <w:gridCol w:w="2268"/>
        <w:gridCol w:w="2268"/>
        <w:gridCol w:w="2268"/>
      </w:tblGrid>
      <w:tr>
        <w:tc>
          <w:tcPr>
            <w:tcW w:type="dxa" w:w="4546"/>
            <w:shd w:val="clear" w:color="auto" w:fill="F3EEE8"/>
          </w:tcPr>
          <w:p>
            <w:pPr>
              <w:spacing w:before="60" w:after="60" w:line="240" w:lineRule="auto"/>
            </w:pPr>
            <w:r/>
            <w:r>
              <w:rPr>
                <w:b/>
                <w:sz w:val="18"/>
              </w:rPr>
              <w:t>Scenario</w:t>
            </w:r>
          </w:p>
        </w:tc>
        <w:tc>
          <w:tcPr>
            <w:tcW w:type="dxa" w:w="1043"/>
            <w:shd w:val="clear" w:color="auto" w:fill="F3EEE8"/>
          </w:tcPr>
          <w:p>
            <w:pPr>
              <w:spacing w:before="60" w:after="60" w:line="240" w:lineRule="auto"/>
              <w:jc w:val="right"/>
            </w:pPr>
            <w:r/>
            <w:r>
              <w:rPr>
                <w:b/>
                <w:sz w:val="18"/>
              </w:rPr>
              <w:t>Median</w:t>
            </w:r>
          </w:p>
        </w:tc>
        <w:tc>
          <w:tcPr>
            <w:tcW w:type="dxa" w:w="2299"/>
            <w:shd w:val="clear" w:color="auto" w:fill="F3EEE8"/>
          </w:tcPr>
          <w:p>
            <w:pPr>
              <w:spacing w:before="60" w:after="60" w:line="240" w:lineRule="auto"/>
              <w:jc w:val="right"/>
            </w:pPr>
            <w:r/>
            <w:r>
              <w:rPr>
                <w:b/>
                <w:sz w:val="18"/>
              </w:rPr>
              <w:t>95th percentile</w:t>
            </w:r>
          </w:p>
        </w:tc>
        <w:tc>
          <w:tcPr>
            <w:tcW w:type="dxa" w:w="1183"/>
            <w:shd w:val="clear" w:color="auto" w:fill="F3EEE8"/>
          </w:tcPr>
          <w:p>
            <w:pPr>
              <w:spacing w:before="60" w:after="60" w:line="240" w:lineRule="auto"/>
              <w:jc w:val="right"/>
            </w:pPr>
            <w:r/>
            <w:r>
              <w:rPr>
                <w:b/>
                <w:sz w:val="18"/>
              </w:rPr>
              <w:t>Samples</w:t>
            </w:r>
          </w:p>
        </w:tc>
      </w:tr>
      <w:tr>
        <w:tc>
          <w:tcPr>
            <w:tcW w:type="dxa" w:w="4546"/>
          </w:tcPr>
          <w:p>
            <w:pPr>
              <w:spacing w:before="60" w:after="60" w:line="240" w:lineRule="auto"/>
            </w:pPr>
            <w:r/>
            <w:r>
              <w:rPr>
                <w:b w:val="0"/>
                <w:i w:val="0"/>
                <w:sz w:val="18"/>
              </w:rPr>
              <w:t>First request after startup (nothing cached)</w:t>
            </w:r>
          </w:p>
        </w:tc>
        <w:tc>
          <w:tcPr>
            <w:tcW w:type="dxa" w:w="1043"/>
          </w:tcPr>
          <w:p>
            <w:pPr>
              <w:spacing w:before="60" w:after="60" w:line="240" w:lineRule="auto"/>
              <w:jc w:val="right"/>
            </w:pPr>
            <w:r/>
            <w:r>
              <w:rPr>
                <w:b w:val="0"/>
                <w:i w:val="0"/>
                <w:sz w:val="18"/>
              </w:rPr>
              <w:t>155.4 s</w:t>
            </w:r>
          </w:p>
        </w:tc>
        <w:tc>
          <w:tcPr>
            <w:tcW w:type="dxa" w:w="2299"/>
          </w:tcPr>
          <w:p>
            <w:pPr>
              <w:spacing w:before="60" w:after="60" w:line="240" w:lineRule="auto"/>
              <w:jc w:val="right"/>
            </w:pPr>
            <w:r/>
            <w:r>
              <w:rPr>
                <w:b w:val="0"/>
                <w:i w:val="0"/>
                <w:sz w:val="18"/>
              </w:rPr>
              <w:t>—</w:t>
            </w:r>
          </w:p>
        </w:tc>
        <w:tc>
          <w:tcPr>
            <w:tcW w:type="dxa" w:w="1183"/>
          </w:tcPr>
          <w:p>
            <w:pPr>
              <w:spacing w:before="60" w:after="60" w:line="240" w:lineRule="auto"/>
              <w:jc w:val="right"/>
            </w:pPr>
            <w:r/>
            <w:r>
              <w:rPr>
                <w:b w:val="0"/>
                <w:i w:val="0"/>
                <w:sz w:val="18"/>
              </w:rPr>
              <w:t>1</w:t>
            </w:r>
          </w:p>
        </w:tc>
      </w:tr>
      <w:tr>
        <w:tc>
          <w:tcPr>
            <w:tcW w:type="dxa" w:w="4546"/>
          </w:tcPr>
          <w:p>
            <w:pPr>
              <w:spacing w:before="60" w:after="60" w:line="240" w:lineRule="auto"/>
            </w:pPr>
            <w:r/>
            <w:r>
              <w:rPr>
                <w:b w:val="0"/>
                <w:i w:val="0"/>
                <w:sz w:val="18"/>
              </w:rPr>
              <w:t>New listening history, process partly warm</w:t>
            </w:r>
          </w:p>
        </w:tc>
        <w:tc>
          <w:tcPr>
            <w:tcW w:type="dxa" w:w="1043"/>
          </w:tcPr>
          <w:p>
            <w:pPr>
              <w:spacing w:before="60" w:after="60" w:line="240" w:lineRule="auto"/>
              <w:jc w:val="right"/>
            </w:pPr>
            <w:r/>
            <w:r>
              <w:rPr>
                <w:b w:val="0"/>
                <w:i w:val="0"/>
                <w:sz w:val="18"/>
              </w:rPr>
              <w:t>29.0 s</w:t>
            </w:r>
          </w:p>
        </w:tc>
        <w:tc>
          <w:tcPr>
            <w:tcW w:type="dxa" w:w="2299"/>
          </w:tcPr>
          <w:p>
            <w:pPr>
              <w:spacing w:before="60" w:after="60" w:line="240" w:lineRule="auto"/>
              <w:jc w:val="right"/>
            </w:pPr>
            <w:r/>
            <w:r>
              <w:rPr>
                <w:b w:val="0"/>
                <w:i w:val="0"/>
                <w:sz w:val="18"/>
              </w:rPr>
              <w:t>41.3 s</w:t>
            </w:r>
          </w:p>
        </w:tc>
        <w:tc>
          <w:tcPr>
            <w:tcW w:type="dxa" w:w="1183"/>
          </w:tcPr>
          <w:p>
            <w:pPr>
              <w:spacing w:before="60" w:after="60" w:line="240" w:lineRule="auto"/>
              <w:jc w:val="right"/>
            </w:pPr>
            <w:r/>
            <w:r>
              <w:rPr>
                <w:b w:val="0"/>
                <w:i w:val="0"/>
                <w:sz w:val="18"/>
              </w:rPr>
              <w:t>7</w:t>
            </w:r>
          </w:p>
        </w:tc>
      </w:tr>
      <w:tr>
        <w:tc>
          <w:tcPr>
            <w:tcW w:type="dxa" w:w="4546"/>
          </w:tcPr>
          <w:p>
            <w:pPr>
              <w:spacing w:before="60" w:after="60" w:line="240" w:lineRule="auto"/>
            </w:pPr>
            <w:r/>
            <w:r>
              <w:rPr>
                <w:b w:val="0"/>
                <w:i w:val="0"/>
                <w:sz w:val="18"/>
              </w:rPr>
              <w:t>Repeat of an identical request</w:t>
            </w:r>
          </w:p>
        </w:tc>
        <w:tc>
          <w:tcPr>
            <w:tcW w:type="dxa" w:w="1043"/>
          </w:tcPr>
          <w:p>
            <w:pPr>
              <w:spacing w:before="60" w:after="60" w:line="240" w:lineRule="auto"/>
              <w:jc w:val="right"/>
            </w:pPr>
            <w:r/>
            <w:r>
              <w:rPr>
                <w:b/>
                <w:i w:val="0"/>
                <w:sz w:val="18"/>
              </w:rPr>
              <w:t>0.45 s</w:t>
            </w:r>
          </w:p>
        </w:tc>
        <w:tc>
          <w:tcPr>
            <w:tcW w:type="dxa" w:w="2299"/>
          </w:tcPr>
          <w:p>
            <w:pPr>
              <w:spacing w:before="60" w:after="60" w:line="240" w:lineRule="auto"/>
              <w:jc w:val="right"/>
            </w:pPr>
            <w:r/>
            <w:r>
              <w:rPr>
                <w:b w:val="0"/>
                <w:i w:val="0"/>
                <w:sz w:val="18"/>
              </w:rPr>
              <w:t>0.58 s</w:t>
            </w:r>
          </w:p>
        </w:tc>
        <w:tc>
          <w:tcPr>
            <w:tcW w:type="dxa" w:w="1183"/>
          </w:tcPr>
          <w:p>
            <w:pPr>
              <w:spacing w:before="60" w:after="60" w:line="240" w:lineRule="auto"/>
              <w:jc w:val="right"/>
            </w:pPr>
            <w:r/>
            <w:r>
              <w:rPr>
                <w:b w:val="0"/>
                <w:i w:val="0"/>
                <w:sz w:val="18"/>
              </w:rPr>
              <w:t>8</w:t>
            </w:r>
          </w:p>
        </w:tc>
      </w:tr>
    </w:tbl>
    <w:p>
      <w:pPr>
        <w:spacing w:after="0"/>
      </w:pPr>
    </w:p>
    <w:p>
      <w:pPr>
        <w:spacing w:before="80" w:after="280"/>
        <w:jc w:val="center"/>
      </w:pPr>
      <w:r>
        <w:rPr>
          <w:b w:val="0"/>
          <w:i/>
          <w:color w:val="5A524C"/>
          <w:sz w:val="18"/>
        </w:rPr>
        <w:t xml:space="preserve">Table 5. End-to-end </w:t>
      </w:r>
      <w:r>
        <w:rPr>
          <w:rFonts w:ascii="Consolas" w:hAnsi="Consolas"/>
          <w:b w:val="0"/>
          <w:i/>
          <w:color w:val="5A524C"/>
          <w:sz w:val="17"/>
        </w:rPr>
        <w:t>/recommend</w:t>
      </w:r>
      <w:r>
        <w:rPr>
          <w:b w:val="0"/>
          <w:i/>
          <w:color w:val="5A524C"/>
          <w:sz w:val="18"/>
        </w:rPr>
        <w:t xml:space="preserve"> latency against live MusicBrainz, AcousticBrainz, ListenBrainz and YouTube Music.</w:t>
      </w:r>
    </w:p>
    <w:p>
      <w:pPr>
        <w:spacing w:before="200" w:after="40"/>
        <w:jc w:val="center"/>
      </w:pPr>
      <w:r>
        <w:drawing>
          <wp:inline xmlns:a="http://schemas.openxmlformats.org/drawingml/2006/main" xmlns:pic="http://schemas.openxmlformats.org/drawingml/2006/picture">
            <wp:extent cx="5400000" cy="2970000"/>
            <wp:docPr id="8" name="Picture 8"/>
            <wp:cNvGraphicFramePr>
              <a:graphicFrameLocks noChangeAspect="1"/>
            </wp:cNvGraphicFramePr>
            <a:graphic>
              <a:graphicData uri="http://schemas.openxmlformats.org/drawingml/2006/picture">
                <pic:pic>
                  <pic:nvPicPr>
                    <pic:cNvPr id="0" name="fig_latency.png"/>
                    <pic:cNvPicPr/>
                  </pic:nvPicPr>
                  <pic:blipFill>
                    <a:blip r:embed="rId16"/>
                    <a:stretch>
                      <a:fillRect/>
                    </a:stretch>
                  </pic:blipFill>
                  <pic:spPr>
                    <a:xfrm>
                      <a:off x="0" y="0"/>
                      <a:ext cx="5400000" cy="2970000"/>
                    </a:xfrm>
                    <a:prstGeom prst="rect"/>
                  </pic:spPr>
                </pic:pic>
              </a:graphicData>
            </a:graphic>
          </wp:inline>
        </w:drawing>
      </w:r>
    </w:p>
    <w:p>
      <w:pPr>
        <w:spacing w:before="80" w:after="280"/>
        <w:jc w:val="center"/>
      </w:pPr>
      <w:r>
        <w:rPr>
          <w:b/>
          <w:i w:val="0"/>
          <w:color w:val="5A524C"/>
          <w:sz w:val="18"/>
        </w:rPr>
        <w:t>Figure 11.</w:t>
      </w:r>
      <w:r>
        <w:rPr>
          <w:b w:val="0"/>
          <w:i w:val="0"/>
          <w:color w:val="5A524C"/>
          <w:sz w:val="18"/>
        </w:rPr>
        <w:t xml:space="preserve"> the same three scenarios on a logarithmic axis.</w:t>
      </w:r>
    </w:p>
    <w:p>
      <w:r>
        <w:rPr>
          <w:b w:val="0"/>
          <w:i w:val="0"/>
        </w:rPr>
        <w:t xml:space="preserve">These figures do not contradict Table 1. "Cold" does different work in each. Table 1 empties one cache inside a running process whose others are warm. Table 5's 155.4 s is a genuine cold start with </w:t>
      </w:r>
      <w:r>
        <w:rPr>
          <w:b w:val="0"/>
          <w:i/>
        </w:rPr>
        <w:t>every</w:t>
      </w:r>
      <w:r>
        <w:rPr>
          <w:b w:val="0"/>
          <w:i w:val="0"/>
        </w:rPr>
        <w:t xml:space="preserve"> cache empty, recorded while </w:t>
      </w:r>
      <w:r>
        <w:rPr>
          <w:rFonts w:ascii="Consolas" w:hAnsi="Consolas"/>
          <w:b w:val="0"/>
          <w:i w:val="0"/>
          <w:sz w:val="20"/>
        </w:rPr>
        <w:t>/health</w:t>
      </w:r>
      <w:r>
        <w:rPr>
          <w:b w:val="0"/>
          <w:i w:val="0"/>
        </w:rPr>
        <w:t xml:space="preserve"> reported MusicBrainz and AcousticBrainz degraded, so it also carries backoff time. It is a worst case measured once, not a median (Appendix C).</w:t>
      </w:r>
    </w:p>
    <w:p>
      <w:r>
        <w:rPr>
          <w:b w:val="0"/>
          <w:i w:val="0"/>
        </w:rPr>
        <w:t xml:space="preserve">Nothing in the mathematics is slow; ranking fifty candidates takes milliseconds. The figure that matters for usability is the </w:t>
      </w:r>
      <w:r>
        <w:rPr>
          <w:b/>
          <w:i w:val="0"/>
        </w:rPr>
        <w:t>29 s median for a new listening history</w:t>
      </w:r>
      <w:r>
        <w:rPr>
          <w:b w:val="0"/>
          <w:i w:val="0"/>
        </w:rPr>
        <w:t xml:space="preserve">, and it is poor. A listener starting fresh waits half a minute, and caching cannot help, because the cache is empty precisely when a new listener arrives (Section 6.3). Caching is therefore not an optimisation but a precondition for usability. That is an uncomfortable finding for a project whose premise is </w:t>
      </w:r>
      <w:r>
        <w:rPr>
          <w:b w:val="0"/>
          <w:i/>
        </w:rPr>
        <w:t>not</w:t>
      </w:r>
      <w:r>
        <w:rPr>
          <w:b w:val="0"/>
          <w:i w:val="0"/>
        </w:rPr>
        <w:t xml:space="preserve"> accumulating state.</w:t>
      </w:r>
    </w:p>
    <w:p>
      <w:pPr>
        <w:pStyle w:val="Heading2"/>
      </w:pPr>
      <w:r>
        <w:t>5.7 The privacy claim, audited</w:t>
      </w:r>
    </w:p>
    <w:p>
      <w:r>
        <w:rPr>
          <w:b w:val="0"/>
          <w:i w:val="0"/>
        </w:rPr>
        <w:t xml:space="preserve">The claim that the server stores nothing about a user </w:t>
      </w:r>
      <w:r>
        <w:rPr>
          <w:b w:val="0"/>
          <w:i/>
        </w:rPr>
        <w:t>is</w:t>
      </w:r>
      <w:r>
        <w:rPr>
          <w:b w:val="0"/>
          <w:i w:val="0"/>
        </w:rPr>
        <w:t xml:space="preserve"> the project, so I audited it against the code instead of assuming it.</w:t>
      </w:r>
    </w:p>
    <w:p>
      <w:r>
        <w:rPr>
          <w:b w:val="0"/>
          <w:i w:val="0"/>
        </w:rPr>
        <w:t xml:space="preserve">There is no database, ORM or persistent store in the backend. Exactly six module-level dictionaries survive a request: track features and video ids by MBID, candidate pools by genre tag, artist tags and similar artists by artist MBID, and the day's Top 5. Each is keyed on a public identifier and holds a value identical for every caller. None is keyed on or derived from a user, session or request identity. No cookie or client identifier is issued. The listening history arrives in a request body, is used within the call, and is never written. The collaborative stage sends ListenBrainz an </w:t>
      </w:r>
      <w:r>
        <w:rPr>
          <w:b w:val="0"/>
          <w:i/>
        </w:rPr>
        <w:t>artist</w:t>
      </w:r>
      <w:r>
        <w:rPr>
          <w:b w:val="0"/>
          <w:i w:val="0"/>
        </w:rPr>
        <w:t xml:space="preserve"> identifier and nothing else.</w:t>
      </w:r>
    </w:p>
    <w:p>
      <w:r>
        <w:rPr>
          <w:b w:val="0"/>
          <w:i w:val="0"/>
        </w:rPr>
        <w:t xml:space="preserve">The claim holds, with one nuance I would rather state than hide. The caches are shared, so a track one listener caused to be fetched makes a later listener's request faster. That reveals nothing about who requested what. But "stateless" does narrower work than the word suggests, and Section 5.6 shows the system is barely usable without those caches. NextTrack stores nothing </w:t>
      </w:r>
      <w:r>
        <w:rPr>
          <w:b w:val="0"/>
          <w:i/>
        </w:rPr>
        <w:t>about users</w:t>
      </w:r>
      <w:r>
        <w:rPr>
          <w:b w:val="0"/>
          <w:i w:val="0"/>
        </w:rPr>
        <w:t>; it does not store nothing.</w:t>
      </w:r>
    </w:p>
    <w:p>
      <w:pPr>
        <w:pStyle w:val="Heading2"/>
      </w:pPr>
      <w:r>
        <w:t>5.8 Threats to validity, and a critique of the project</w:t>
      </w:r>
    </w:p>
    <w:p>
      <w:r>
        <w:rPr>
          <w:b/>
          <w:i w:val="0"/>
        </w:rPr>
        <w:t>The missing user study is the dominant threat.</w:t>
      </w:r>
      <w:r>
        <w:rPr>
          <w:b w:val="0"/>
          <w:i w:val="0"/>
        </w:rPr>
        <w:t xml:space="preserve"> Every accuracy figure measures one thing: how often the engine ranks highly the track a listener happened to play next. Shani and Gunawardana (2011) argue precisely that such proxies do not establish user value. A recommendation the listener would have loved but did not play scores zero. So NextTrack could beat every baseline here and still be worse to listen to.</w:t>
      </w:r>
    </w:p>
    <w:p>
      <w:r>
        <w:rPr>
          <w:b/>
          <w:i w:val="0"/>
        </w:rPr>
        <w:t>The injected target.</w:t>
      </w:r>
      <w:r>
        <w:rPr>
          <w:b w:val="0"/>
          <w:i w:val="0"/>
        </w:rPr>
        <w:t xml:space="preserve"> Section 5.5's figures presuppose reachability that Section 5.4 shows does not exist. They measure ranking in isolation, and read as anything more they would badly mislead.</w:t>
      </w:r>
    </w:p>
    <w:p>
      <w:r>
        <w:rPr>
          <w:b/>
          <w:i w:val="0"/>
        </w:rPr>
        <w:t>The sampled-negative protocol has known defects.</w:t>
      </w:r>
      <w:r>
        <w:rPr>
          <w:b w:val="0"/>
          <w:i w:val="0"/>
        </w:rPr>
        <w:t xml:space="preserve"> Ranking one target against 99 sampled negatives is standard here (Kang and McAuley, 2018; Sun et al., 2019), but Krichene and Rendle (2020) show that sampled metrics are not consistent estimators of their full-catalogue counterparts and can reverse the ordering of close systems. Three arms here differ by under 0.01 nDCG, exactly that regime, so the ablation's ordering among engine configurations is indicative rather than established. The baseline comparisons, with gaps above 0.46 nDCG, are not at risk. Re-running without sampling would settle it, and it is this evaluation's cheapest available improvement.</w:t>
      </w:r>
    </w:p>
    <w:p>
      <w:r>
        <w:rPr>
          <w:b/>
          <w:i w:val="0"/>
        </w:rPr>
        <w:t>Sample size and composition.</w:t>
      </w:r>
      <w:r>
        <w:rPr>
          <w:b w:val="0"/>
          <w:i w:val="0"/>
        </w:rPr>
        <w:t xml:space="preserve"> 140 sessions from 24 self-selected ListenBrainz users: deliberate scrobblers, skewed toward well-tagged catalogue music, which biases the corpus in a direction that </w:t>
      </w:r>
      <w:r>
        <w:rPr>
          <w:b w:val="0"/>
          <w:i/>
        </w:rPr>
        <w:t>flatters</w:t>
      </w:r>
      <w:r>
        <w:rPr>
          <w:b w:val="0"/>
          <w:i w:val="0"/>
        </w:rPr>
        <w:t xml:space="preserve"> a genre-driven engine.</w:t>
      </w:r>
    </w:p>
    <w:p>
      <w:r>
        <w:rPr>
          <w:b/>
          <w:i w:val="0"/>
        </w:rPr>
        <w:t>Ground-truth ambiguity.</w:t>
      </w:r>
      <w:r>
        <w:rPr>
          <w:b w:val="0"/>
          <w:i w:val="0"/>
        </w:rPr>
        <w:t xml:space="preserve"> A 30-minute session boundary is a convention, not a fact. Music left playing while working yields sequences nobody chose.</w:t>
      </w:r>
    </w:p>
    <w:p>
      <w:r>
        <w:rPr>
          <w:b/>
          <w:i w:val="0"/>
        </w:rPr>
        <w:t>Developer-run evaluation.</w:t>
      </w:r>
      <w:r>
        <w:rPr>
          <w:b w:val="0"/>
          <w:i w:val="0"/>
        </w:rPr>
        <w:t xml:space="preserve"> I designed and ran every measurement myself. Mechanical metrics, shared pools, a fixed snapshot and reproducibility limit the room for bias, but the choice of metrics and protocol was mine.</w:t>
      </w:r>
    </w:p>
    <w:p>
      <w:r>
        <w:rPr>
          <w:b w:val="0"/>
          <w:i w:val="0"/>
        </w:rPr>
        <w:t>Sections 6.2 and 6.3 draw the balance of what this evidence does and does not support.</w:t>
      </w:r>
    </w:p>
    <w:p>
      <w:r>
        <w:br w:type="page"/>
      </w:r>
    </w:p>
    <w:p>
      <w:pPr>
        <w:pStyle w:val="Heading1"/>
        <w:pBdr>
          <w:bottom w:val="single" w:sz="6" w:space="4" w:color="C9BFB4"/>
        </w:pBdr>
      </w:pPr>
      <w:r>
        <w:t>Chapter 6: Conclusion</w:t>
      </w:r>
    </w:p>
    <w:p>
      <w:pPr>
        <w:pStyle w:val="Heading2"/>
      </w:pPr>
      <w:r>
        <w:t>6.1 Objectives: what was achieved, and what was not</w:t>
      </w:r>
    </w:p>
    <w:p>
      <w:r>
        <w:rPr>
          <w:b w:val="0"/>
          <w:i w:val="0"/>
        </w:rPr>
        <w:t xml:space="preserve">NextTrack asked whether a music recommender needs a permanent user profile to return a useful next track. The answer is narrower than the question, but no longer speculative. </w:t>
      </w:r>
      <w:r>
        <w:rPr>
          <w:b/>
          <w:i w:val="0"/>
        </w:rPr>
        <w:t>A stateless recommender can be built, and it ranks real listeners' next tracks far above chance and popularity. But it does so only when the target is in the candidate set, and its own retrieval never puts it there. Whether listeners would prefer its choices remains untested.</w:t>
      </w:r>
    </w:p>
    <w:tbl>
      <w:tblPr>
        <w:tblStyle w:val="TableGrid"/>
        <w:tblW w:type="auto" w:w="0"/>
        <w:jc w:val="center"/>
        <w:tblLayout w:type="fixed"/>
        <w:tblLook w:firstColumn="1" w:firstRow="1" w:lastColumn="0" w:lastRow="0" w:noHBand="0" w:noVBand="1" w:val="04A0"/>
        <w:tblLayout w:type="fixed"/>
      </w:tblPr>
      <w:tblGrid>
        <w:gridCol w:w="2268"/>
        <w:gridCol w:w="2268"/>
        <w:gridCol w:w="2268"/>
        <w:gridCol w:w="2268"/>
      </w:tblGrid>
      <w:tr>
        <w:tc>
          <w:tcPr>
            <w:tcW w:type="dxa" w:w="860"/>
            <w:shd w:val="clear" w:color="auto" w:fill="F3EEE8"/>
          </w:tcPr>
          <w:p>
            <w:pPr>
              <w:spacing w:before="60" w:after="60" w:line="240" w:lineRule="auto"/>
            </w:pPr>
            <w:r/>
            <w:r>
              <w:rPr>
                <w:b/>
                <w:sz w:val="18"/>
              </w:rPr>
              <w:t>#</w:t>
            </w:r>
          </w:p>
        </w:tc>
        <w:tc>
          <w:tcPr>
            <w:tcW w:type="dxa" w:w="3816"/>
            <w:shd w:val="clear" w:color="auto" w:fill="F3EEE8"/>
          </w:tcPr>
          <w:p>
            <w:pPr>
              <w:spacing w:before="60" w:after="60" w:line="240" w:lineRule="auto"/>
            </w:pPr>
            <w:r/>
            <w:r>
              <w:rPr>
                <w:b/>
                <w:sz w:val="18"/>
              </w:rPr>
              <w:t>Objective</w:t>
            </w:r>
          </w:p>
        </w:tc>
        <w:tc>
          <w:tcPr>
            <w:tcW w:type="dxa" w:w="2082"/>
            <w:shd w:val="clear" w:color="auto" w:fill="F3EEE8"/>
          </w:tcPr>
          <w:p>
            <w:pPr>
              <w:spacing w:before="60" w:after="60" w:line="240" w:lineRule="auto"/>
            </w:pPr>
            <w:r/>
            <w:r>
              <w:rPr>
                <w:b/>
                <w:sz w:val="18"/>
              </w:rPr>
              <w:t>Status</w:t>
            </w:r>
          </w:p>
        </w:tc>
        <w:tc>
          <w:tcPr>
            <w:tcW w:type="dxa" w:w="2313"/>
            <w:shd w:val="clear" w:color="auto" w:fill="F3EEE8"/>
          </w:tcPr>
          <w:p>
            <w:pPr>
              <w:spacing w:before="60" w:after="60" w:line="240" w:lineRule="auto"/>
            </w:pPr>
            <w:r/>
            <w:r>
              <w:rPr>
                <w:b/>
                <w:sz w:val="18"/>
              </w:rPr>
              <w:t>Evidence</w:t>
            </w:r>
          </w:p>
        </w:tc>
      </w:tr>
      <w:tr>
        <w:tc>
          <w:tcPr>
            <w:tcW w:type="dxa" w:w="860"/>
          </w:tcPr>
          <w:p>
            <w:pPr>
              <w:spacing w:before="60" w:after="60" w:line="240" w:lineRule="auto"/>
            </w:pPr>
            <w:r/>
            <w:r>
              <w:rPr>
                <w:b w:val="0"/>
                <w:i w:val="0"/>
                <w:sz w:val="18"/>
              </w:rPr>
              <w:t>1</w:t>
            </w:r>
          </w:p>
        </w:tc>
        <w:tc>
          <w:tcPr>
            <w:tcW w:type="dxa" w:w="3816"/>
          </w:tcPr>
          <w:p>
            <w:pPr>
              <w:spacing w:before="60" w:after="60" w:line="240" w:lineRule="auto"/>
            </w:pPr>
            <w:r/>
            <w:r>
              <w:rPr>
                <w:b w:val="0"/>
                <w:i w:val="0"/>
                <w:sz w:val="18"/>
              </w:rPr>
              <w:t>Literature review</w:t>
            </w:r>
          </w:p>
        </w:tc>
        <w:tc>
          <w:tcPr>
            <w:tcW w:type="dxa" w:w="2082"/>
          </w:tcPr>
          <w:p>
            <w:pPr>
              <w:spacing w:before="60" w:after="60" w:line="240" w:lineRule="auto"/>
            </w:pPr>
            <w:r/>
            <w:r>
              <w:rPr>
                <w:b/>
                <w:i w:val="0"/>
                <w:sz w:val="18"/>
              </w:rPr>
              <w:t>Achieved</w:t>
            </w:r>
          </w:p>
        </w:tc>
        <w:tc>
          <w:tcPr>
            <w:tcW w:type="dxa" w:w="2313"/>
          </w:tcPr>
          <w:p>
            <w:pPr>
              <w:spacing w:before="60" w:after="60" w:line="240" w:lineRule="auto"/>
            </w:pPr>
            <w:r/>
            <w:r>
              <w:rPr>
                <w:b w:val="0"/>
                <w:i w:val="0"/>
                <w:sz w:val="18"/>
              </w:rPr>
              <w:t>Chapter 2</w:t>
            </w:r>
          </w:p>
        </w:tc>
      </w:tr>
      <w:tr>
        <w:tc>
          <w:tcPr>
            <w:tcW w:type="dxa" w:w="860"/>
          </w:tcPr>
          <w:p>
            <w:pPr>
              <w:spacing w:before="60" w:after="60" w:line="240" w:lineRule="auto"/>
            </w:pPr>
            <w:r/>
            <w:r>
              <w:rPr>
                <w:b w:val="0"/>
                <w:i w:val="0"/>
                <w:sz w:val="18"/>
              </w:rPr>
              <w:t>2</w:t>
            </w:r>
          </w:p>
        </w:tc>
        <w:tc>
          <w:tcPr>
            <w:tcW w:type="dxa" w:w="3816"/>
          </w:tcPr>
          <w:p>
            <w:pPr>
              <w:spacing w:before="60" w:after="60" w:line="240" w:lineRule="auto"/>
            </w:pPr>
            <w:r/>
            <w:r>
              <w:rPr>
                <w:b w:val="0"/>
                <w:i w:val="0"/>
                <w:sz w:val="18"/>
              </w:rPr>
              <w:t>Critical evaluation of prior work</w:t>
            </w:r>
          </w:p>
        </w:tc>
        <w:tc>
          <w:tcPr>
            <w:tcW w:type="dxa" w:w="2082"/>
          </w:tcPr>
          <w:p>
            <w:pPr>
              <w:spacing w:before="60" w:after="60" w:line="240" w:lineRule="auto"/>
            </w:pPr>
            <w:r/>
            <w:r>
              <w:rPr>
                <w:b/>
                <w:i w:val="0"/>
                <w:sz w:val="18"/>
              </w:rPr>
              <w:t>Achieved</w:t>
            </w:r>
          </w:p>
        </w:tc>
        <w:tc>
          <w:tcPr>
            <w:tcW w:type="dxa" w:w="2313"/>
          </w:tcPr>
          <w:p>
            <w:pPr>
              <w:spacing w:before="60" w:after="60" w:line="240" w:lineRule="auto"/>
            </w:pPr>
            <w:r/>
            <w:r>
              <w:rPr>
                <w:b w:val="0"/>
                <w:i w:val="0"/>
                <w:sz w:val="18"/>
              </w:rPr>
              <w:t>§2.3, 2.4, 2.7</w:t>
            </w:r>
          </w:p>
        </w:tc>
      </w:tr>
      <w:tr>
        <w:tc>
          <w:tcPr>
            <w:tcW w:type="dxa" w:w="860"/>
          </w:tcPr>
          <w:p>
            <w:pPr>
              <w:spacing w:before="60" w:after="60" w:line="240" w:lineRule="auto"/>
            </w:pPr>
            <w:r/>
            <w:r>
              <w:rPr>
                <w:b w:val="0"/>
                <w:i w:val="0"/>
                <w:sz w:val="18"/>
              </w:rPr>
              <w:t>3</w:t>
            </w:r>
          </w:p>
        </w:tc>
        <w:tc>
          <w:tcPr>
            <w:tcW w:type="dxa" w:w="3816"/>
          </w:tcPr>
          <w:p>
            <w:pPr>
              <w:spacing w:before="60" w:after="60" w:line="240" w:lineRule="auto"/>
            </w:pPr>
            <w:r/>
            <w:r>
              <w:rPr>
                <w:b w:val="0"/>
                <w:i w:val="0"/>
                <w:sz w:val="18"/>
              </w:rPr>
              <w:t>RESTful API</w:t>
            </w:r>
          </w:p>
        </w:tc>
        <w:tc>
          <w:tcPr>
            <w:tcW w:type="dxa" w:w="2082"/>
          </w:tcPr>
          <w:p>
            <w:pPr>
              <w:spacing w:before="60" w:after="60" w:line="240" w:lineRule="auto"/>
            </w:pPr>
            <w:r/>
            <w:r>
              <w:rPr>
                <w:b/>
                <w:i w:val="0"/>
                <w:sz w:val="18"/>
              </w:rPr>
              <w:t>Achieved</w:t>
            </w:r>
          </w:p>
        </w:tc>
        <w:tc>
          <w:tcPr>
            <w:tcW w:type="dxa" w:w="2313"/>
          </w:tcPr>
          <w:p>
            <w:pPr>
              <w:spacing w:before="60" w:after="60" w:line="240" w:lineRule="auto"/>
            </w:pPr>
            <w:r/>
            <w:r>
              <w:rPr>
                <w:b w:val="0"/>
                <w:i w:val="0"/>
                <w:sz w:val="18"/>
              </w:rPr>
              <w:t>Appendix A; Figure 5</w:t>
            </w:r>
          </w:p>
        </w:tc>
      </w:tr>
      <w:tr>
        <w:tc>
          <w:tcPr>
            <w:tcW w:type="dxa" w:w="860"/>
          </w:tcPr>
          <w:p>
            <w:pPr>
              <w:spacing w:before="60" w:after="60" w:line="240" w:lineRule="auto"/>
            </w:pPr>
            <w:r/>
            <w:r>
              <w:rPr>
                <w:b w:val="0"/>
                <w:i w:val="0"/>
                <w:sz w:val="18"/>
              </w:rPr>
              <w:t>4</w:t>
            </w:r>
          </w:p>
        </w:tc>
        <w:tc>
          <w:tcPr>
            <w:tcW w:type="dxa" w:w="3816"/>
          </w:tcPr>
          <w:p>
            <w:pPr>
              <w:spacing w:before="60" w:after="60" w:line="240" w:lineRule="auto"/>
            </w:pPr>
            <w:r/>
            <w:r>
              <w:rPr>
                <w:b w:val="0"/>
                <w:i w:val="0"/>
                <w:sz w:val="18"/>
              </w:rPr>
              <w:t>Recommendation engine</w:t>
            </w:r>
          </w:p>
        </w:tc>
        <w:tc>
          <w:tcPr>
            <w:tcW w:type="dxa" w:w="2082"/>
          </w:tcPr>
          <w:p>
            <w:pPr>
              <w:spacing w:before="60" w:after="60" w:line="240" w:lineRule="auto"/>
            </w:pPr>
            <w:r/>
            <w:r>
              <w:rPr>
                <w:b/>
                <w:i w:val="0"/>
                <w:sz w:val="18"/>
              </w:rPr>
              <w:t>Achieved</w:t>
            </w:r>
          </w:p>
        </w:tc>
        <w:tc>
          <w:tcPr>
            <w:tcW w:type="dxa" w:w="2313"/>
          </w:tcPr>
          <w:p>
            <w:pPr>
              <w:spacing w:before="60" w:after="60" w:line="240" w:lineRule="auto"/>
            </w:pPr>
            <w:r/>
            <w:r>
              <w:rPr>
                <w:b w:val="0"/>
                <w:i w:val="0"/>
                <w:sz w:val="18"/>
              </w:rPr>
              <w:t>§3.5, 4.4, 5.5</w:t>
            </w:r>
          </w:p>
        </w:tc>
      </w:tr>
      <w:tr>
        <w:tc>
          <w:tcPr>
            <w:tcW w:type="dxa" w:w="860"/>
          </w:tcPr>
          <w:p>
            <w:pPr>
              <w:spacing w:before="60" w:after="60" w:line="240" w:lineRule="auto"/>
            </w:pPr>
            <w:r/>
            <w:r>
              <w:rPr>
                <w:b w:val="0"/>
                <w:i w:val="0"/>
                <w:sz w:val="18"/>
              </w:rPr>
              <w:t>5</w:t>
            </w:r>
          </w:p>
        </w:tc>
        <w:tc>
          <w:tcPr>
            <w:tcW w:type="dxa" w:w="3816"/>
          </w:tcPr>
          <w:p>
            <w:pPr>
              <w:spacing w:before="60" w:after="60" w:line="240" w:lineRule="auto"/>
            </w:pPr>
            <w:r/>
            <w:r>
              <w:rPr>
                <w:b w:val="0"/>
                <w:i w:val="0"/>
                <w:sz w:val="18"/>
              </w:rPr>
              <w:t>Web front-end</w:t>
            </w:r>
          </w:p>
        </w:tc>
        <w:tc>
          <w:tcPr>
            <w:tcW w:type="dxa" w:w="2082"/>
          </w:tcPr>
          <w:p>
            <w:pPr>
              <w:spacing w:before="60" w:after="60" w:line="240" w:lineRule="auto"/>
            </w:pPr>
            <w:r/>
            <w:r>
              <w:rPr>
                <w:b/>
                <w:i w:val="0"/>
                <w:sz w:val="18"/>
              </w:rPr>
              <w:t>Achieved</w:t>
            </w:r>
          </w:p>
        </w:tc>
        <w:tc>
          <w:tcPr>
            <w:tcW w:type="dxa" w:w="2313"/>
          </w:tcPr>
          <w:p>
            <w:pPr>
              <w:spacing w:before="60" w:after="60" w:line="240" w:lineRule="auto"/>
            </w:pPr>
            <w:r/>
            <w:r>
              <w:rPr>
                <w:b w:val="0"/>
                <w:i w:val="0"/>
                <w:sz w:val="18"/>
              </w:rPr>
              <w:t>§4.9; Figure 4</w:t>
            </w:r>
          </w:p>
        </w:tc>
      </w:tr>
      <w:tr>
        <w:tc>
          <w:tcPr>
            <w:tcW w:type="dxa" w:w="860"/>
          </w:tcPr>
          <w:p>
            <w:pPr>
              <w:spacing w:before="60" w:after="60" w:line="240" w:lineRule="auto"/>
            </w:pPr>
            <w:r/>
            <w:r>
              <w:rPr>
                <w:b w:val="0"/>
                <w:i w:val="0"/>
                <w:sz w:val="18"/>
              </w:rPr>
              <w:t>6</w:t>
            </w:r>
          </w:p>
        </w:tc>
        <w:tc>
          <w:tcPr>
            <w:tcW w:type="dxa" w:w="3816"/>
          </w:tcPr>
          <w:p>
            <w:pPr>
              <w:spacing w:before="60" w:after="60" w:line="240" w:lineRule="auto"/>
            </w:pPr>
            <w:r/>
            <w:r>
              <w:rPr>
                <w:b w:val="0"/>
                <w:i w:val="0"/>
                <w:sz w:val="18"/>
              </w:rPr>
              <w:t>Offline evaluation</w:t>
            </w:r>
          </w:p>
        </w:tc>
        <w:tc>
          <w:tcPr>
            <w:tcW w:type="dxa" w:w="2082"/>
          </w:tcPr>
          <w:p>
            <w:pPr>
              <w:spacing w:before="60" w:after="60" w:line="240" w:lineRule="auto"/>
            </w:pPr>
            <w:r/>
            <w:r>
              <w:rPr>
                <w:b/>
                <w:i w:val="0"/>
                <w:sz w:val="18"/>
              </w:rPr>
              <w:t>Achieved</w:t>
            </w:r>
            <w:r>
              <w:rPr>
                <w:b w:val="0"/>
                <w:i w:val="0"/>
                <w:sz w:val="18"/>
              </w:rPr>
              <w:t>, narrowed</w:t>
            </w:r>
          </w:p>
        </w:tc>
        <w:tc>
          <w:tcPr>
            <w:tcW w:type="dxa" w:w="2313"/>
          </w:tcPr>
          <w:p>
            <w:pPr>
              <w:spacing w:before="60" w:after="60" w:line="240" w:lineRule="auto"/>
            </w:pPr>
            <w:r/>
            <w:r>
              <w:rPr>
                <w:b w:val="0"/>
                <w:i w:val="0"/>
                <w:sz w:val="18"/>
              </w:rPr>
              <w:t>Chapter 5; see below</w:t>
            </w:r>
          </w:p>
        </w:tc>
      </w:tr>
      <w:tr>
        <w:tc>
          <w:tcPr>
            <w:tcW w:type="dxa" w:w="860"/>
          </w:tcPr>
          <w:p>
            <w:pPr>
              <w:spacing w:before="60" w:after="60" w:line="240" w:lineRule="auto"/>
            </w:pPr>
            <w:r/>
            <w:r>
              <w:rPr>
                <w:b w:val="0"/>
                <w:i w:val="0"/>
                <w:sz w:val="18"/>
              </w:rPr>
              <w:t>7</w:t>
            </w:r>
          </w:p>
        </w:tc>
        <w:tc>
          <w:tcPr>
            <w:tcW w:type="dxa" w:w="3816"/>
          </w:tcPr>
          <w:p>
            <w:pPr>
              <w:spacing w:before="60" w:after="60" w:line="240" w:lineRule="auto"/>
            </w:pPr>
            <w:r/>
            <w:r>
              <w:rPr>
                <w:b w:val="0"/>
                <w:i w:val="0"/>
                <w:sz w:val="18"/>
              </w:rPr>
              <w:t>User study (12+)</w:t>
            </w:r>
          </w:p>
        </w:tc>
        <w:tc>
          <w:tcPr>
            <w:tcW w:type="dxa" w:w="2082"/>
          </w:tcPr>
          <w:p>
            <w:pPr>
              <w:spacing w:before="60" w:after="60" w:line="240" w:lineRule="auto"/>
            </w:pPr>
            <w:r/>
            <w:r>
              <w:rPr>
                <w:b/>
                <w:i w:val="0"/>
                <w:sz w:val="18"/>
              </w:rPr>
              <w:t>Not achieved</w:t>
            </w:r>
          </w:p>
        </w:tc>
        <w:tc>
          <w:tcPr>
            <w:tcW w:type="dxa" w:w="2313"/>
          </w:tcPr>
          <w:p>
            <w:pPr>
              <w:spacing w:before="60" w:after="60" w:line="240" w:lineRule="auto"/>
            </w:pPr>
            <w:r/>
            <w:r>
              <w:rPr>
                <w:b w:val="0"/>
                <w:i w:val="0"/>
                <w:sz w:val="18"/>
              </w:rPr>
              <w:t>See below</w:t>
            </w:r>
          </w:p>
        </w:tc>
      </w:tr>
      <w:tr>
        <w:tc>
          <w:tcPr>
            <w:tcW w:type="dxa" w:w="860"/>
          </w:tcPr>
          <w:p>
            <w:pPr>
              <w:spacing w:before="60" w:after="60" w:line="240" w:lineRule="auto"/>
            </w:pPr>
            <w:r/>
            <w:r>
              <w:rPr>
                <w:b w:val="0"/>
                <w:i w:val="0"/>
                <w:sz w:val="18"/>
              </w:rPr>
              <w:t>8</w:t>
            </w:r>
          </w:p>
        </w:tc>
        <w:tc>
          <w:tcPr>
            <w:tcW w:type="dxa" w:w="3816"/>
          </w:tcPr>
          <w:p>
            <w:pPr>
              <w:spacing w:before="60" w:after="60" w:line="240" w:lineRule="auto"/>
            </w:pPr>
            <w:r/>
            <w:r>
              <w:rPr>
                <w:b w:val="0"/>
                <w:i w:val="0"/>
                <w:sz w:val="18"/>
              </w:rPr>
              <w:t>Final report</w:t>
            </w:r>
          </w:p>
        </w:tc>
        <w:tc>
          <w:tcPr>
            <w:tcW w:type="dxa" w:w="2082"/>
          </w:tcPr>
          <w:p>
            <w:pPr>
              <w:spacing w:before="60" w:after="60" w:line="240" w:lineRule="auto"/>
            </w:pPr>
            <w:r/>
            <w:r>
              <w:rPr>
                <w:b/>
                <w:i w:val="0"/>
                <w:sz w:val="18"/>
              </w:rPr>
              <w:t>Achieved</w:t>
            </w:r>
          </w:p>
        </w:tc>
        <w:tc>
          <w:tcPr>
            <w:tcW w:type="dxa" w:w="2313"/>
          </w:tcPr>
          <w:p>
            <w:pPr>
              <w:spacing w:before="60" w:after="60" w:line="240" w:lineRule="auto"/>
            </w:pPr>
            <w:r/>
            <w:r>
              <w:rPr>
                <w:b w:val="0"/>
                <w:i w:val="0"/>
                <w:sz w:val="18"/>
              </w:rPr>
              <w:t>This document</w:t>
            </w:r>
          </w:p>
        </w:tc>
      </w:tr>
    </w:tbl>
    <w:p>
      <w:pPr>
        <w:spacing w:after="0"/>
      </w:pPr>
    </w:p>
    <w:p>
      <w:pPr>
        <w:spacing w:before="80" w:after="280"/>
        <w:jc w:val="center"/>
      </w:pPr>
      <w:r>
        <w:rPr>
          <w:b w:val="0"/>
          <w:i/>
          <w:color w:val="5A524C"/>
          <w:sz w:val="18"/>
        </w:rPr>
        <w:t>Table 6. Final status of the eight objectives set in the preliminary report.</w:t>
      </w:r>
    </w:p>
    <w:p>
      <w:r>
        <w:rPr>
          <w:b/>
          <w:i w:val="0"/>
        </w:rPr>
        <w:t>Why Objective 7 was not achieved.</w:t>
      </w:r>
      <w:r>
        <w:rPr>
          <w:b w:val="0"/>
          <w:i w:val="0"/>
        </w:rPr>
        <w:t xml:space="preserve"> This was a scheduling consequence, not an obstacle I ran into. At the draft submission the engine was the content stage alone, which left Objective 4 as the largest outstanding deliverable: both remaining cascade stages, their ablation, and the harness that measures them. Completing that work absorbed the time the study needed. Running the study earlier would have evaluated an engine that changed substantially afterwards, including the rationale and energy defects of Sections 4.6 and 4.8, which shaped what a participant would have seen. Recruiting twelve participants, running counterbalanced sessions and analysing the results does not compress into the window that remained. The protocol is fully specified and carried into Section 6.5. Only execution is outstanding. I would rather state the cost than minimise it: this project shows its recommendations are </w:t>
      </w:r>
      <w:r>
        <w:rPr>
          <w:b w:val="0"/>
          <w:i/>
        </w:rPr>
        <w:t>predictive</w:t>
      </w:r>
      <w:r>
        <w:rPr>
          <w:b w:val="0"/>
          <w:i w:val="0"/>
        </w:rPr>
        <w:t xml:space="preserve">, not that they are </w:t>
      </w:r>
      <w:r>
        <w:rPr>
          <w:b w:val="0"/>
          <w:i/>
        </w:rPr>
        <w:t>good</w:t>
      </w:r>
      <w:r>
        <w:rPr>
          <w:b w:val="0"/>
          <w:i w:val="0"/>
        </w:rPr>
        <w:t>.</w:t>
      </w:r>
    </w:p>
    <w:p>
      <w:r>
        <w:rPr>
          <w:b/>
          <w:i w:val="0"/>
        </w:rPr>
        <w:t>Objective 6 was achieved but narrowed.</w:t>
      </w:r>
      <w:r>
        <w:rPr>
          <w:b w:val="0"/>
          <w:i w:val="0"/>
        </w:rPr>
        <w:t xml:space="preserve"> I planned an end-to-end comparison of engine configurations. It became a ranking-only measurement under an injected target, once Section 5.4 established that retrieval never reaches the held-out track.</w:t>
      </w:r>
    </w:p>
    <w:p>
      <w:pPr>
        <w:pStyle w:val="Heading2"/>
      </w:pPr>
      <w:r>
        <w:t>6.2 The most substantial findings</w:t>
      </w:r>
    </w:p>
    <w:p>
      <w:r>
        <w:rPr>
          <w:b/>
          <w:i w:val="0"/>
        </w:rPr>
        <w:t>Retrieval, not ranking, is the binding constraint.</w:t>
      </w:r>
      <w:r>
        <w:rPr>
          <w:b w:val="0"/>
          <w:i w:val="0"/>
        </w:rPr>
        <w:t xml:space="preserve"> This is the most consequential finding, and a negative one. Across 138 sessions the candidate generator never once contained the track the listener played next, so end-to-end accuracy is zero however well the engine ranks, and both new stages sit above the layer that fails.</w:t>
      </w:r>
    </w:p>
    <w:p>
      <w:r>
        <w:rPr>
          <w:b/>
          <w:i w:val="0"/>
        </w:rPr>
        <w:t>Collaborative evidence and collaborative surveillance are separable.</w:t>
      </w:r>
      <w:r>
        <w:rPr>
          <w:b w:val="0"/>
          <w:i w:val="0"/>
        </w:rPr>
        <w:t xml:space="preserve"> My central bet was that the useful half of collaborative filtering, audiences overlapping where metadata does not, could be had without storing anything about a user. ListenBrainz's population-level artist similarity makes that concrete. NextTrack sends one artist identifier and receives a ranked list, transmitting nothing about a user, session or history. This is the clearest positive result, and it generalises: where a provider aggregates on its own side, a consumer can borrow behavioural evidence without becoming a data controller.</w:t>
      </w:r>
    </w:p>
    <w:p>
      <w:r>
        <w:rPr>
          <w:b/>
          <w:i w:val="0"/>
        </w:rPr>
        <w:t>Statelessness does not imply reproducibility.</w:t>
      </w:r>
      <w:r>
        <w:rPr>
          <w:b w:val="0"/>
          <w:i w:val="0"/>
        </w:rPr>
        <w:t xml:space="preserve"> Two consecutive </w:t>
      </w:r>
      <w:r>
        <w:rPr>
          <w:rFonts w:ascii="Consolas" w:hAnsi="Consolas"/>
          <w:b w:val="0"/>
          <w:i w:val="0"/>
          <w:sz w:val="20"/>
        </w:rPr>
        <w:t>grunge</w:t>
      </w:r>
      <w:r>
        <w:rPr>
          <w:b w:val="0"/>
          <w:i w:val="0"/>
        </w:rPr>
        <w:t xml:space="preserve"> tag searches shared none of their fifty results, so identical requests drifted until I cached the pools (Section 4.7). Every test missed it: tests mock the upstream that misbehaves. A stateless service inherits its upstreams' non-determinism.</w:t>
      </w:r>
    </w:p>
    <w:p>
      <w:r>
        <w:rPr>
          <w:b/>
          <w:i w:val="0"/>
        </w:rPr>
        <w:t>Free infrastructure is a risk, and static analysis outperformed testing.</w:t>
      </w:r>
      <w:r>
        <w:rPr>
          <w:b w:val="0"/>
          <w:i w:val="0"/>
        </w:rPr>
        <w:t xml:space="preserve"> Three upstream constraints reshaped the system without appearing in any code review, and the two defects that most damaged output quality were caught by </w:t>
      </w:r>
      <w:r>
        <w:rPr>
          <w:rFonts w:ascii="Consolas" w:hAnsi="Consolas"/>
          <w:b w:val="0"/>
          <w:i w:val="0"/>
          <w:sz w:val="20"/>
        </w:rPr>
        <w:t>mypy</w:t>
      </w:r>
      <w:r>
        <w:rPr>
          <w:b w:val="0"/>
          <w:i w:val="0"/>
        </w:rPr>
        <w:t xml:space="preserve"> and by reading a live screen, not by 37 passing tests.</w:t>
      </w:r>
    </w:p>
    <w:p>
      <w:pPr>
        <w:pStyle w:val="Heading2"/>
      </w:pPr>
      <w:r>
        <w:t>6.3 Limitations</w:t>
      </w:r>
    </w:p>
    <w:p>
      <w:r>
        <w:rPr>
          <w:b w:val="0"/>
          <w:i w:val="0"/>
        </w:rPr>
        <w:t>Five limitations bound what this report claims. The user study's absence dominates: NextTrack is shown to be predictive, not enjoyable. Retrieval sets the ceiling, so ranking improvements have a bounded payoff. Latency is a real usability limit, a median 29 s for a new history (Section 5.6), and caching cannot fix it, because the cache is empty precisely when a new listener arrives. The corpus is modest and skewed toward active ListenBrainz users. Determinism holds only for the candidate cache's lifetime. And the acoustic block carries far less signal than I assumed.</w:t>
      </w:r>
    </w:p>
    <w:p>
      <w:pPr>
        <w:pStyle w:val="Heading2"/>
      </w:pPr>
      <w:r>
        <w:t>6.4 Lessons learned</w:t>
      </w:r>
    </w:p>
    <w:p>
      <w:r>
        <w:rPr>
          <w:b w:val="0"/>
          <w:i w:val="0"/>
        </w:rPr>
        <w:t xml:space="preserve">The most transferable lesson concerns where defects hide. The problems that mattered were not in the recommendation mathematics, which was standard and correct. They were at the seams: an unstable upstream, a plausible-but-wrong proxy variable, an unenforced testing convention, a tuple unpacked one level too shallow. Each survived because something adjacent was true. Genre selection </w:t>
      </w:r>
      <w:r>
        <w:rPr>
          <w:b w:val="0"/>
          <w:i/>
        </w:rPr>
        <w:t>was</w:t>
      </w:r>
      <w:r>
        <w:rPr>
          <w:b w:val="0"/>
          <w:i w:val="0"/>
        </w:rPr>
        <w:t xml:space="preserve"> deterministic. The danceability field name </w:t>
      </w:r>
      <w:r>
        <w:rPr>
          <w:b w:val="0"/>
          <w:i/>
        </w:rPr>
        <w:t>was</w:t>
      </w:r>
      <w:r>
        <w:rPr>
          <w:b w:val="0"/>
          <w:i w:val="0"/>
        </w:rPr>
        <w:t xml:space="preserve"> correct. The tests </w:t>
      </w:r>
      <w:r>
        <w:rPr>
          <w:b w:val="0"/>
          <w:i/>
        </w:rPr>
        <w:t>were</w:t>
      </w:r>
      <w:r>
        <w:rPr>
          <w:b w:val="0"/>
          <w:i w:val="0"/>
        </w:rPr>
        <w:t xml:space="preserve"> passing. Re-checking what I already believed found none of these. Static typing, adversarial property assertions and reading the running output found all of them.</w:t>
      </w:r>
    </w:p>
    <w:p>
      <w:r>
        <w:rPr>
          <w:b w:val="0"/>
          <w:i w:val="0"/>
        </w:rPr>
        <w:t>The second lesson is that honest evaluation design is harder than evaluation execution. The tempting dataset, sequences from my own seed pool, would have produced better numbers and meant nothing.</w:t>
      </w:r>
    </w:p>
    <w:p>
      <w:pPr>
        <w:pStyle w:val="Heading2"/>
      </w:pPr>
      <w:r>
        <w:t>6.5 Future work</w:t>
      </w:r>
    </w:p>
    <w:p>
      <w:r>
        <w:rPr>
          <w:b w:val="0"/>
          <w:i w:val="0"/>
        </w:rPr>
        <w:t xml:space="preserve">In priority order. </w:t>
      </w:r>
      <w:r>
        <w:rPr>
          <w:b/>
          <w:i w:val="0"/>
        </w:rPr>
        <w:t>The user study</w:t>
      </w:r>
      <w:r>
        <w:rPr>
          <w:b w:val="0"/>
          <w:i w:val="0"/>
        </w:rPr>
        <w:t xml:space="preserve"> comes first, and its protocol is already complete: twelve or more participants against a popularity baseline, System Usability Scale (Brooke, 1996), acceptance rate, Wilcoxon signed-rank test (Wilcoxon, 1945) and thematic analysis (Braun and Clarke, 2006). Only execution is left. Then </w:t>
      </w:r>
      <w:r>
        <w:rPr>
          <w:b/>
          <w:i w:val="0"/>
        </w:rPr>
        <w:t>candidate retrieval</w:t>
      </w:r>
      <w:r>
        <w:rPr>
          <w:b w:val="0"/>
          <w:i w:val="0"/>
        </w:rPr>
        <w:t xml:space="preserve">, where Section 5.4 locates the ceiling: searching more than three genres, or using ListenBrainz similarity to </w:t>
      </w:r>
      <w:r>
        <w:rPr>
          <w:b w:val="0"/>
          <w:i/>
        </w:rPr>
        <w:t>generate</w:t>
      </w:r>
      <w:r>
        <w:rPr>
          <w:b w:val="0"/>
          <w:i w:val="0"/>
        </w:rPr>
        <w:t xml:space="preserve"> candidates instead of only re-ranking them. After that, </w:t>
      </w:r>
      <w:r>
        <w:rPr>
          <w:b/>
          <w:i w:val="0"/>
        </w:rPr>
        <w:t>a better acoustic source</w:t>
      </w:r>
      <w:r>
        <w:rPr>
          <w:b w:val="0"/>
          <w:i w:val="0"/>
        </w:rPr>
        <w:t xml:space="preserve"> via ESSENTIA (Bogdanov et al., 2013); </w:t>
      </w:r>
      <w:r>
        <w:rPr>
          <w:b/>
          <w:i w:val="0"/>
        </w:rPr>
        <w:t>an unsampled ablation</w:t>
      </w:r>
      <w:r>
        <w:rPr>
          <w:b w:val="0"/>
          <w:i w:val="0"/>
        </w:rPr>
        <w:t xml:space="preserve">, per Krichene and Rendle (2020); </w:t>
      </w:r>
      <w:r>
        <w:rPr>
          <w:b/>
          <w:i w:val="0"/>
        </w:rPr>
        <w:t>cascade-weight tuning</w:t>
      </w:r>
      <w:r>
        <w:rPr>
          <w:b w:val="0"/>
          <w:i w:val="0"/>
        </w:rPr>
        <w:t xml:space="preserve">; and </w:t>
      </w:r>
      <w:r>
        <w:rPr>
          <w:b/>
          <w:i w:val="0"/>
        </w:rPr>
        <w:t>distributed caching</w:t>
      </w:r>
      <w:r>
        <w:rPr>
          <w:b w:val="0"/>
          <w:i w:val="0"/>
        </w:rPr>
        <w:t xml:space="preserve"> that extends reproducibility without a per-user store.</w:t>
      </w:r>
    </w:p>
    <w:p>
      <w:pPr>
        <w:pStyle w:val="Heading2"/>
      </w:pPr>
      <w:r>
        <w:t>6.6 Closing assessment</w:t>
      </w:r>
    </w:p>
    <w:p>
      <w:r>
        <w:rPr>
          <w:b w:val="0"/>
          <w:i w:val="0"/>
        </w:rPr>
        <w:t xml:space="preserve">The premise survives contact with evidence, but its scope narrowed twice. A recommender storing nothing about its users can produce explained, reproducible, genre-coherent recommendations, and it can borrow population-level collaborative evidence without compromising that position. It ranks a real listener's next track far above the obvious baselines. The first narrowing: only once that track is in the candidate set, and its own retrieval never gets it there. The second: whether those recommendations are </w:t>
      </w:r>
      <w:r>
        <w:rPr>
          <w:b w:val="0"/>
          <w:i/>
        </w:rPr>
        <w:t>good</w:t>
      </w:r>
      <w:r>
        <w:rPr>
          <w:b w:val="0"/>
          <w:i w:val="0"/>
        </w:rPr>
        <w:t xml:space="preserve"> rather than merely predictive still needs listeners to say. Both are the work that remains.</w:t>
      </w:r>
    </w:p>
    <w:p>
      <w:r>
        <w:br w:type="page"/>
      </w:r>
    </w:p>
    <w:p>
      <w:pPr>
        <w:pStyle w:val="Heading1"/>
        <w:pBdr>
          <w:bottom w:val="single" w:sz="6" w:space="4" w:color="C9BFB4"/>
        </w:pBdr>
      </w:pPr>
      <w:r>
        <w:t>References</w:t>
      </w:r>
    </w:p>
    <w:p>
      <w:pPr>
        <w:spacing w:after="140"/>
        <w:ind w:left="454" w:hanging="454"/>
      </w:pPr>
      <w:r>
        <w:rPr>
          <w:b w:val="0"/>
          <w:i w:val="0"/>
        </w:rPr>
        <w:t xml:space="preserve">Afchar, D., Melchiorre, A. B., Schedl, M., Hennequin, R., Epure, E. V., &amp; Moussallam, M. (2022). Explainability in music recommender systems. </w:t>
      </w:r>
      <w:r>
        <w:rPr>
          <w:b w:val="0"/>
          <w:i/>
        </w:rPr>
        <w:t>AI Magazine</w:t>
      </w:r>
      <w:r>
        <w:rPr>
          <w:b w:val="0"/>
          <w:i w:val="0"/>
        </w:rPr>
        <w:t>, 43(2), 190–208.</w:t>
      </w:r>
    </w:p>
    <w:p>
      <w:pPr>
        <w:spacing w:after="140"/>
        <w:ind w:left="454" w:hanging="454"/>
      </w:pPr>
      <w:r>
        <w:rPr>
          <w:b w:val="0"/>
          <w:i w:val="0"/>
        </w:rPr>
        <w:t xml:space="preserve">Bauer, C., Zangerle, E., &amp; Said, A. (2024). Recommender systems evaluation practices and perspectives. </w:t>
      </w:r>
      <w:r>
        <w:rPr>
          <w:b w:val="0"/>
          <w:i/>
        </w:rPr>
        <w:t>Frontiers in Big Data</w:t>
      </w:r>
      <w:r>
        <w:rPr>
          <w:b w:val="0"/>
          <w:i w:val="0"/>
        </w:rPr>
        <w:t>, 7, Article 1249415.</w:t>
      </w:r>
    </w:p>
    <w:p>
      <w:pPr>
        <w:spacing w:after="140"/>
        <w:ind w:left="454" w:hanging="454"/>
      </w:pPr>
      <w:r>
        <w:rPr>
          <w:b w:val="0"/>
          <w:i w:val="0"/>
        </w:rPr>
        <w:t xml:space="preserve">Bogdanov, D., Wack, N., Gómez, E., Gulati, S., Herrera, P., Mayor, O., Roma, G., Salamon, J., Serrà, J., &amp; Serra, X. (2013). ESSENTIA: An audio analysis library for music information retrieval. In </w:t>
      </w:r>
      <w:r>
        <w:rPr>
          <w:b w:val="0"/>
          <w:i/>
        </w:rPr>
        <w:t>Proceedings of the 14th International Society for Music Information Retrieval Conference (ISMIR 2013)</w:t>
      </w:r>
      <w:r>
        <w:rPr>
          <w:b w:val="0"/>
          <w:i w:val="0"/>
        </w:rPr>
        <w:t xml:space="preserve"> (pp. 493–498).</w:t>
      </w:r>
    </w:p>
    <w:p>
      <w:pPr>
        <w:spacing w:after="140"/>
        <w:ind w:left="454" w:hanging="454"/>
      </w:pPr>
      <w:r>
        <w:rPr>
          <w:b w:val="0"/>
          <w:i w:val="0"/>
        </w:rPr>
        <w:t xml:space="preserve">Bonnin, G., &amp; Jannach, D. (2014). Automated generation of music playlists: Survey and experiments. </w:t>
      </w:r>
      <w:r>
        <w:rPr>
          <w:b w:val="0"/>
          <w:i/>
        </w:rPr>
        <w:t>ACM Computing Surveys</w:t>
      </w:r>
      <w:r>
        <w:rPr>
          <w:b w:val="0"/>
          <w:i w:val="0"/>
        </w:rPr>
        <w:t>, 47(2), Article 26.</w:t>
      </w:r>
    </w:p>
    <w:p>
      <w:pPr>
        <w:spacing w:after="140"/>
        <w:ind w:left="454" w:hanging="454"/>
      </w:pPr>
      <w:r>
        <w:rPr>
          <w:b w:val="0"/>
          <w:i w:val="0"/>
        </w:rPr>
        <w:t xml:space="preserve">Braun, V., &amp; Clarke, V. (2006). Using thematic analysis in psychology. </w:t>
      </w:r>
      <w:r>
        <w:rPr>
          <w:b w:val="0"/>
          <w:i/>
        </w:rPr>
        <w:t>Qualitative Research in Psychology</w:t>
      </w:r>
      <w:r>
        <w:rPr>
          <w:b w:val="0"/>
          <w:i w:val="0"/>
        </w:rPr>
        <w:t>, 3(2), 77–101.</w:t>
      </w:r>
    </w:p>
    <w:p>
      <w:pPr>
        <w:spacing w:after="140"/>
        <w:ind w:left="454" w:hanging="454"/>
      </w:pPr>
      <w:r>
        <w:rPr>
          <w:b w:val="0"/>
          <w:i w:val="0"/>
        </w:rPr>
        <w:t xml:space="preserve">Brooke, J. (1996). SUS: A quick and dirty usability scale. In P. W. Jordan, B. Thomas, B. A. Weerdmeester, &amp; I. L. McClelland (Eds.), </w:t>
      </w:r>
      <w:r>
        <w:rPr>
          <w:b w:val="0"/>
          <w:i/>
        </w:rPr>
        <w:t>Usability evaluation in industry</w:t>
      </w:r>
      <w:r>
        <w:rPr>
          <w:b w:val="0"/>
          <w:i w:val="0"/>
        </w:rPr>
        <w:t xml:space="preserve"> (pp. 189–194). Taylor &amp; Francis.</w:t>
      </w:r>
    </w:p>
    <w:p>
      <w:pPr>
        <w:spacing w:after="140"/>
        <w:ind w:left="454" w:hanging="454"/>
      </w:pPr>
      <w:r>
        <w:rPr>
          <w:b w:val="0"/>
          <w:i w:val="0"/>
        </w:rPr>
        <w:t xml:space="preserve">Burke, R. (2002). Hybrid recommender systems: Survey and experiments. </w:t>
      </w:r>
      <w:r>
        <w:rPr>
          <w:b w:val="0"/>
          <w:i/>
        </w:rPr>
        <w:t>User Modeling and User-Adapted Interaction</w:t>
      </w:r>
      <w:r>
        <w:rPr>
          <w:b w:val="0"/>
          <w:i w:val="0"/>
        </w:rPr>
        <w:t>, 12(4), 331–370.</w:t>
      </w:r>
    </w:p>
    <w:p>
      <w:pPr>
        <w:spacing w:after="140"/>
        <w:ind w:left="454" w:hanging="454"/>
      </w:pPr>
      <w:r>
        <w:rPr>
          <w:b w:val="0"/>
          <w:i w:val="0"/>
        </w:rPr>
        <w:t xml:space="preserve">Çano, E., &amp; Morisio, M. (2017). Hybrid recommender systems: A systematic literature review. </w:t>
      </w:r>
      <w:r>
        <w:rPr>
          <w:b w:val="0"/>
          <w:i/>
        </w:rPr>
        <w:t>Intelligent Data Analysis</w:t>
      </w:r>
      <w:r>
        <w:rPr>
          <w:b w:val="0"/>
          <w:i w:val="0"/>
        </w:rPr>
        <w:t>, 21(6), 1487–1524.</w:t>
      </w:r>
    </w:p>
    <w:p>
      <w:pPr>
        <w:spacing w:after="140"/>
        <w:ind w:left="454" w:hanging="454"/>
      </w:pPr>
      <w:r>
        <w:rPr>
          <w:b w:val="0"/>
          <w:i w:val="0"/>
        </w:rPr>
        <w:t xml:space="preserve">Carbonell, J., &amp; Goldstein, J. (1998). The use of MMR, diversity-based reranking for reordering documents and producing summaries. In </w:t>
      </w:r>
      <w:r>
        <w:rPr>
          <w:b w:val="0"/>
          <w:i/>
        </w:rPr>
        <w:t>Proceedings of the 21st Annual International ACM SIGIR Conference on Research and Development in Information Retrieval</w:t>
      </w:r>
      <w:r>
        <w:rPr>
          <w:b w:val="0"/>
          <w:i w:val="0"/>
        </w:rPr>
        <w:t xml:space="preserve"> (pp. 335–336).</w:t>
      </w:r>
    </w:p>
    <w:p>
      <w:pPr>
        <w:spacing w:after="140"/>
        <w:ind w:left="454" w:hanging="454"/>
      </w:pPr>
      <w:r>
        <w:rPr>
          <w:b w:val="0"/>
          <w:i w:val="0"/>
        </w:rPr>
        <w:t xml:space="preserve">Cavoukian, A. (2009). </w:t>
      </w:r>
      <w:r>
        <w:rPr>
          <w:b w:val="0"/>
          <w:i/>
        </w:rPr>
        <w:t>Privacy by design: The 7 foundational principles</w:t>
      </w:r>
      <w:r>
        <w:rPr>
          <w:b w:val="0"/>
          <w:i w:val="0"/>
        </w:rPr>
        <w:t>. Information and Privacy Commissioner of Ontario.</w:t>
      </w:r>
    </w:p>
    <w:p>
      <w:pPr>
        <w:spacing w:after="140"/>
        <w:ind w:left="454" w:hanging="454"/>
      </w:pPr>
      <w:r>
        <w:rPr>
          <w:b w:val="0"/>
          <w:i w:val="0"/>
        </w:rPr>
        <w:t xml:space="preserve">Chen, C.-W., Lamere, P., Schedl, M., &amp; Zamani, H. (2018). RecSys Challenge 2018: Automatic music playlist continuation. In </w:t>
      </w:r>
      <w:r>
        <w:rPr>
          <w:b w:val="0"/>
          <w:i/>
        </w:rPr>
        <w:t>Proceedings of the 12th ACM Conference on Recommender Systems (RecSys 2018)</w:t>
      </w:r>
      <w:r>
        <w:rPr>
          <w:b w:val="0"/>
          <w:i w:val="0"/>
        </w:rPr>
        <w:t xml:space="preserve"> (pp. 527–528).</w:t>
      </w:r>
    </w:p>
    <w:p>
      <w:pPr>
        <w:spacing w:after="140"/>
        <w:ind w:left="454" w:hanging="454"/>
      </w:pPr>
      <w:r>
        <w:rPr>
          <w:b w:val="0"/>
          <w:i w:val="0"/>
        </w:rPr>
        <w:t xml:space="preserve">Celma, Ò., &amp; Herrera, P. (2008). A new approach to evaluating novel recommendations. In </w:t>
      </w:r>
      <w:r>
        <w:rPr>
          <w:b w:val="0"/>
          <w:i/>
        </w:rPr>
        <w:t>Proceedings of the 2nd ACM Conference on Recommender Systems (RecSys 2008)</w:t>
      </w:r>
      <w:r>
        <w:rPr>
          <w:b w:val="0"/>
          <w:i w:val="0"/>
        </w:rPr>
        <w:t xml:space="preserve"> (pp. 179–186).</w:t>
      </w:r>
    </w:p>
    <w:p>
      <w:pPr>
        <w:spacing w:after="140"/>
        <w:ind w:left="454" w:hanging="454"/>
      </w:pPr>
      <w:r>
        <w:rPr>
          <w:b w:val="0"/>
          <w:i w:val="0"/>
        </w:rPr>
        <w:t xml:space="preserve">Deldjoo, Y., Schedl, M., &amp; Knees, P. (2024). Content-driven music recommendation: Evolution, state of the art, and challenges. </w:t>
      </w:r>
      <w:r>
        <w:rPr>
          <w:b w:val="0"/>
          <w:i/>
        </w:rPr>
        <w:t>Computer Science Review</w:t>
      </w:r>
      <w:r>
        <w:rPr>
          <w:b w:val="0"/>
          <w:i w:val="0"/>
        </w:rPr>
        <w:t>, 51, Article 100618.</w:t>
      </w:r>
    </w:p>
    <w:p>
      <w:pPr>
        <w:spacing w:after="140"/>
        <w:ind w:left="454" w:hanging="454"/>
      </w:pPr>
      <w:r>
        <w:rPr>
          <w:b w:val="0"/>
          <w:i w:val="0"/>
        </w:rPr>
        <w:t xml:space="preserve">Eriksson, M., Fleischer, R., Johansson, A., Snickars, P., &amp; Vonderau, P. (2019). </w:t>
      </w:r>
      <w:r>
        <w:rPr>
          <w:b w:val="0"/>
          <w:i/>
        </w:rPr>
        <w:t>Spotify teardown: Inside the black box of streaming music</w:t>
      </w:r>
      <w:r>
        <w:rPr>
          <w:b w:val="0"/>
          <w:i w:val="0"/>
        </w:rPr>
        <w:t>. MIT Press.</w:t>
      </w:r>
    </w:p>
    <w:p>
      <w:pPr>
        <w:spacing w:after="140"/>
        <w:ind w:left="454" w:hanging="454"/>
      </w:pPr>
      <w:r>
        <w:rPr>
          <w:b w:val="0"/>
          <w:i w:val="0"/>
        </w:rPr>
        <w:t xml:space="preserve">European Parliament and Council of the European Union. (2016). Regulation (EU) 2016/679, General Data Protection Regulation. </w:t>
      </w:r>
      <w:r>
        <w:rPr>
          <w:b w:val="0"/>
          <w:i/>
        </w:rPr>
        <w:t>Official Journal of the European Union</w:t>
      </w:r>
      <w:r>
        <w:rPr>
          <w:b w:val="0"/>
          <w:i w:val="0"/>
        </w:rPr>
        <w:t>, L119, 1–88.</w:t>
      </w:r>
    </w:p>
    <w:p>
      <w:pPr>
        <w:spacing w:after="140"/>
        <w:ind w:left="454" w:hanging="454"/>
      </w:pPr>
      <w:r>
        <w:rPr>
          <w:b w:val="0"/>
          <w:i w:val="0"/>
        </w:rPr>
        <w:t xml:space="preserve">Fielding, R. T. (2000). </w:t>
      </w:r>
      <w:r>
        <w:rPr>
          <w:b w:val="0"/>
          <w:i/>
        </w:rPr>
        <w:t>Architectural styles and the design of network-based software architectures</w:t>
      </w:r>
      <w:r>
        <w:rPr>
          <w:b w:val="0"/>
          <w:i w:val="0"/>
        </w:rPr>
        <w:t xml:space="preserve"> [Doctoral dissertation, University of California, Irvine].</w:t>
      </w:r>
    </w:p>
    <w:p>
      <w:pPr>
        <w:spacing w:after="140"/>
        <w:ind w:left="454" w:hanging="454"/>
      </w:pPr>
      <w:r>
        <w:rPr>
          <w:b w:val="0"/>
          <w:i w:val="0"/>
        </w:rPr>
        <w:t xml:space="preserve">Haro Peralta, J. (2023). </w:t>
      </w:r>
      <w:r>
        <w:rPr>
          <w:b w:val="0"/>
          <w:i/>
        </w:rPr>
        <w:t>Microservice APIs: Using Python, Flask, FastAPI, OpenAPI and more</w:t>
      </w:r>
      <w:r>
        <w:rPr>
          <w:b w:val="0"/>
          <w:i w:val="0"/>
        </w:rPr>
        <w:t>. Manning Publications.</w:t>
      </w:r>
    </w:p>
    <w:p>
      <w:pPr>
        <w:spacing w:after="140"/>
        <w:ind w:left="454" w:hanging="454"/>
      </w:pPr>
      <w:r>
        <w:rPr>
          <w:b w:val="0"/>
          <w:i w:val="0"/>
        </w:rPr>
        <w:t xml:space="preserve">Hidasi, B., Karatzoglou, A., Baltrunas, L., &amp; Tikk, D. (2016). Session-based recommendations with recurrent neural networks. In </w:t>
      </w:r>
      <w:r>
        <w:rPr>
          <w:b w:val="0"/>
          <w:i/>
        </w:rPr>
        <w:t>Proceedings of the 4th International Conference on Learning Representations (ICLR 2016)</w:t>
      </w:r>
      <w:r>
        <w:rPr>
          <w:b w:val="0"/>
          <w:i w:val="0"/>
        </w:rPr>
        <w:t>.</w:t>
      </w:r>
    </w:p>
    <w:p>
      <w:pPr>
        <w:spacing w:after="140"/>
        <w:ind w:left="454" w:hanging="454"/>
      </w:pPr>
      <w:r>
        <w:rPr>
          <w:b w:val="0"/>
          <w:i w:val="0"/>
        </w:rPr>
        <w:t xml:space="preserve">IFPI. (2023). </w:t>
      </w:r>
      <w:r>
        <w:rPr>
          <w:b w:val="0"/>
          <w:i/>
        </w:rPr>
        <w:t>Global music report 2023</w:t>
      </w:r>
      <w:r>
        <w:rPr>
          <w:b w:val="0"/>
          <w:i w:val="0"/>
        </w:rPr>
        <w:t>. International Federation of the Phonographic Industry.</w:t>
      </w:r>
    </w:p>
    <w:p>
      <w:pPr>
        <w:spacing w:after="140"/>
        <w:ind w:left="454" w:hanging="454"/>
      </w:pPr>
      <w:r>
        <w:rPr>
          <w:b w:val="0"/>
          <w:i w:val="0"/>
        </w:rPr>
        <w:t xml:space="preserve">Kaminskas, M., &amp; Bridge, D. (2016). Diversity, serendipity, novelty, and coverage: A survey and empirical analysis of beyond-accuracy objectives in recommender systems. </w:t>
      </w:r>
      <w:r>
        <w:rPr>
          <w:b w:val="0"/>
          <w:i/>
        </w:rPr>
        <w:t>ACM Transactions on Interactive Intelligent Systems</w:t>
      </w:r>
      <w:r>
        <w:rPr>
          <w:b w:val="0"/>
          <w:i w:val="0"/>
        </w:rPr>
        <w:t>, 7(1), Article 2.</w:t>
      </w:r>
    </w:p>
    <w:p>
      <w:pPr>
        <w:spacing w:after="140"/>
        <w:ind w:left="454" w:hanging="454"/>
      </w:pPr>
      <w:r>
        <w:rPr>
          <w:b w:val="0"/>
          <w:i w:val="0"/>
        </w:rPr>
        <w:t xml:space="preserve">Kang, W. C., &amp; McAuley, J. (2018). Self-attentive sequential recommendation. In </w:t>
      </w:r>
      <w:r>
        <w:rPr>
          <w:b w:val="0"/>
          <w:i/>
        </w:rPr>
        <w:t>Proceedings of the IEEE International Conference on Data Mining (ICDM 2018)</w:t>
      </w:r>
      <w:r>
        <w:rPr>
          <w:b w:val="0"/>
          <w:i w:val="0"/>
        </w:rPr>
        <w:t xml:space="preserve"> (pp. 197–206).</w:t>
      </w:r>
    </w:p>
    <w:p>
      <w:pPr>
        <w:spacing w:after="140"/>
        <w:ind w:left="454" w:hanging="454"/>
      </w:pPr>
      <w:r>
        <w:rPr>
          <w:b w:val="0"/>
          <w:i w:val="0"/>
        </w:rPr>
        <w:t xml:space="preserve">Koren, Y., Bell, R., &amp; Volinsky, C. (2009). Matrix factorization techniques for recommender systems. </w:t>
      </w:r>
      <w:r>
        <w:rPr>
          <w:b w:val="0"/>
          <w:i/>
        </w:rPr>
        <w:t>IEEE Computer</w:t>
      </w:r>
      <w:r>
        <w:rPr>
          <w:b w:val="0"/>
          <w:i w:val="0"/>
        </w:rPr>
        <w:t>, 42(8), 30–37.</w:t>
      </w:r>
    </w:p>
    <w:p>
      <w:pPr>
        <w:spacing w:after="140"/>
        <w:ind w:left="454" w:hanging="454"/>
      </w:pPr>
      <w:r>
        <w:rPr>
          <w:b w:val="0"/>
          <w:i w:val="0"/>
        </w:rPr>
        <w:t xml:space="preserve">Krichene, W., &amp; Rendle, S. (2020). On sampled metrics for item recommendation. In </w:t>
      </w:r>
      <w:r>
        <w:rPr>
          <w:b w:val="0"/>
          <w:i/>
        </w:rPr>
        <w:t>Proceedings of the 26th ACM SIGKDD International Conference on Knowledge Discovery &amp; Data Mining (KDD 2020)</w:t>
      </w:r>
      <w:r>
        <w:rPr>
          <w:b w:val="0"/>
          <w:i w:val="0"/>
        </w:rPr>
        <w:t xml:space="preserve"> (pp. 1748–1757).</w:t>
      </w:r>
    </w:p>
    <w:p>
      <w:pPr>
        <w:spacing w:after="140"/>
        <w:ind w:left="454" w:hanging="454"/>
      </w:pPr>
      <w:r>
        <w:rPr>
          <w:b w:val="0"/>
          <w:i w:val="0"/>
        </w:rPr>
        <w:t xml:space="preserve">Lamere, P., &amp; Celma, Ò. (2007). Music recommendation and discovery in the long tail. In </w:t>
      </w:r>
      <w:r>
        <w:rPr>
          <w:b w:val="0"/>
          <w:i/>
        </w:rPr>
        <w:t>Proceedings of the Workshop on Music Recommendation and Discovery at ISMIR 2007</w:t>
      </w:r>
      <w:r>
        <w:rPr>
          <w:b w:val="0"/>
          <w:i w:val="0"/>
        </w:rPr>
        <w:t>.</w:t>
      </w:r>
    </w:p>
    <w:p>
      <w:pPr>
        <w:spacing w:after="140"/>
        <w:ind w:left="454" w:hanging="454"/>
      </w:pPr>
      <w:r>
        <w:rPr>
          <w:b w:val="0"/>
          <w:i w:val="0"/>
        </w:rPr>
        <w:t xml:space="preserve">Li, Y., Liu, K., Satapathy, R., Wang, S., &amp; Cambria, E. (2024). Recent developments in recommender systems: A survey. </w:t>
      </w:r>
      <w:r>
        <w:rPr>
          <w:b w:val="0"/>
          <w:i/>
        </w:rPr>
        <w:t>IEEE Computational Intelligence Magazine</w:t>
      </w:r>
      <w:r>
        <w:rPr>
          <w:b w:val="0"/>
          <w:i w:val="0"/>
        </w:rPr>
        <w:t>, 19(2), 78–95.</w:t>
      </w:r>
    </w:p>
    <w:p>
      <w:pPr>
        <w:spacing w:after="140"/>
        <w:ind w:left="454" w:hanging="454"/>
      </w:pPr>
      <w:r>
        <w:rPr>
          <w:b w:val="0"/>
          <w:i w:val="0"/>
        </w:rPr>
        <w:t xml:space="preserve">Lops, P., de Gemmis, M., &amp; Semeraro, G. (2011). Content-based recommender systems: State of the art and trends. In F. Ricci, L. Rokach, B. Shapira, &amp; P. B. Kantor (Eds.), </w:t>
      </w:r>
      <w:r>
        <w:rPr>
          <w:b w:val="0"/>
          <w:i/>
        </w:rPr>
        <w:t>Recommender systems handbook</w:t>
      </w:r>
      <w:r>
        <w:rPr>
          <w:b w:val="0"/>
          <w:i w:val="0"/>
        </w:rPr>
        <w:t xml:space="preserve"> (pp. 73–105). Springer.</w:t>
      </w:r>
    </w:p>
    <w:p>
      <w:pPr>
        <w:spacing w:after="140"/>
        <w:ind w:left="454" w:hanging="454"/>
      </w:pPr>
      <w:r>
        <w:rPr>
          <w:b w:val="0"/>
          <w:i w:val="0"/>
        </w:rPr>
        <w:t xml:space="preserve">Petrov, A., &amp; Macdonald, C. (2022). A systematic review and replicability study of BERT4Rec for sequential recommendation. In </w:t>
      </w:r>
      <w:r>
        <w:rPr>
          <w:b w:val="0"/>
          <w:i/>
        </w:rPr>
        <w:t>Proceedings of the 16th ACM Conference on Recommender Systems (RecSys 2022)</w:t>
      </w:r>
      <w:r>
        <w:rPr>
          <w:b w:val="0"/>
          <w:i w:val="0"/>
        </w:rPr>
        <w:t xml:space="preserve"> (pp. 436–447).</w:t>
      </w:r>
    </w:p>
    <w:p>
      <w:pPr>
        <w:spacing w:after="140"/>
        <w:ind w:left="454" w:hanging="454"/>
      </w:pPr>
      <w:r>
        <w:rPr>
          <w:b w:val="0"/>
          <w:i w:val="0"/>
        </w:rPr>
        <w:t xml:space="preserve">Roy, D., &amp; Dutta, M. (2022). A systematic review and research perspective on recommender systems. </w:t>
      </w:r>
      <w:r>
        <w:rPr>
          <w:b w:val="0"/>
          <w:i/>
        </w:rPr>
        <w:t>Journal of Big Data</w:t>
      </w:r>
      <w:r>
        <w:rPr>
          <w:b w:val="0"/>
          <w:i w:val="0"/>
        </w:rPr>
        <w:t>, 9(1), Article 59.</w:t>
      </w:r>
    </w:p>
    <w:p>
      <w:pPr>
        <w:spacing w:after="140"/>
        <w:ind w:left="454" w:hanging="454"/>
      </w:pPr>
      <w:r>
        <w:rPr>
          <w:b w:val="0"/>
          <w:i w:val="0"/>
        </w:rPr>
        <w:t xml:space="preserve">Schedl, M., Gómez, E., &amp; Urbano, J. (2014). Music information retrieval: Recent developments and applications. </w:t>
      </w:r>
      <w:r>
        <w:rPr>
          <w:b w:val="0"/>
          <w:i/>
        </w:rPr>
        <w:t>Foundations and Trends in Information Retrieval</w:t>
      </w:r>
      <w:r>
        <w:rPr>
          <w:b w:val="0"/>
          <w:i w:val="0"/>
        </w:rPr>
        <w:t>, 8(2–3), 127–261.</w:t>
      </w:r>
    </w:p>
    <w:p>
      <w:pPr>
        <w:spacing w:after="140"/>
        <w:ind w:left="454" w:hanging="454"/>
      </w:pPr>
      <w:r>
        <w:rPr>
          <w:b w:val="0"/>
          <w:i w:val="0"/>
        </w:rPr>
        <w:t xml:space="preserve">Schedl, M., Zamani, H., Chen, C.-W., Deldjoo, Y., &amp; Elahi, M. (2018). Current challenges and visions in music recommender systems research. </w:t>
      </w:r>
      <w:r>
        <w:rPr>
          <w:b w:val="0"/>
          <w:i/>
        </w:rPr>
        <w:t>International Journal of Multimedia Information Retrieval</w:t>
      </w:r>
      <w:r>
        <w:rPr>
          <w:b w:val="0"/>
          <w:i w:val="0"/>
        </w:rPr>
        <w:t>, 7(2), 95–116.</w:t>
      </w:r>
    </w:p>
    <w:p>
      <w:pPr>
        <w:spacing w:after="140"/>
        <w:ind w:left="454" w:hanging="454"/>
      </w:pPr>
      <w:r>
        <w:rPr>
          <w:b w:val="0"/>
          <w:i w:val="0"/>
        </w:rPr>
        <w:t xml:space="preserve">Schedl, M., Knees, P., McFee, B., &amp; Bogdanov, D. (2021). Music recommendation systems: Techniques, use cases, and challenges. In F. Ricci, L. Rokach, &amp; B. Shapira (Eds.), </w:t>
      </w:r>
      <w:r>
        <w:rPr>
          <w:b w:val="0"/>
          <w:i/>
        </w:rPr>
        <w:t>Recommender systems handbook</w:t>
      </w:r>
      <w:r>
        <w:rPr>
          <w:b w:val="0"/>
          <w:i w:val="0"/>
        </w:rPr>
        <w:t xml:space="preserve"> (3rd ed., pp. 927–971). Springer.</w:t>
      </w:r>
    </w:p>
    <w:p>
      <w:pPr>
        <w:spacing w:after="140"/>
        <w:ind w:left="454" w:hanging="454"/>
      </w:pPr>
      <w:r>
        <w:rPr>
          <w:b w:val="0"/>
          <w:i w:val="0"/>
        </w:rPr>
        <w:t xml:space="preserve">Shani, G., &amp; Gunawardana, A. (2011). Evaluating recommendation systems. In F. Ricci, L. Rokach, B. Shapira, &amp; P. B. Kantor (Eds.), </w:t>
      </w:r>
      <w:r>
        <w:rPr>
          <w:b w:val="0"/>
          <w:i/>
        </w:rPr>
        <w:t>Recommender systems handbook</w:t>
      </w:r>
      <w:r>
        <w:rPr>
          <w:b w:val="0"/>
          <w:i w:val="0"/>
        </w:rPr>
        <w:t xml:space="preserve"> (pp. 257–297). Springer.</w:t>
      </w:r>
    </w:p>
    <w:p>
      <w:pPr>
        <w:spacing w:after="140"/>
        <w:ind w:left="454" w:hanging="454"/>
      </w:pPr>
      <w:r>
        <w:rPr>
          <w:b w:val="0"/>
          <w:i w:val="0"/>
        </w:rPr>
        <w:t xml:space="preserve">Sun, F., Liu, J., Wu, J., Pei, C., Lin, X., Ou, W., &amp; Jiang, P. (2019). BERT4Rec: Sequential recommendation with bidirectional encoder representations from transformer. In </w:t>
      </w:r>
      <w:r>
        <w:rPr>
          <w:b w:val="0"/>
          <w:i/>
        </w:rPr>
        <w:t>Proceedings of the 28th ACM International Conference on Information and Knowledge Management</w:t>
      </w:r>
      <w:r>
        <w:rPr>
          <w:b w:val="0"/>
          <w:i w:val="0"/>
        </w:rPr>
        <w:t xml:space="preserve"> (pp. 1441–1450).</w:t>
      </w:r>
    </w:p>
    <w:p>
      <w:pPr>
        <w:spacing w:after="140"/>
        <w:ind w:left="454" w:hanging="454"/>
      </w:pPr>
      <w:r>
        <w:rPr>
          <w:b w:val="0"/>
          <w:i w:val="0"/>
        </w:rPr>
        <w:t xml:space="preserve">Whitman, B., &amp; Lawrence, S. (2002). Inferring descriptions and similarity for music from community metadata. In </w:t>
      </w:r>
      <w:r>
        <w:rPr>
          <w:b w:val="0"/>
          <w:i/>
        </w:rPr>
        <w:t>Proceedings of the 2002 International Computer Music Conference (ICMC 2002)</w:t>
      </w:r>
      <w:r>
        <w:rPr>
          <w:b w:val="0"/>
          <w:i w:val="0"/>
        </w:rPr>
        <w:t xml:space="preserve"> (pp. 591–598). Göteborg, Sweden.</w:t>
      </w:r>
    </w:p>
    <w:p>
      <w:pPr>
        <w:spacing w:after="140"/>
        <w:ind w:left="454" w:hanging="454"/>
      </w:pPr>
      <w:r>
        <w:rPr>
          <w:b w:val="0"/>
          <w:i w:val="0"/>
        </w:rPr>
        <w:t xml:space="preserve">Wilcoxon, F. (1945). Individual comparisons by ranking methods. </w:t>
      </w:r>
      <w:r>
        <w:rPr>
          <w:b w:val="0"/>
          <w:i/>
        </w:rPr>
        <w:t>Biometrics Bulletin</w:t>
      </w:r>
      <w:r>
        <w:rPr>
          <w:b w:val="0"/>
          <w:i w:val="0"/>
        </w:rPr>
        <w:t>, 1(6), 80–83.</w:t>
      </w:r>
    </w:p>
    <w:p>
      <w:pPr>
        <w:spacing w:after="140"/>
        <w:ind w:left="454" w:hanging="454"/>
      </w:pPr>
      <w:r>
        <w:rPr>
          <w:b w:val="0"/>
          <w:i w:val="0"/>
        </w:rPr>
        <w:t xml:space="preserve">Yuan, W., Yang, C., Nguyen, Q. V. H., Cui, L., He, T., &amp; Yin, H. (2023). Interaction-level membership inference attack against federated recommender systems. In </w:t>
      </w:r>
      <w:r>
        <w:rPr>
          <w:b w:val="0"/>
          <w:i/>
        </w:rPr>
        <w:t>Proceedings of the ACM Web Conference 2023 (WWW 2023)</w:t>
      </w:r>
      <w:r>
        <w:rPr>
          <w:b w:val="0"/>
          <w:i w:val="0"/>
        </w:rPr>
        <w:t xml:space="preserve"> (pp. 1053–1062).</w:t>
      </w:r>
    </w:p>
    <w:p>
      <w:r>
        <w:br w:type="page"/>
      </w:r>
    </w:p>
    <w:p>
      <w:pPr>
        <w:pStyle w:val="Heading1"/>
        <w:pBdr>
          <w:bottom w:val="single" w:sz="6" w:space="4" w:color="C9BFB4"/>
        </w:pBdr>
      </w:pPr>
      <w:r>
        <w:t>Appendix A: API endpoint reference</w:t>
      </w:r>
    </w:p>
    <w:p>
      <w:r>
        <w:rPr>
          <w:b w:val="0"/>
          <w:i w:val="0"/>
        </w:rPr>
        <w:t xml:space="preserve">All endpoints are served under </w:t>
      </w:r>
      <w:r>
        <w:rPr>
          <w:rFonts w:ascii="Consolas" w:hAnsi="Consolas"/>
          <w:b w:val="0"/>
          <w:i w:val="0"/>
          <w:sz w:val="20"/>
        </w:rPr>
        <w:t>/api/v1</w:t>
      </w:r>
      <w:r>
        <w:rPr>
          <w:b w:val="0"/>
          <w:i w:val="0"/>
        </w:rPr>
        <w:t xml:space="preserve"> and documented interactively through FastAPI's generated OpenAPI schema at </w:t>
      </w:r>
      <w:r>
        <w:rPr>
          <w:rFonts w:ascii="Consolas" w:hAnsi="Consolas"/>
          <w:b w:val="0"/>
          <w:i w:val="0"/>
          <w:sz w:val="20"/>
        </w:rPr>
        <w:t>/docs</w:t>
      </w:r>
      <w:r>
        <w:rPr>
          <w:b w:val="0"/>
          <w:i w:val="0"/>
        </w:rPr>
        <w:t xml:space="preserve"> (Figure 5). Verbatim live request/response transcripts for all of them, including four error cases, are in </w:t>
      </w:r>
      <w:r>
        <w:rPr>
          <w:rFonts w:ascii="Consolas" w:hAnsi="Consolas"/>
          <w:b w:val="0"/>
          <w:i w:val="0"/>
          <w:sz w:val="20"/>
        </w:rPr>
        <w:t>docs/final-evidence/api_examples.json</w:t>
      </w:r>
      <w:r>
        <w:rPr>
          <w:b w:val="0"/>
          <w:i w:val="0"/>
        </w:rPr>
        <w:t>.</w:t>
      </w:r>
    </w:p>
    <w:tbl>
      <w:tblPr>
        <w:tblStyle w:val="TableGrid"/>
        <w:tblW w:type="auto" w:w="0"/>
        <w:jc w:val="center"/>
        <w:tblLayout w:type="fixed"/>
        <w:tblLook w:firstColumn="1" w:firstRow="1" w:lastColumn="0" w:lastRow="0" w:noHBand="0" w:noVBand="1" w:val="04A0"/>
        <w:tblLayout w:type="fixed"/>
      </w:tblPr>
      <w:tblGrid>
        <w:gridCol w:w="3024"/>
        <w:gridCol w:w="3024"/>
        <w:gridCol w:w="3024"/>
      </w:tblGrid>
      <w:tr>
        <w:tc>
          <w:tcPr>
            <w:tcW w:type="dxa" w:w="2110"/>
            <w:shd w:val="clear" w:color="auto" w:fill="F3EEE8"/>
          </w:tcPr>
          <w:p>
            <w:pPr>
              <w:spacing w:before="60" w:after="60" w:line="240" w:lineRule="auto"/>
            </w:pPr>
            <w:r/>
            <w:r>
              <w:rPr>
                <w:b/>
                <w:sz w:val="18"/>
              </w:rPr>
              <w:t>Endpoint</w:t>
            </w:r>
          </w:p>
        </w:tc>
        <w:tc>
          <w:tcPr>
            <w:tcW w:type="dxa" w:w="1253"/>
            <w:shd w:val="clear" w:color="auto" w:fill="F3EEE8"/>
          </w:tcPr>
          <w:p>
            <w:pPr>
              <w:spacing w:before="60" w:after="60" w:line="240" w:lineRule="auto"/>
            </w:pPr>
            <w:r/>
            <w:r>
              <w:rPr>
                <w:b/>
                <w:sz w:val="18"/>
              </w:rPr>
              <w:t>Method</w:t>
            </w:r>
          </w:p>
        </w:tc>
        <w:tc>
          <w:tcPr>
            <w:tcW w:type="dxa" w:w="5708"/>
            <w:shd w:val="clear" w:color="auto" w:fill="F3EEE8"/>
          </w:tcPr>
          <w:p>
            <w:pPr>
              <w:spacing w:before="60" w:after="60" w:line="240" w:lineRule="auto"/>
            </w:pPr>
            <w:r/>
            <w:r>
              <w:rPr>
                <w:b/>
                <w:sz w:val="18"/>
              </w:rPr>
              <w:t>Purpose</w:t>
            </w:r>
          </w:p>
        </w:tc>
      </w:tr>
      <w:tr>
        <w:tc>
          <w:tcPr>
            <w:tcW w:type="dxa" w:w="2110"/>
          </w:tcPr>
          <w:p>
            <w:pPr>
              <w:spacing w:before="60" w:after="60" w:line="240" w:lineRule="auto"/>
            </w:pPr>
            <w:r/>
            <w:r>
              <w:rPr>
                <w:rFonts w:ascii="Consolas" w:hAnsi="Consolas"/>
                <w:b w:val="0"/>
                <w:i w:val="0"/>
                <w:sz w:val="17"/>
              </w:rPr>
              <w:t>/api/v1/search</w:t>
            </w:r>
          </w:p>
        </w:tc>
        <w:tc>
          <w:tcPr>
            <w:tcW w:type="dxa" w:w="1253"/>
          </w:tcPr>
          <w:p>
            <w:pPr>
              <w:spacing w:before="60" w:after="60" w:line="240" w:lineRule="auto"/>
            </w:pPr>
            <w:r/>
            <w:r>
              <w:rPr>
                <w:b w:val="0"/>
                <w:i w:val="0"/>
                <w:sz w:val="18"/>
              </w:rPr>
              <w:t>POST</w:t>
            </w:r>
          </w:p>
        </w:tc>
        <w:tc>
          <w:tcPr>
            <w:tcW w:type="dxa" w:w="5708"/>
          </w:tcPr>
          <w:p>
            <w:pPr>
              <w:spacing w:before="60" w:after="60" w:line="240" w:lineRule="auto"/>
            </w:pPr>
            <w:r/>
            <w:r>
              <w:rPr>
                <w:b w:val="0"/>
                <w:i w:val="0"/>
                <w:sz w:val="18"/>
              </w:rPr>
              <w:t>Search YouTube Music for playable, official songs</w:t>
            </w:r>
          </w:p>
        </w:tc>
      </w:tr>
      <w:tr>
        <w:tc>
          <w:tcPr>
            <w:tcW w:type="dxa" w:w="2110"/>
          </w:tcPr>
          <w:p>
            <w:pPr>
              <w:spacing w:before="60" w:after="60" w:line="240" w:lineRule="auto"/>
            </w:pPr>
            <w:r/>
            <w:r>
              <w:rPr>
                <w:rFonts w:ascii="Consolas" w:hAnsi="Consolas"/>
                <w:b w:val="0"/>
                <w:i w:val="0"/>
                <w:sz w:val="17"/>
              </w:rPr>
              <w:t>/api/v1/top</w:t>
            </w:r>
          </w:p>
        </w:tc>
        <w:tc>
          <w:tcPr>
            <w:tcW w:type="dxa" w:w="1253"/>
          </w:tcPr>
          <w:p>
            <w:pPr>
              <w:spacing w:before="60" w:after="60" w:line="240" w:lineRule="auto"/>
            </w:pPr>
            <w:r/>
            <w:r>
              <w:rPr>
                <w:b w:val="0"/>
                <w:i w:val="0"/>
                <w:sz w:val="18"/>
              </w:rPr>
              <w:t>GET</w:t>
            </w:r>
          </w:p>
        </w:tc>
        <w:tc>
          <w:tcPr>
            <w:tcW w:type="dxa" w:w="5708"/>
          </w:tcPr>
          <w:p>
            <w:pPr>
              <w:spacing w:before="60" w:after="60" w:line="240" w:lineRule="auto"/>
            </w:pPr>
            <w:r/>
            <w:r>
              <w:rPr>
                <w:b w:val="0"/>
                <w:i w:val="0"/>
                <w:sz w:val="18"/>
              </w:rPr>
              <w:t>Today's Top 5 — daily-rotating picks, no server-side storage</w:t>
            </w:r>
          </w:p>
        </w:tc>
      </w:tr>
      <w:tr>
        <w:tc>
          <w:tcPr>
            <w:tcW w:type="dxa" w:w="2110"/>
          </w:tcPr>
          <w:p>
            <w:pPr>
              <w:spacing w:before="60" w:after="60" w:line="240" w:lineRule="auto"/>
            </w:pPr>
            <w:r/>
            <w:r>
              <w:rPr>
                <w:rFonts w:ascii="Consolas" w:hAnsi="Consolas"/>
                <w:b w:val="0"/>
                <w:i w:val="0"/>
                <w:sz w:val="17"/>
              </w:rPr>
              <w:t>/api/v1/resolve</w:t>
            </w:r>
          </w:p>
        </w:tc>
        <w:tc>
          <w:tcPr>
            <w:tcW w:type="dxa" w:w="1253"/>
          </w:tcPr>
          <w:p>
            <w:pPr>
              <w:spacing w:before="60" w:after="60" w:line="240" w:lineRule="auto"/>
            </w:pPr>
            <w:r/>
            <w:r>
              <w:rPr>
                <w:b w:val="0"/>
                <w:i w:val="0"/>
                <w:sz w:val="18"/>
              </w:rPr>
              <w:t>POST</w:t>
            </w:r>
          </w:p>
        </w:tc>
        <w:tc>
          <w:tcPr>
            <w:tcW w:type="dxa" w:w="5708"/>
          </w:tcPr>
          <w:p>
            <w:pPr>
              <w:spacing w:before="60" w:after="60" w:line="240" w:lineRule="auto"/>
            </w:pPr>
            <w:r/>
            <w:r>
              <w:rPr>
                <w:b w:val="0"/>
                <w:i w:val="0"/>
                <w:sz w:val="18"/>
              </w:rPr>
              <w:t>Map a played track's title and artist to a MusicBrainz id</w:t>
            </w:r>
          </w:p>
        </w:tc>
      </w:tr>
      <w:tr>
        <w:tc>
          <w:tcPr>
            <w:tcW w:type="dxa" w:w="2110"/>
          </w:tcPr>
          <w:p>
            <w:pPr>
              <w:spacing w:before="60" w:after="60" w:line="240" w:lineRule="auto"/>
            </w:pPr>
            <w:r/>
            <w:r>
              <w:rPr>
                <w:rFonts w:ascii="Consolas" w:hAnsi="Consolas"/>
                <w:b w:val="0"/>
                <w:i w:val="0"/>
                <w:sz w:val="17"/>
              </w:rPr>
              <w:t>/api/v1/recommend</w:t>
            </w:r>
          </w:p>
        </w:tc>
        <w:tc>
          <w:tcPr>
            <w:tcW w:type="dxa" w:w="1253"/>
          </w:tcPr>
          <w:p>
            <w:pPr>
              <w:spacing w:before="60" w:after="60" w:line="240" w:lineRule="auto"/>
            </w:pPr>
            <w:r/>
            <w:r>
              <w:rPr>
                <w:b w:val="0"/>
                <w:i w:val="0"/>
                <w:sz w:val="18"/>
              </w:rPr>
              <w:t>POST</w:t>
            </w:r>
          </w:p>
        </w:tc>
        <w:tc>
          <w:tcPr>
            <w:tcW w:type="dxa" w:w="5708"/>
          </w:tcPr>
          <w:p>
            <w:pPr>
              <w:spacing w:before="60" w:after="60" w:line="240" w:lineRule="auto"/>
            </w:pPr>
            <w:r/>
            <w:r>
              <w:rPr>
                <w:b w:val="0"/>
                <w:i w:val="0"/>
                <w:sz w:val="18"/>
              </w:rPr>
              <w:t>Return the next recommended track for a listening history</w:t>
            </w:r>
          </w:p>
        </w:tc>
      </w:tr>
      <w:tr>
        <w:tc>
          <w:tcPr>
            <w:tcW w:type="dxa" w:w="2110"/>
          </w:tcPr>
          <w:p>
            <w:pPr>
              <w:spacing w:before="60" w:after="60" w:line="240" w:lineRule="auto"/>
            </w:pPr>
            <w:r/>
            <w:r>
              <w:rPr>
                <w:rFonts w:ascii="Consolas" w:hAnsi="Consolas"/>
                <w:b w:val="0"/>
                <w:i w:val="0"/>
                <w:sz w:val="17"/>
              </w:rPr>
              <w:t>/api/v1/health</w:t>
            </w:r>
          </w:p>
        </w:tc>
        <w:tc>
          <w:tcPr>
            <w:tcW w:type="dxa" w:w="1253"/>
          </w:tcPr>
          <w:p>
            <w:pPr>
              <w:spacing w:before="60" w:after="60" w:line="240" w:lineRule="auto"/>
            </w:pPr>
            <w:r/>
            <w:r>
              <w:rPr>
                <w:b w:val="0"/>
                <w:i w:val="0"/>
                <w:sz w:val="18"/>
              </w:rPr>
              <w:t>GET</w:t>
            </w:r>
          </w:p>
        </w:tc>
        <w:tc>
          <w:tcPr>
            <w:tcW w:type="dxa" w:w="5708"/>
          </w:tcPr>
          <w:p>
            <w:pPr>
              <w:spacing w:before="60" w:after="60" w:line="240" w:lineRule="auto"/>
            </w:pPr>
            <w:r/>
            <w:r>
              <w:rPr>
                <w:b w:val="0"/>
                <w:i w:val="0"/>
                <w:sz w:val="18"/>
              </w:rPr>
              <w:t>Version, cache statistics, and per-source reachability</w:t>
            </w:r>
          </w:p>
        </w:tc>
      </w:tr>
    </w:tbl>
    <w:p>
      <w:pPr>
        <w:spacing w:after="0"/>
      </w:pPr>
    </w:p>
    <w:p>
      <w:r>
        <w:rPr>
          <w:b w:val="0"/>
          <w:i w:val="0"/>
        </w:rPr>
        <w:t xml:space="preserve">Failed recommendations return a machine-readable </w:t>
      </w:r>
      <w:r>
        <w:rPr>
          <w:rFonts w:ascii="Consolas" w:hAnsi="Consolas"/>
          <w:b w:val="0"/>
          <w:i w:val="0"/>
          <w:sz w:val="20"/>
        </w:rPr>
        <w:t>reason</w:t>
      </w:r>
      <w:r>
        <w:rPr>
          <w:b w:val="0"/>
          <w:i w:val="0"/>
        </w:rPr>
        <w:t xml:space="preserve"> alongside the human-readable </w:t>
      </w:r>
      <w:r>
        <w:rPr>
          <w:rFonts w:ascii="Consolas" w:hAnsi="Consolas"/>
          <w:b w:val="0"/>
          <w:i w:val="0"/>
          <w:sz w:val="20"/>
        </w:rPr>
        <w:t>detail</w:t>
      </w:r>
      <w:r>
        <w:rPr>
          <w:b w:val="0"/>
          <w:i w:val="0"/>
        </w:rPr>
        <w:t xml:space="preserve">: </w:t>
      </w:r>
      <w:r>
        <w:rPr>
          <w:rFonts w:ascii="Consolas" w:hAnsi="Consolas"/>
          <w:b w:val="0"/>
          <w:i w:val="0"/>
          <w:sz w:val="20"/>
        </w:rPr>
        <w:t>no_history_resolved</w:t>
      </w:r>
      <w:r>
        <w:rPr>
          <w:b w:val="0"/>
          <w:i w:val="0"/>
        </w:rPr>
        <w:t xml:space="preserve">, </w:t>
      </w:r>
      <w:r>
        <w:rPr>
          <w:rFonts w:ascii="Consolas" w:hAnsi="Consolas"/>
          <w:b w:val="0"/>
          <w:i w:val="0"/>
          <w:sz w:val="20"/>
        </w:rPr>
        <w:t>no_genres_for_history</w:t>
      </w:r>
      <w:r>
        <w:rPr>
          <w:b w:val="0"/>
          <w:i w:val="0"/>
        </w:rPr>
        <w:t xml:space="preserve">, </w:t>
      </w:r>
      <w:r>
        <w:rPr>
          <w:rFonts w:ascii="Consolas" w:hAnsi="Consolas"/>
          <w:b w:val="0"/>
          <w:i w:val="0"/>
          <w:sz w:val="20"/>
        </w:rPr>
        <w:t>no_candidates_found</w:t>
      </w:r>
      <w:r>
        <w:rPr>
          <w:b w:val="0"/>
          <w:i w:val="0"/>
        </w:rPr>
        <w:t xml:space="preserve">, </w:t>
      </w:r>
      <w:r>
        <w:rPr>
          <w:rFonts w:ascii="Consolas" w:hAnsi="Consolas"/>
          <w:b w:val="0"/>
          <w:i w:val="0"/>
          <w:sz w:val="20"/>
        </w:rPr>
        <w:t>no_candidates_after_filters</w:t>
      </w:r>
      <w:r>
        <w:rPr>
          <w:b w:val="0"/>
          <w:i w:val="0"/>
        </w:rPr>
        <w:t xml:space="preserve">, </w:t>
      </w:r>
      <w:r>
        <w:rPr>
          <w:rFonts w:ascii="Consolas" w:hAnsi="Consolas"/>
          <w:b w:val="0"/>
          <w:i w:val="0"/>
          <w:sz w:val="20"/>
        </w:rPr>
        <w:t>no_youtube_match</w:t>
      </w:r>
      <w:r>
        <w:rPr>
          <w:b w:val="0"/>
          <w:i w:val="0"/>
        </w:rPr>
        <w:t>.</w:t>
      </w:r>
    </w:p>
    <w:p>
      <w:r>
        <w:br w:type="page"/>
      </w:r>
    </w:p>
    <w:p>
      <w:pPr>
        <w:pStyle w:val="Heading1"/>
        <w:pBdr>
          <w:bottom w:val="single" w:sz="6" w:space="4" w:color="C9BFB4"/>
        </w:pBdr>
      </w:pPr>
      <w:r>
        <w:t>Appendix B: Word count</w:t>
      </w:r>
    </w:p>
    <w:p>
      <w:r>
        <w:rPr>
          <w:b w:val="0"/>
          <w:i w:val="0"/>
        </w:rPr>
        <w:t xml:space="preserve">Counted by </w:t>
      </w:r>
      <w:r>
        <w:rPr>
          <w:rFonts w:ascii="Consolas" w:hAnsi="Consolas"/>
          <w:b w:val="0"/>
          <w:i w:val="0"/>
          <w:sz w:val="20"/>
        </w:rPr>
        <w:t>backend/scripts/word_count.py</w:t>
      </w:r>
      <w:r>
        <w:rPr>
          <w:b w:val="0"/>
          <w:i w:val="0"/>
        </w:rPr>
        <w:t xml:space="preserve">, which applies the assignment's stated exclusions: the reference list, figure and table legends, and chapter titles. Code blocks and ASCII diagrams are excluded as figures. Table contents </w:t>
      </w:r>
      <w:r>
        <w:rPr>
          <w:b w:val="0"/>
          <w:i/>
        </w:rPr>
        <w:t>are</w:t>
      </w:r>
      <w:r>
        <w:rPr>
          <w:b w:val="0"/>
          <w:i w:val="0"/>
        </w:rPr>
        <w:t xml:space="preserve"> counted.</w:t>
      </w:r>
    </w:p>
    <w:tbl>
      <w:tblPr>
        <w:tblStyle w:val="TableGrid"/>
        <w:tblW w:type="auto" w:w="0"/>
        <w:jc w:val="center"/>
        <w:tblLayout w:type="fixed"/>
        <w:tblLook w:firstColumn="1" w:firstRow="1" w:lastColumn="0" w:lastRow="0" w:noHBand="0" w:noVBand="1" w:val="04A0"/>
        <w:tblLayout w:type="fixed"/>
      </w:tblPr>
      <w:tblGrid>
        <w:gridCol w:w="3024"/>
        <w:gridCol w:w="3024"/>
        <w:gridCol w:w="3024"/>
      </w:tblGrid>
      <w:tr>
        <w:tc>
          <w:tcPr>
            <w:tcW w:type="dxa" w:w="4838"/>
            <w:shd w:val="clear" w:color="auto" w:fill="F3EEE8"/>
          </w:tcPr>
          <w:p>
            <w:pPr>
              <w:spacing w:before="60" w:after="60" w:line="240" w:lineRule="auto"/>
            </w:pPr>
            <w:r/>
            <w:r>
              <w:rPr>
                <w:b/>
                <w:sz w:val="18"/>
              </w:rPr>
              <w:t>Chapter</w:t>
            </w:r>
          </w:p>
        </w:tc>
        <w:tc>
          <w:tcPr>
            <w:tcW w:type="dxa" w:w="2117"/>
            <w:shd w:val="clear" w:color="auto" w:fill="F3EEE8"/>
          </w:tcPr>
          <w:p>
            <w:pPr>
              <w:spacing w:before="60" w:after="60" w:line="240" w:lineRule="auto"/>
              <w:jc w:val="right"/>
            </w:pPr>
            <w:r/>
            <w:r>
              <w:rPr>
                <w:b/>
                <w:sz w:val="18"/>
              </w:rPr>
              <w:t>Words</w:t>
            </w:r>
          </w:p>
        </w:tc>
        <w:tc>
          <w:tcPr>
            <w:tcW w:type="dxa" w:w="2117"/>
            <w:shd w:val="clear" w:color="auto" w:fill="F3EEE8"/>
          </w:tcPr>
          <w:p>
            <w:pPr>
              <w:spacing w:before="60" w:after="60" w:line="240" w:lineRule="auto"/>
              <w:jc w:val="right"/>
            </w:pPr>
            <w:r/>
            <w:r>
              <w:rPr>
                <w:b/>
                <w:sz w:val="18"/>
              </w:rPr>
              <w:t>Limit</w:t>
            </w:r>
          </w:p>
        </w:tc>
      </w:tr>
      <w:tr>
        <w:tc>
          <w:tcPr>
            <w:tcW w:type="dxa" w:w="4838"/>
          </w:tcPr>
          <w:p>
            <w:pPr>
              <w:spacing w:before="60" w:after="60" w:line="240" w:lineRule="auto"/>
            </w:pPr>
            <w:r/>
            <w:r>
              <w:rPr>
                <w:b w:val="0"/>
                <w:i w:val="0"/>
                <w:sz w:val="18"/>
              </w:rPr>
              <w:t>1. Introduction</w:t>
            </w:r>
          </w:p>
        </w:tc>
        <w:tc>
          <w:tcPr>
            <w:tcW w:type="dxa" w:w="2117"/>
          </w:tcPr>
          <w:p>
            <w:pPr>
              <w:spacing w:before="60" w:after="60" w:line="240" w:lineRule="auto"/>
              <w:jc w:val="right"/>
            </w:pPr>
            <w:r/>
            <w:r>
              <w:rPr>
                <w:b w:val="0"/>
                <w:i w:val="0"/>
                <w:sz w:val="18"/>
              </w:rPr>
              <w:t>998</w:t>
            </w:r>
          </w:p>
        </w:tc>
        <w:tc>
          <w:tcPr>
            <w:tcW w:type="dxa" w:w="2117"/>
          </w:tcPr>
          <w:p>
            <w:pPr>
              <w:spacing w:before="60" w:after="60" w:line="240" w:lineRule="auto"/>
              <w:jc w:val="right"/>
            </w:pPr>
            <w:r/>
            <w:r>
              <w:rPr>
                <w:b w:val="0"/>
                <w:i w:val="0"/>
                <w:sz w:val="18"/>
              </w:rPr>
              <w:t>1,000</w:t>
            </w:r>
          </w:p>
        </w:tc>
      </w:tr>
      <w:tr>
        <w:tc>
          <w:tcPr>
            <w:tcW w:type="dxa" w:w="4838"/>
          </w:tcPr>
          <w:p>
            <w:pPr>
              <w:spacing w:before="60" w:after="60" w:line="240" w:lineRule="auto"/>
            </w:pPr>
            <w:r/>
            <w:r>
              <w:rPr>
                <w:b w:val="0"/>
                <w:i w:val="0"/>
                <w:sz w:val="18"/>
              </w:rPr>
              <w:t>2. Literature Review</w:t>
            </w:r>
          </w:p>
        </w:tc>
        <w:tc>
          <w:tcPr>
            <w:tcW w:type="dxa" w:w="2117"/>
          </w:tcPr>
          <w:p>
            <w:pPr>
              <w:spacing w:before="60" w:after="60" w:line="240" w:lineRule="auto"/>
              <w:jc w:val="right"/>
            </w:pPr>
            <w:r/>
            <w:r>
              <w:rPr>
                <w:b w:val="0"/>
                <w:i w:val="0"/>
                <w:sz w:val="18"/>
              </w:rPr>
              <w:t>2,264</w:t>
            </w:r>
          </w:p>
        </w:tc>
        <w:tc>
          <w:tcPr>
            <w:tcW w:type="dxa" w:w="2117"/>
          </w:tcPr>
          <w:p>
            <w:pPr>
              <w:spacing w:before="60" w:after="60" w:line="240" w:lineRule="auto"/>
              <w:jc w:val="right"/>
            </w:pPr>
            <w:r/>
            <w:r>
              <w:rPr>
                <w:b w:val="0"/>
                <w:i w:val="0"/>
                <w:sz w:val="18"/>
              </w:rPr>
              <w:t>2,500</w:t>
            </w:r>
          </w:p>
        </w:tc>
      </w:tr>
      <w:tr>
        <w:tc>
          <w:tcPr>
            <w:tcW w:type="dxa" w:w="4838"/>
          </w:tcPr>
          <w:p>
            <w:pPr>
              <w:spacing w:before="60" w:after="60" w:line="240" w:lineRule="auto"/>
            </w:pPr>
            <w:r/>
            <w:r>
              <w:rPr>
                <w:b w:val="0"/>
                <w:i w:val="0"/>
                <w:sz w:val="18"/>
              </w:rPr>
              <w:t>3. Design</w:t>
            </w:r>
          </w:p>
        </w:tc>
        <w:tc>
          <w:tcPr>
            <w:tcW w:type="dxa" w:w="2117"/>
          </w:tcPr>
          <w:p>
            <w:pPr>
              <w:spacing w:before="60" w:after="60" w:line="240" w:lineRule="auto"/>
              <w:jc w:val="right"/>
            </w:pPr>
            <w:r/>
            <w:r>
              <w:rPr>
                <w:b w:val="0"/>
                <w:i w:val="0"/>
                <w:sz w:val="18"/>
              </w:rPr>
              <w:t>1,531</w:t>
            </w:r>
          </w:p>
        </w:tc>
        <w:tc>
          <w:tcPr>
            <w:tcW w:type="dxa" w:w="2117"/>
          </w:tcPr>
          <w:p>
            <w:pPr>
              <w:spacing w:before="60" w:after="60" w:line="240" w:lineRule="auto"/>
              <w:jc w:val="right"/>
            </w:pPr>
            <w:r/>
            <w:r>
              <w:rPr>
                <w:b w:val="0"/>
                <w:i w:val="0"/>
                <w:sz w:val="18"/>
              </w:rPr>
              <w:t>2,000</w:t>
            </w:r>
          </w:p>
        </w:tc>
      </w:tr>
      <w:tr>
        <w:tc>
          <w:tcPr>
            <w:tcW w:type="dxa" w:w="4838"/>
          </w:tcPr>
          <w:p>
            <w:pPr>
              <w:spacing w:before="60" w:after="60" w:line="240" w:lineRule="auto"/>
            </w:pPr>
            <w:r/>
            <w:r>
              <w:rPr>
                <w:b w:val="0"/>
                <w:i w:val="0"/>
                <w:sz w:val="18"/>
              </w:rPr>
              <w:t>4. Implementation</w:t>
            </w:r>
          </w:p>
        </w:tc>
        <w:tc>
          <w:tcPr>
            <w:tcW w:type="dxa" w:w="2117"/>
          </w:tcPr>
          <w:p>
            <w:pPr>
              <w:spacing w:before="60" w:after="60" w:line="240" w:lineRule="auto"/>
              <w:jc w:val="right"/>
            </w:pPr>
            <w:r/>
            <w:r>
              <w:rPr>
                <w:b w:val="0"/>
                <w:i w:val="0"/>
                <w:sz w:val="18"/>
              </w:rPr>
              <w:t>2,208</w:t>
            </w:r>
          </w:p>
        </w:tc>
        <w:tc>
          <w:tcPr>
            <w:tcW w:type="dxa" w:w="2117"/>
          </w:tcPr>
          <w:p>
            <w:pPr>
              <w:spacing w:before="60" w:after="60" w:line="240" w:lineRule="auto"/>
              <w:jc w:val="right"/>
            </w:pPr>
            <w:r/>
            <w:r>
              <w:rPr>
                <w:b w:val="0"/>
                <w:i w:val="0"/>
                <w:sz w:val="18"/>
              </w:rPr>
              <w:t>2,500</w:t>
            </w:r>
          </w:p>
        </w:tc>
      </w:tr>
      <w:tr>
        <w:tc>
          <w:tcPr>
            <w:tcW w:type="dxa" w:w="4838"/>
          </w:tcPr>
          <w:p>
            <w:pPr>
              <w:spacing w:before="60" w:after="60" w:line="240" w:lineRule="auto"/>
            </w:pPr>
            <w:r/>
            <w:r>
              <w:rPr>
                <w:b w:val="0"/>
                <w:i w:val="0"/>
                <w:sz w:val="18"/>
              </w:rPr>
              <w:t>5. Evaluation</w:t>
            </w:r>
          </w:p>
        </w:tc>
        <w:tc>
          <w:tcPr>
            <w:tcW w:type="dxa" w:w="2117"/>
          </w:tcPr>
          <w:p>
            <w:pPr>
              <w:spacing w:before="60" w:after="60" w:line="240" w:lineRule="auto"/>
              <w:jc w:val="right"/>
            </w:pPr>
            <w:r/>
            <w:r>
              <w:rPr>
                <w:b w:val="0"/>
                <w:i w:val="0"/>
                <w:sz w:val="18"/>
              </w:rPr>
              <w:t>2,500</w:t>
            </w:r>
          </w:p>
        </w:tc>
        <w:tc>
          <w:tcPr>
            <w:tcW w:type="dxa" w:w="2117"/>
          </w:tcPr>
          <w:p>
            <w:pPr>
              <w:spacing w:before="60" w:after="60" w:line="240" w:lineRule="auto"/>
              <w:jc w:val="right"/>
            </w:pPr>
            <w:r/>
            <w:r>
              <w:rPr>
                <w:b w:val="0"/>
                <w:i w:val="0"/>
                <w:sz w:val="18"/>
              </w:rPr>
              <w:t>2,500</w:t>
            </w:r>
          </w:p>
        </w:tc>
      </w:tr>
      <w:tr>
        <w:tc>
          <w:tcPr>
            <w:tcW w:type="dxa" w:w="4838"/>
          </w:tcPr>
          <w:p>
            <w:pPr>
              <w:spacing w:before="60" w:after="60" w:line="240" w:lineRule="auto"/>
            </w:pPr>
            <w:r/>
            <w:r>
              <w:rPr>
                <w:b w:val="0"/>
                <w:i w:val="0"/>
                <w:sz w:val="18"/>
              </w:rPr>
              <w:t>6. Conclusion</w:t>
            </w:r>
          </w:p>
        </w:tc>
        <w:tc>
          <w:tcPr>
            <w:tcW w:type="dxa" w:w="2117"/>
          </w:tcPr>
          <w:p>
            <w:pPr>
              <w:spacing w:before="60" w:after="60" w:line="240" w:lineRule="auto"/>
              <w:jc w:val="right"/>
            </w:pPr>
            <w:r/>
            <w:r>
              <w:rPr>
                <w:b w:val="0"/>
                <w:i w:val="0"/>
                <w:sz w:val="18"/>
              </w:rPr>
              <w:t>999</w:t>
            </w:r>
          </w:p>
        </w:tc>
        <w:tc>
          <w:tcPr>
            <w:tcW w:type="dxa" w:w="2117"/>
          </w:tcPr>
          <w:p>
            <w:pPr>
              <w:spacing w:before="60" w:after="60" w:line="240" w:lineRule="auto"/>
              <w:jc w:val="right"/>
            </w:pPr>
            <w:r/>
            <w:r>
              <w:rPr>
                <w:b w:val="0"/>
                <w:i w:val="0"/>
                <w:sz w:val="18"/>
              </w:rPr>
              <w:t>1,000</w:t>
            </w:r>
          </w:p>
        </w:tc>
      </w:tr>
      <w:tr>
        <w:tc>
          <w:tcPr>
            <w:tcW w:type="dxa" w:w="4838"/>
          </w:tcPr>
          <w:p>
            <w:pPr>
              <w:spacing w:before="60" w:after="60" w:line="240" w:lineRule="auto"/>
            </w:pPr>
            <w:r/>
            <w:r>
              <w:rPr>
                <w:b/>
                <w:i w:val="0"/>
                <w:sz w:val="18"/>
              </w:rPr>
              <w:t>Total</w:t>
            </w:r>
          </w:p>
        </w:tc>
        <w:tc>
          <w:tcPr>
            <w:tcW w:type="dxa" w:w="2117"/>
          </w:tcPr>
          <w:p>
            <w:pPr>
              <w:spacing w:before="60" w:after="60" w:line="240" w:lineRule="auto"/>
              <w:jc w:val="right"/>
            </w:pPr>
            <w:r/>
            <w:r>
              <w:rPr>
                <w:b/>
                <w:i w:val="0"/>
                <w:sz w:val="18"/>
              </w:rPr>
              <w:t>10,500</w:t>
            </w:r>
          </w:p>
        </w:tc>
        <w:tc>
          <w:tcPr>
            <w:tcW w:type="dxa" w:w="2117"/>
          </w:tcPr>
          <w:p>
            <w:pPr>
              <w:spacing w:before="60" w:after="60" w:line="240" w:lineRule="auto"/>
              <w:jc w:val="right"/>
            </w:pPr>
            <w:r/>
            <w:r>
              <w:rPr>
                <w:b/>
                <w:i w:val="0"/>
                <w:sz w:val="18"/>
              </w:rPr>
              <w:t>10,500</w:t>
            </w:r>
          </w:p>
        </w:tc>
      </w:tr>
    </w:tbl>
    <w:p>
      <w:pPr>
        <w:spacing w:after="0"/>
      </w:pPr>
    </w:p>
    <w:p>
      <w:r>
        <w:br w:type="page"/>
      </w:r>
    </w:p>
    <w:p>
      <w:pPr>
        <w:pStyle w:val="Heading1"/>
        <w:pBdr>
          <w:bottom w:val="single" w:sz="6" w:space="4" w:color="C9BFB4"/>
        </w:pBdr>
      </w:pPr>
      <w:r>
        <w:t>Appendix C: Statistical detail and measurement conditions</w:t>
      </w:r>
    </w:p>
    <w:p>
      <w:r>
        <w:rPr>
          <w:b/>
          <w:i w:val="0"/>
        </w:rPr>
        <w:t>Pairwise comparisons on nDCG@10</w:t>
      </w:r>
      <w:r>
        <w:rPr>
          <w:b w:val="0"/>
          <w:i w:val="0"/>
        </w:rPr>
        <w:t xml:space="preserve"> (injected-target protocol, 138 sessions). </w:t>
      </w:r>
      <w:r>
        <w:rPr>
          <w:b w:val="0"/>
          <w:i/>
        </w:rPr>
        <w:t>n</w:t>
      </w:r>
      <w:r>
        <w:rPr>
          <w:b w:val="0"/>
          <w:i w:val="0"/>
        </w:rPr>
        <w:t xml:space="preserve"> counts non-tied sessions; </w:t>
      </w:r>
      <w:r>
        <w:rPr>
          <w:b w:val="0"/>
          <w:i/>
        </w:rPr>
        <w:t>r</w:t>
      </w:r>
      <w:r>
        <w:rPr>
          <w:b w:val="0"/>
          <w:i w:val="0"/>
        </w:rPr>
        <w:t xml:space="preserve"> is the matched-pairs rank-biserial correlation from the signed ranks; the Holm column gives the outcome of a Holm–Bonferroni correction over all six comparisons at α = 0.05.</w:t>
      </w:r>
    </w:p>
    <w:tbl>
      <w:tblPr>
        <w:tblStyle w:val="TableGrid"/>
        <w:tblW w:type="auto" w:w="0"/>
        <w:jc w:val="center"/>
        <w:tblLayout w:type="fixed"/>
        <w:tblLook w:firstColumn="1" w:firstRow="1" w:lastColumn="0" w:lastRow="0" w:noHBand="0" w:noVBand="1" w:val="04A0"/>
        <w:tblLayout w:type="fixed"/>
      </w:tblPr>
      <w:tblGrid>
        <w:gridCol w:w="1512"/>
        <w:gridCol w:w="1512"/>
        <w:gridCol w:w="1512"/>
        <w:gridCol w:w="1512"/>
        <w:gridCol w:w="1512"/>
        <w:gridCol w:w="1512"/>
      </w:tblGrid>
      <w:tr>
        <w:tc>
          <w:tcPr>
            <w:tcW w:type="dxa" w:w="3194"/>
            <w:shd w:val="clear" w:color="auto" w:fill="F3EEE8"/>
          </w:tcPr>
          <w:p>
            <w:pPr>
              <w:spacing w:before="60" w:after="60" w:line="240" w:lineRule="auto"/>
            </w:pPr>
            <w:r/>
            <w:r>
              <w:rPr>
                <w:b/>
                <w:sz w:val="18"/>
              </w:rPr>
              <w:t>Comparison</w:t>
            </w:r>
          </w:p>
        </w:tc>
        <w:tc>
          <w:tcPr>
            <w:tcW w:type="dxa" w:w="827"/>
            <w:shd w:val="clear" w:color="auto" w:fill="F3EEE8"/>
          </w:tcPr>
          <w:p>
            <w:pPr>
              <w:spacing w:before="60" w:after="60" w:line="240" w:lineRule="auto"/>
              <w:jc w:val="right"/>
            </w:pPr>
            <w:r/>
            <w:r>
              <w:rPr>
                <w:b/>
                <w:sz w:val="18"/>
              </w:rPr>
              <w:t>mean Δ</w:t>
            </w:r>
          </w:p>
        </w:tc>
        <w:tc>
          <w:tcPr>
            <w:tcW w:type="dxa" w:w="813"/>
            <w:shd w:val="clear" w:color="auto" w:fill="F3EEE8"/>
          </w:tcPr>
          <w:p>
            <w:pPr>
              <w:spacing w:before="60" w:after="60" w:line="240" w:lineRule="auto"/>
              <w:jc w:val="right"/>
            </w:pPr>
            <w:r/>
            <w:r>
              <w:rPr>
                <w:b/>
                <w:sz w:val="18"/>
              </w:rPr>
              <w:t>n</w:t>
            </w:r>
          </w:p>
        </w:tc>
        <w:tc>
          <w:tcPr>
            <w:tcW w:type="dxa" w:w="1822"/>
            <w:shd w:val="clear" w:color="auto" w:fill="F3EEE8"/>
          </w:tcPr>
          <w:p>
            <w:pPr>
              <w:spacing w:before="60" w:after="60" w:line="240" w:lineRule="auto"/>
              <w:jc w:val="right"/>
            </w:pPr>
            <w:r/>
            <w:r>
              <w:rPr>
                <w:b/>
                <w:sz w:val="18"/>
              </w:rPr>
              <w:t>p (uncorrected)</w:t>
            </w:r>
          </w:p>
        </w:tc>
        <w:tc>
          <w:tcPr>
            <w:tcW w:type="dxa" w:w="813"/>
            <w:shd w:val="clear" w:color="auto" w:fill="F3EEE8"/>
          </w:tcPr>
          <w:p>
            <w:pPr>
              <w:spacing w:before="60" w:after="60" w:line="240" w:lineRule="auto"/>
              <w:jc w:val="right"/>
            </w:pPr>
            <w:r/>
            <w:r>
              <w:rPr>
                <w:b/>
                <w:sz w:val="18"/>
              </w:rPr>
              <w:t>r</w:t>
            </w:r>
          </w:p>
        </w:tc>
        <w:tc>
          <w:tcPr>
            <w:tcW w:type="dxa" w:w="1601"/>
            <w:shd w:val="clear" w:color="auto" w:fill="F3EEE8"/>
          </w:tcPr>
          <w:p>
            <w:pPr>
              <w:spacing w:before="60" w:after="60" w:line="240" w:lineRule="auto"/>
            </w:pPr>
            <w:r/>
            <w:r>
              <w:rPr>
                <w:b/>
                <w:sz w:val="18"/>
              </w:rPr>
              <w:t>Holm α = 0.05</w:t>
            </w:r>
          </w:p>
        </w:tc>
      </w:tr>
      <w:tr>
        <w:tc>
          <w:tcPr>
            <w:tcW w:type="dxa" w:w="3194"/>
          </w:tcPr>
          <w:p>
            <w:pPr>
              <w:spacing w:before="60" w:after="60" w:line="240" w:lineRule="auto"/>
            </w:pPr>
            <w:r/>
            <w:r>
              <w:rPr>
                <w:b w:val="0"/>
                <w:i w:val="0"/>
                <w:sz w:val="18"/>
              </w:rPr>
              <w:t>Full cascade vs random (pool)</w:t>
            </w:r>
          </w:p>
        </w:tc>
        <w:tc>
          <w:tcPr>
            <w:tcW w:type="dxa" w:w="827"/>
          </w:tcPr>
          <w:p>
            <w:pPr>
              <w:spacing w:before="60" w:after="60" w:line="240" w:lineRule="auto"/>
              <w:jc w:val="right"/>
            </w:pPr>
            <w:r/>
            <w:r>
              <w:rPr>
                <w:b w:val="0"/>
                <w:i w:val="0"/>
                <w:sz w:val="18"/>
              </w:rPr>
              <w:t>+0.656</w:t>
            </w:r>
          </w:p>
        </w:tc>
        <w:tc>
          <w:tcPr>
            <w:tcW w:type="dxa" w:w="813"/>
          </w:tcPr>
          <w:p>
            <w:pPr>
              <w:spacing w:before="60" w:after="60" w:line="240" w:lineRule="auto"/>
              <w:jc w:val="right"/>
            </w:pPr>
            <w:r/>
            <w:r>
              <w:rPr>
                <w:b w:val="0"/>
                <w:i w:val="0"/>
                <w:sz w:val="18"/>
              </w:rPr>
              <w:t>120</w:t>
            </w:r>
          </w:p>
        </w:tc>
        <w:tc>
          <w:tcPr>
            <w:tcW w:type="dxa" w:w="1822"/>
          </w:tcPr>
          <w:p>
            <w:pPr>
              <w:spacing w:before="60" w:after="60" w:line="240" w:lineRule="auto"/>
              <w:jc w:val="right"/>
            </w:pPr>
            <w:r/>
            <w:r>
              <w:rPr>
                <w:b w:val="0"/>
                <w:i w:val="0"/>
                <w:sz w:val="18"/>
              </w:rPr>
              <w:t>&lt; 0.00001</w:t>
            </w:r>
          </w:p>
        </w:tc>
        <w:tc>
          <w:tcPr>
            <w:tcW w:type="dxa" w:w="813"/>
          </w:tcPr>
          <w:p>
            <w:pPr>
              <w:spacing w:before="60" w:after="60" w:line="240" w:lineRule="auto"/>
              <w:jc w:val="right"/>
            </w:pPr>
            <w:r/>
            <w:r>
              <w:rPr>
                <w:b w:val="0"/>
                <w:i w:val="0"/>
                <w:sz w:val="18"/>
              </w:rPr>
              <w:t>+0.98</w:t>
            </w:r>
          </w:p>
        </w:tc>
        <w:tc>
          <w:tcPr>
            <w:tcW w:type="dxa" w:w="1601"/>
          </w:tcPr>
          <w:p>
            <w:pPr>
              <w:spacing w:before="60" w:after="60" w:line="240" w:lineRule="auto"/>
            </w:pPr>
            <w:r/>
            <w:r>
              <w:rPr>
                <w:b w:val="0"/>
                <w:i w:val="0"/>
                <w:sz w:val="18"/>
              </w:rPr>
              <w:t>significant</w:t>
            </w:r>
          </w:p>
        </w:tc>
      </w:tr>
      <w:tr>
        <w:tc>
          <w:tcPr>
            <w:tcW w:type="dxa" w:w="3194"/>
          </w:tcPr>
          <w:p>
            <w:pPr>
              <w:spacing w:before="60" w:after="60" w:line="240" w:lineRule="auto"/>
            </w:pPr>
            <w:r/>
            <w:r>
              <w:rPr>
                <w:b w:val="0"/>
                <w:i w:val="0"/>
                <w:sz w:val="18"/>
              </w:rPr>
              <w:t>Full cascade vs random (catalogue)</w:t>
            </w:r>
          </w:p>
        </w:tc>
        <w:tc>
          <w:tcPr>
            <w:tcW w:type="dxa" w:w="827"/>
          </w:tcPr>
          <w:p>
            <w:pPr>
              <w:spacing w:before="60" w:after="60" w:line="240" w:lineRule="auto"/>
              <w:jc w:val="right"/>
            </w:pPr>
            <w:r/>
            <w:r>
              <w:rPr>
                <w:b w:val="0"/>
                <w:i w:val="0"/>
                <w:sz w:val="18"/>
              </w:rPr>
              <w:t>+0.695</w:t>
            </w:r>
          </w:p>
        </w:tc>
        <w:tc>
          <w:tcPr>
            <w:tcW w:type="dxa" w:w="813"/>
          </w:tcPr>
          <w:p>
            <w:pPr>
              <w:spacing w:before="60" w:after="60" w:line="240" w:lineRule="auto"/>
              <w:jc w:val="right"/>
            </w:pPr>
            <w:r/>
            <w:r>
              <w:rPr>
                <w:b w:val="0"/>
                <w:i w:val="0"/>
                <w:sz w:val="18"/>
              </w:rPr>
              <w:t>118</w:t>
            </w:r>
          </w:p>
        </w:tc>
        <w:tc>
          <w:tcPr>
            <w:tcW w:type="dxa" w:w="1822"/>
          </w:tcPr>
          <w:p>
            <w:pPr>
              <w:spacing w:before="60" w:after="60" w:line="240" w:lineRule="auto"/>
              <w:jc w:val="right"/>
            </w:pPr>
            <w:r/>
            <w:r>
              <w:rPr>
                <w:b w:val="0"/>
                <w:i w:val="0"/>
                <w:sz w:val="18"/>
              </w:rPr>
              <w:t>&lt; 0.00001</w:t>
            </w:r>
          </w:p>
        </w:tc>
        <w:tc>
          <w:tcPr>
            <w:tcW w:type="dxa" w:w="813"/>
          </w:tcPr>
          <w:p>
            <w:pPr>
              <w:spacing w:before="60" w:after="60" w:line="240" w:lineRule="auto"/>
              <w:jc w:val="right"/>
            </w:pPr>
            <w:r/>
            <w:r>
              <w:rPr>
                <w:b w:val="0"/>
                <w:i w:val="0"/>
                <w:sz w:val="18"/>
              </w:rPr>
              <w:t>+1.00</w:t>
            </w:r>
          </w:p>
        </w:tc>
        <w:tc>
          <w:tcPr>
            <w:tcW w:type="dxa" w:w="1601"/>
          </w:tcPr>
          <w:p>
            <w:pPr>
              <w:spacing w:before="60" w:after="60" w:line="240" w:lineRule="auto"/>
            </w:pPr>
            <w:r/>
            <w:r>
              <w:rPr>
                <w:b w:val="0"/>
                <w:i w:val="0"/>
                <w:sz w:val="18"/>
              </w:rPr>
              <w:t>significant</w:t>
            </w:r>
          </w:p>
        </w:tc>
      </w:tr>
      <w:tr>
        <w:tc>
          <w:tcPr>
            <w:tcW w:type="dxa" w:w="3194"/>
          </w:tcPr>
          <w:p>
            <w:pPr>
              <w:spacing w:before="60" w:after="60" w:line="240" w:lineRule="auto"/>
            </w:pPr>
            <w:r/>
            <w:r>
              <w:rPr>
                <w:b w:val="0"/>
                <w:i w:val="0"/>
                <w:sz w:val="18"/>
              </w:rPr>
              <w:t>Full cascade vs most popular</w:t>
            </w:r>
          </w:p>
        </w:tc>
        <w:tc>
          <w:tcPr>
            <w:tcW w:type="dxa" w:w="827"/>
          </w:tcPr>
          <w:p>
            <w:pPr>
              <w:spacing w:before="60" w:after="60" w:line="240" w:lineRule="auto"/>
              <w:jc w:val="right"/>
            </w:pPr>
            <w:r/>
            <w:r>
              <w:rPr>
                <w:b w:val="0"/>
                <w:i w:val="0"/>
                <w:sz w:val="18"/>
              </w:rPr>
              <w:t>+0.464</w:t>
            </w:r>
          </w:p>
        </w:tc>
        <w:tc>
          <w:tcPr>
            <w:tcW w:type="dxa" w:w="813"/>
          </w:tcPr>
          <w:p>
            <w:pPr>
              <w:spacing w:before="60" w:after="60" w:line="240" w:lineRule="auto"/>
              <w:jc w:val="right"/>
            </w:pPr>
            <w:r/>
            <w:r>
              <w:rPr>
                <w:b w:val="0"/>
                <w:i w:val="0"/>
                <w:sz w:val="18"/>
              </w:rPr>
              <w:t>101</w:t>
            </w:r>
          </w:p>
        </w:tc>
        <w:tc>
          <w:tcPr>
            <w:tcW w:type="dxa" w:w="1822"/>
          </w:tcPr>
          <w:p>
            <w:pPr>
              <w:spacing w:before="60" w:after="60" w:line="240" w:lineRule="auto"/>
              <w:jc w:val="right"/>
            </w:pPr>
            <w:r/>
            <w:r>
              <w:rPr>
                <w:b w:val="0"/>
                <w:i w:val="0"/>
                <w:sz w:val="18"/>
              </w:rPr>
              <w:t>&lt; 0.00001</w:t>
            </w:r>
          </w:p>
        </w:tc>
        <w:tc>
          <w:tcPr>
            <w:tcW w:type="dxa" w:w="813"/>
          </w:tcPr>
          <w:p>
            <w:pPr>
              <w:spacing w:before="60" w:after="60" w:line="240" w:lineRule="auto"/>
              <w:jc w:val="right"/>
            </w:pPr>
            <w:r/>
            <w:r>
              <w:rPr>
                <w:b w:val="0"/>
                <w:i w:val="0"/>
                <w:sz w:val="18"/>
              </w:rPr>
              <w:t>+0.89</w:t>
            </w:r>
          </w:p>
        </w:tc>
        <w:tc>
          <w:tcPr>
            <w:tcW w:type="dxa" w:w="1601"/>
          </w:tcPr>
          <w:p>
            <w:pPr>
              <w:spacing w:before="60" w:after="60" w:line="240" w:lineRule="auto"/>
            </w:pPr>
            <w:r/>
            <w:r>
              <w:rPr>
                <w:b w:val="0"/>
                <w:i w:val="0"/>
                <w:sz w:val="18"/>
              </w:rPr>
              <w:t>significant</w:t>
            </w:r>
          </w:p>
        </w:tc>
      </w:tr>
      <w:tr>
        <w:tc>
          <w:tcPr>
            <w:tcW w:type="dxa" w:w="3194"/>
          </w:tcPr>
          <w:p>
            <w:pPr>
              <w:spacing w:before="60" w:after="60" w:line="240" w:lineRule="auto"/>
            </w:pPr>
            <w:r/>
            <w:r>
              <w:rPr>
                <w:b w:val="0"/>
                <w:i w:val="0"/>
                <w:sz w:val="18"/>
              </w:rPr>
              <w:t>Content + collaborative vs content only</w:t>
            </w:r>
          </w:p>
        </w:tc>
        <w:tc>
          <w:tcPr>
            <w:tcW w:type="dxa" w:w="827"/>
          </w:tcPr>
          <w:p>
            <w:pPr>
              <w:spacing w:before="60" w:after="60" w:line="240" w:lineRule="auto"/>
              <w:jc w:val="right"/>
            </w:pPr>
            <w:r/>
            <w:r>
              <w:rPr>
                <w:b w:val="0"/>
                <w:i w:val="0"/>
                <w:sz w:val="18"/>
              </w:rPr>
              <w:t>+0.055</w:t>
            </w:r>
          </w:p>
        </w:tc>
        <w:tc>
          <w:tcPr>
            <w:tcW w:type="dxa" w:w="813"/>
          </w:tcPr>
          <w:p>
            <w:pPr>
              <w:spacing w:before="60" w:after="60" w:line="240" w:lineRule="auto"/>
              <w:jc w:val="right"/>
            </w:pPr>
            <w:r/>
            <w:r>
              <w:rPr>
                <w:b w:val="0"/>
                <w:i w:val="0"/>
                <w:sz w:val="18"/>
              </w:rPr>
              <w:t>16</w:t>
            </w:r>
          </w:p>
        </w:tc>
        <w:tc>
          <w:tcPr>
            <w:tcW w:type="dxa" w:w="1822"/>
          </w:tcPr>
          <w:p>
            <w:pPr>
              <w:spacing w:before="60" w:after="60" w:line="240" w:lineRule="auto"/>
              <w:jc w:val="right"/>
            </w:pPr>
            <w:r/>
            <w:r>
              <w:rPr>
                <w:b w:val="0"/>
                <w:i w:val="0"/>
                <w:sz w:val="18"/>
              </w:rPr>
              <w:t>0.00285</w:t>
            </w:r>
          </w:p>
        </w:tc>
        <w:tc>
          <w:tcPr>
            <w:tcW w:type="dxa" w:w="813"/>
          </w:tcPr>
          <w:p>
            <w:pPr>
              <w:spacing w:before="60" w:after="60" w:line="240" w:lineRule="auto"/>
              <w:jc w:val="right"/>
            </w:pPr>
            <w:r/>
            <w:r>
              <w:rPr>
                <w:b w:val="0"/>
                <w:i w:val="0"/>
                <w:sz w:val="18"/>
              </w:rPr>
              <w:t>+0.85</w:t>
            </w:r>
          </w:p>
        </w:tc>
        <w:tc>
          <w:tcPr>
            <w:tcW w:type="dxa" w:w="1601"/>
          </w:tcPr>
          <w:p>
            <w:pPr>
              <w:spacing w:before="60" w:after="60" w:line="240" w:lineRule="auto"/>
            </w:pPr>
            <w:r/>
            <w:r>
              <w:rPr>
                <w:b w:val="0"/>
                <w:i w:val="0"/>
                <w:sz w:val="18"/>
              </w:rPr>
              <w:t>significant</w:t>
            </w:r>
          </w:p>
        </w:tc>
      </w:tr>
      <w:tr>
        <w:tc>
          <w:tcPr>
            <w:tcW w:type="dxa" w:w="3194"/>
          </w:tcPr>
          <w:p>
            <w:pPr>
              <w:spacing w:before="60" w:after="60" w:line="240" w:lineRule="auto"/>
            </w:pPr>
            <w:r/>
            <w:r>
              <w:rPr>
                <w:b w:val="0"/>
                <w:i w:val="0"/>
                <w:sz w:val="18"/>
              </w:rPr>
              <w:t>Content + MMR vs content only</w:t>
            </w:r>
          </w:p>
        </w:tc>
        <w:tc>
          <w:tcPr>
            <w:tcW w:type="dxa" w:w="827"/>
          </w:tcPr>
          <w:p>
            <w:pPr>
              <w:spacing w:before="60" w:after="60" w:line="240" w:lineRule="auto"/>
              <w:jc w:val="right"/>
            </w:pPr>
            <w:r/>
            <w:r>
              <w:rPr>
                <w:b w:val="0"/>
                <w:i w:val="0"/>
                <w:sz w:val="18"/>
              </w:rPr>
              <w:t>+0.053</w:t>
            </w:r>
          </w:p>
        </w:tc>
        <w:tc>
          <w:tcPr>
            <w:tcW w:type="dxa" w:w="813"/>
          </w:tcPr>
          <w:p>
            <w:pPr>
              <w:spacing w:before="60" w:after="60" w:line="240" w:lineRule="auto"/>
              <w:jc w:val="right"/>
            </w:pPr>
            <w:r/>
            <w:r>
              <w:rPr>
                <w:b w:val="0"/>
                <w:i w:val="0"/>
                <w:sz w:val="18"/>
              </w:rPr>
              <w:t>46</w:t>
            </w:r>
          </w:p>
        </w:tc>
        <w:tc>
          <w:tcPr>
            <w:tcW w:type="dxa" w:w="1822"/>
          </w:tcPr>
          <w:p>
            <w:pPr>
              <w:spacing w:before="60" w:after="60" w:line="240" w:lineRule="auto"/>
              <w:jc w:val="right"/>
            </w:pPr>
            <w:r/>
            <w:r>
              <w:rPr>
                <w:b w:val="0"/>
                <w:i w:val="0"/>
                <w:sz w:val="18"/>
              </w:rPr>
              <w:t>0.09536</w:t>
            </w:r>
          </w:p>
        </w:tc>
        <w:tc>
          <w:tcPr>
            <w:tcW w:type="dxa" w:w="813"/>
          </w:tcPr>
          <w:p>
            <w:pPr>
              <w:spacing w:before="60" w:after="60" w:line="240" w:lineRule="auto"/>
              <w:jc w:val="right"/>
            </w:pPr>
            <w:r/>
            <w:r>
              <w:rPr>
                <w:b w:val="0"/>
                <w:i w:val="0"/>
                <w:sz w:val="18"/>
              </w:rPr>
              <w:t>+0.28</w:t>
            </w:r>
          </w:p>
        </w:tc>
        <w:tc>
          <w:tcPr>
            <w:tcW w:type="dxa" w:w="1601"/>
          </w:tcPr>
          <w:p>
            <w:pPr>
              <w:spacing w:before="60" w:after="60" w:line="240" w:lineRule="auto"/>
            </w:pPr>
            <w:r/>
            <w:r>
              <w:rPr>
                <w:b w:val="0"/>
                <w:i w:val="0"/>
                <w:sz w:val="18"/>
              </w:rPr>
              <w:t>not significant</w:t>
            </w:r>
          </w:p>
        </w:tc>
      </w:tr>
      <w:tr>
        <w:tc>
          <w:tcPr>
            <w:tcW w:type="dxa" w:w="3194"/>
          </w:tcPr>
          <w:p>
            <w:pPr>
              <w:spacing w:before="60" w:after="60" w:line="240" w:lineRule="auto"/>
            </w:pPr>
            <w:r/>
            <w:r>
              <w:rPr>
                <w:b w:val="0"/>
                <w:i w:val="0"/>
                <w:sz w:val="18"/>
              </w:rPr>
              <w:t>Full cascade vs content only</w:t>
            </w:r>
          </w:p>
        </w:tc>
        <w:tc>
          <w:tcPr>
            <w:tcW w:type="dxa" w:w="827"/>
          </w:tcPr>
          <w:p>
            <w:pPr>
              <w:spacing w:before="60" w:after="60" w:line="240" w:lineRule="auto"/>
              <w:jc w:val="right"/>
            </w:pPr>
            <w:r/>
            <w:r>
              <w:rPr>
                <w:b w:val="0"/>
                <w:i w:val="0"/>
                <w:sz w:val="18"/>
              </w:rPr>
              <w:t>+0.046</w:t>
            </w:r>
          </w:p>
        </w:tc>
        <w:tc>
          <w:tcPr>
            <w:tcW w:type="dxa" w:w="813"/>
          </w:tcPr>
          <w:p>
            <w:pPr>
              <w:spacing w:before="60" w:after="60" w:line="240" w:lineRule="auto"/>
              <w:jc w:val="right"/>
            </w:pPr>
            <w:r/>
            <w:r>
              <w:rPr>
                <w:b w:val="0"/>
                <w:i w:val="0"/>
                <w:sz w:val="18"/>
              </w:rPr>
              <w:t>52</w:t>
            </w:r>
          </w:p>
        </w:tc>
        <w:tc>
          <w:tcPr>
            <w:tcW w:type="dxa" w:w="1822"/>
          </w:tcPr>
          <w:p>
            <w:pPr>
              <w:spacing w:before="60" w:after="60" w:line="240" w:lineRule="auto"/>
              <w:jc w:val="right"/>
            </w:pPr>
            <w:r/>
            <w:r>
              <w:rPr>
                <w:b w:val="0"/>
                <w:i w:val="0"/>
                <w:sz w:val="18"/>
              </w:rPr>
              <w:t>0.19510</w:t>
            </w:r>
          </w:p>
        </w:tc>
        <w:tc>
          <w:tcPr>
            <w:tcW w:type="dxa" w:w="813"/>
          </w:tcPr>
          <w:p>
            <w:pPr>
              <w:spacing w:before="60" w:after="60" w:line="240" w:lineRule="auto"/>
              <w:jc w:val="right"/>
            </w:pPr>
            <w:r/>
            <w:r>
              <w:rPr>
                <w:b w:val="0"/>
                <w:i w:val="0"/>
                <w:sz w:val="18"/>
              </w:rPr>
              <w:t>+0.21</w:t>
            </w:r>
          </w:p>
        </w:tc>
        <w:tc>
          <w:tcPr>
            <w:tcW w:type="dxa" w:w="1601"/>
          </w:tcPr>
          <w:p>
            <w:pPr>
              <w:spacing w:before="60" w:after="60" w:line="240" w:lineRule="auto"/>
            </w:pPr>
            <w:r/>
            <w:r>
              <w:rPr>
                <w:b w:val="0"/>
                <w:i w:val="0"/>
                <w:sz w:val="18"/>
              </w:rPr>
              <w:t>not significant</w:t>
            </w:r>
          </w:p>
        </w:tc>
      </w:tr>
    </w:tbl>
    <w:p>
      <w:pPr>
        <w:spacing w:after="0"/>
      </w:pPr>
    </w:p>
    <w:p>
      <w:pPr>
        <w:spacing w:before="80" w:after="280"/>
        <w:jc w:val="center"/>
      </w:pPr>
      <w:r>
        <w:rPr>
          <w:b w:val="0"/>
          <w:i/>
          <w:color w:val="5A524C"/>
          <w:sz w:val="18"/>
        </w:rPr>
        <w:t>Table 7. Full pairwise significance and effect sizes, reproduced by</w:t>
      </w:r>
      <w:r>
        <w:rPr>
          <w:b w:val="0"/>
          <w:i w:val="0"/>
          <w:color w:val="5A524C"/>
          <w:sz w:val="18"/>
        </w:rPr>
        <w:t xml:space="preserve"> </w:t>
      </w:r>
      <w:r>
        <w:rPr>
          <w:rFonts w:ascii="Consolas" w:hAnsi="Consolas"/>
          <w:b w:val="0"/>
          <w:i w:val="0"/>
          <w:color w:val="5A524C"/>
          <w:sz w:val="17"/>
        </w:rPr>
        <w:t>scripts/offline_eval.py</w:t>
      </w:r>
      <w:r>
        <w:rPr>
          <w:b w:val="0"/>
          <w:i/>
          <w:color w:val="5A524C"/>
          <w:sz w:val="18"/>
        </w:rPr>
        <w:t>.</w:t>
      </w:r>
    </w:p>
    <w:p>
      <w:r>
        <w:rPr>
          <w:b w:val="0"/>
          <w:i w:val="0"/>
        </w:rPr>
        <w:t xml:space="preserve">Holm's procedure sorts the six p-values ascending and compares the </w:t>
      </w:r>
      <w:r>
        <w:rPr>
          <w:b w:val="0"/>
          <w:i/>
        </w:rPr>
        <w:t>i</w:t>
      </w:r>
      <w:r>
        <w:rPr>
          <w:b w:val="0"/>
          <w:i w:val="0"/>
        </w:rPr>
        <w:t>-th against α/(m − i + 1) with m = 6, stopping at the first non-rejection. The four smallest p-values clear thresholds of 0.0083, 0.0100, 0.0125 and 0.0167 respectively; the fifth (0.09536) does not clear 0.025, so it and the sixth are retained. No conclusion in Section 5.5 changes under correction.</w:t>
      </w:r>
    </w:p>
    <w:p>
      <w:r>
        <w:rPr>
          <w:b/>
          <w:i w:val="0"/>
        </w:rPr>
        <w:t>Latency measurement conditions.</w:t>
      </w:r>
      <w:r>
        <w:rPr>
          <w:b w:val="0"/>
          <w:i w:val="0"/>
        </w:rPr>
        <w:t xml:space="preserve"> Tables 1 and 5 use "cold" differently and are not directly comparable. Table 1 is an A/B measurement of the candidate-pool cache alone: the pool cache is cleared inside a process whose feature, artist-tag and YouTube caches remain populated. Table 5 is a whole-process cold start with every cache empty, and </w:t>
      </w:r>
      <w:r>
        <w:rPr>
          <w:rFonts w:ascii="Consolas" w:hAnsi="Consolas"/>
          <w:b w:val="0"/>
          <w:i w:val="0"/>
          <w:sz w:val="20"/>
        </w:rPr>
        <w:t>/health</w:t>
      </w:r>
      <w:r>
        <w:rPr>
          <w:b w:val="0"/>
          <w:i w:val="0"/>
        </w:rPr>
        <w:t xml:space="preserve"> recorded MusicBrainz and AcousticBrainz as </w:t>
      </w:r>
      <w:r>
        <w:rPr>
          <w:b w:val="0"/>
          <w:i/>
        </w:rPr>
        <w:t>degraded</w:t>
      </w:r>
      <w:r>
        <w:rPr>
          <w:b w:val="0"/>
          <w:i w:val="0"/>
        </w:rPr>
        <w:t xml:space="preserve"> during that run, so the 155.4 s figure includes retry and exponential-backoff time against failing upstreams. It is a single worst-case sample (n = 1), not a median, and is reported as such. Raw timings are in </w:t>
      </w:r>
      <w:r>
        <w:rPr>
          <w:rFonts w:ascii="Consolas" w:hAnsi="Consolas"/>
          <w:b w:val="0"/>
          <w:i w:val="0"/>
          <w:sz w:val="20"/>
        </w:rPr>
        <w:t>docs/final-evidence/latency_benchmark.json</w:t>
      </w:r>
      <w:r>
        <w:rPr>
          <w:b w:val="0"/>
          <w:i w:val="0"/>
        </w:rPr>
        <w:t>.</w:t>
      </w:r>
    </w:p>
    <w:sectPr w:rsidR="00FC693F" w:rsidRPr="0006063C" w:rsidSect="00034616">
      <w:headerReference w:type="default" r:id="rId17"/>
      <w:footerReference w:type="default" r:id="rId18"/>
      <w:pgSz w:w="11906" w:h="16838"/>
      <w:pgMar w:top="1361"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24C"/>
        <w:sz w:val="18"/>
      </w:rPr>
    </w:r>
    <w:r>
      <w:rPr>
        <w:color w:val="5A524C"/>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BFB4"/>
      </w:pBdr>
    </w:pPr>
    <w:r/>
    <w:r>
      <w:rPr>
        <w:b w:val="0"/>
        <w:i w:val="0"/>
        <w:color w:val="5A524C"/>
        <w:sz w:val="16"/>
      </w:rPr>
      <w:t>NextTrack · CM3070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6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Georgia" w:hAnsi="Georgia"/>
      <w:b/>
      <w:bCs/>
      <w:color w:val="1A1614"/>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Georgia" w:hAnsi="Georgia"/>
      <w:b/>
      <w:bCs/>
      <w:color w:val="1A161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b/>
      <w:bCs/>
      <w:color w:val="5A524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