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23BE0" w14:textId="0ECAD669" w:rsidR="007B1698" w:rsidRPr="00437238" w:rsidRDefault="000C4D75" w:rsidP="007B1698">
      <w:pPr>
        <w:spacing w:line="240" w:lineRule="auto"/>
        <w:rPr>
          <w:b/>
          <w:color w:val="000000" w:themeColor="text1"/>
          <w:sz w:val="28"/>
          <w:szCs w:val="28"/>
        </w:rPr>
      </w:pPr>
      <w:bookmarkStart w:id="0" w:name="OLE_LINK1"/>
      <w:bookmarkStart w:id="1" w:name="OLE_LINK2"/>
      <w:r>
        <w:rPr>
          <w:b/>
          <w:color w:val="000000" w:themeColor="text1"/>
          <w:sz w:val="28"/>
          <w:szCs w:val="28"/>
        </w:rPr>
        <w:t>ASN1</w:t>
      </w:r>
      <w:r w:rsidR="007B1698" w:rsidRPr="00437238">
        <w:rPr>
          <w:b/>
          <w:color w:val="000000" w:themeColor="text1"/>
          <w:sz w:val="28"/>
          <w:szCs w:val="28"/>
        </w:rPr>
        <w:t xml:space="preserve"> </w:t>
      </w:r>
      <w:r>
        <w:rPr>
          <w:b/>
          <w:color w:val="000000" w:themeColor="text1"/>
          <w:sz w:val="28"/>
          <w:szCs w:val="28"/>
        </w:rPr>
        <w:t>Reading</w:t>
      </w:r>
    </w:p>
    <w:tbl>
      <w:tblPr>
        <w:tblStyle w:val="TableGrid"/>
        <w:tblW w:w="0" w:type="auto"/>
        <w:tblLook w:val="04A0" w:firstRow="1" w:lastRow="0" w:firstColumn="1" w:lastColumn="0" w:noHBand="0" w:noVBand="1"/>
      </w:tblPr>
      <w:tblGrid>
        <w:gridCol w:w="3235"/>
        <w:gridCol w:w="6115"/>
      </w:tblGrid>
      <w:tr w:rsidR="006B61AB" w14:paraId="3219411C" w14:textId="77777777" w:rsidTr="002624DA">
        <w:tc>
          <w:tcPr>
            <w:tcW w:w="3235" w:type="dxa"/>
            <w:tcBorders>
              <w:top w:val="single" w:sz="4" w:space="0" w:color="auto"/>
              <w:left w:val="single" w:sz="4" w:space="0" w:color="auto"/>
              <w:bottom w:val="single" w:sz="4" w:space="0" w:color="auto"/>
              <w:right w:val="single" w:sz="4" w:space="0" w:color="auto"/>
            </w:tcBorders>
            <w:hideMark/>
          </w:tcPr>
          <w:p w14:paraId="732BF029" w14:textId="77777777" w:rsidR="006B61AB" w:rsidRDefault="006B61AB" w:rsidP="002624DA">
            <w:pPr>
              <w:rPr>
                <w:rFonts w:ascii="Cambria" w:hAnsi="Cambria"/>
              </w:rPr>
            </w:pPr>
            <w:r>
              <w:rPr>
                <w:rFonts w:ascii="Cambria" w:hAnsi="Cambria"/>
              </w:rPr>
              <w:t>Student Name</w:t>
            </w:r>
          </w:p>
        </w:tc>
        <w:tc>
          <w:tcPr>
            <w:tcW w:w="6115" w:type="dxa"/>
            <w:tcBorders>
              <w:top w:val="single" w:sz="4" w:space="0" w:color="auto"/>
              <w:left w:val="single" w:sz="4" w:space="0" w:color="auto"/>
              <w:bottom w:val="single" w:sz="4" w:space="0" w:color="auto"/>
              <w:right w:val="single" w:sz="4" w:space="0" w:color="auto"/>
            </w:tcBorders>
          </w:tcPr>
          <w:p w14:paraId="77A939BF" w14:textId="0B6727B0" w:rsidR="006B61AB" w:rsidRDefault="00D504C0" w:rsidP="002624DA">
            <w:pPr>
              <w:rPr>
                <w:rFonts w:ascii="Cambria" w:hAnsi="Cambria"/>
              </w:rPr>
            </w:pPr>
            <w:r>
              <w:rPr>
                <w:rFonts w:ascii="Cambria" w:hAnsi="Cambria"/>
              </w:rPr>
              <w:t>Glen Joy</w:t>
            </w:r>
          </w:p>
        </w:tc>
      </w:tr>
    </w:tbl>
    <w:p w14:paraId="21165F81" w14:textId="77777777" w:rsidR="005C2D57" w:rsidRDefault="005C2D57" w:rsidP="007B1698">
      <w:pPr>
        <w:spacing w:line="240" w:lineRule="auto"/>
        <w:rPr>
          <w:color w:val="000000" w:themeColor="text1"/>
        </w:rPr>
      </w:pPr>
    </w:p>
    <w:p w14:paraId="6A6585EF" w14:textId="54046749" w:rsidR="007B1698" w:rsidRDefault="00FC36FE" w:rsidP="007B1698">
      <w:pPr>
        <w:spacing w:line="240" w:lineRule="auto"/>
        <w:rPr>
          <w:color w:val="000000" w:themeColor="text1"/>
        </w:rPr>
      </w:pPr>
      <w:r>
        <w:rPr>
          <w:color w:val="000000" w:themeColor="text1"/>
        </w:rPr>
        <w:t xml:space="preserve">Read the article up </w:t>
      </w:r>
      <w:r w:rsidR="00F13AE1">
        <w:rPr>
          <w:color w:val="000000" w:themeColor="text1"/>
        </w:rPr>
        <w:t xml:space="preserve">to 19 </w:t>
      </w:r>
      <w:proofErr w:type="gramStart"/>
      <w:r>
        <w:rPr>
          <w:color w:val="000000" w:themeColor="text1"/>
        </w:rPr>
        <w:t>p</w:t>
      </w:r>
      <w:r w:rsidR="00F13AE1">
        <w:rPr>
          <w:color w:val="000000" w:themeColor="text1"/>
        </w:rPr>
        <w:t>age</w:t>
      </w:r>
      <w:proofErr w:type="gramEnd"/>
      <w:r>
        <w:rPr>
          <w:color w:val="000000" w:themeColor="text1"/>
        </w:rPr>
        <w:t>, and answer for the followings:</w:t>
      </w:r>
    </w:p>
    <w:tbl>
      <w:tblPr>
        <w:tblStyle w:val="TableGrid"/>
        <w:tblW w:w="0" w:type="auto"/>
        <w:tblLook w:val="04A0" w:firstRow="1" w:lastRow="0" w:firstColumn="1" w:lastColumn="0" w:noHBand="0" w:noVBand="1"/>
      </w:tblPr>
      <w:tblGrid>
        <w:gridCol w:w="651"/>
        <w:gridCol w:w="8391"/>
      </w:tblGrid>
      <w:tr w:rsidR="00FC36FE" w14:paraId="0E51E5FB" w14:textId="77777777" w:rsidTr="00F13AE1">
        <w:trPr>
          <w:trHeight w:val="82"/>
        </w:trPr>
        <w:tc>
          <w:tcPr>
            <w:tcW w:w="465" w:type="dxa"/>
          </w:tcPr>
          <w:p w14:paraId="23A31A56" w14:textId="77777777" w:rsidR="00FC36FE" w:rsidRDefault="00FC36FE" w:rsidP="00F36D16">
            <w:r>
              <w:t>(1)</w:t>
            </w:r>
          </w:p>
        </w:tc>
        <w:tc>
          <w:tcPr>
            <w:tcW w:w="8391" w:type="dxa"/>
          </w:tcPr>
          <w:p w14:paraId="43361F0C" w14:textId="60528EC7" w:rsidR="00FC36FE" w:rsidRDefault="00F13AE1" w:rsidP="00F36D16">
            <w:r>
              <w:t>Write</w:t>
            </w:r>
            <w:r w:rsidR="00FC36FE">
              <w:t xml:space="preserve"> </w:t>
            </w:r>
            <w:r w:rsidR="00FC36FE" w:rsidRPr="00F10C7E">
              <w:rPr>
                <w:b/>
              </w:rPr>
              <w:t>one</w:t>
            </w:r>
            <w:r w:rsidR="00FC36FE">
              <w:rPr>
                <w:b/>
              </w:rPr>
              <w:t>/two</w:t>
            </w:r>
            <w:r w:rsidR="00FC36FE">
              <w:t xml:space="preserve"> sentence(s) to describe what this whole article about. </w:t>
            </w:r>
          </w:p>
        </w:tc>
      </w:tr>
      <w:tr w:rsidR="00FC36FE" w14:paraId="44E797FD" w14:textId="77777777" w:rsidTr="00F36D16">
        <w:tc>
          <w:tcPr>
            <w:tcW w:w="465" w:type="dxa"/>
          </w:tcPr>
          <w:p w14:paraId="76F080C2" w14:textId="73F94D59" w:rsidR="00FC36FE" w:rsidRDefault="008E5E66" w:rsidP="00F36D16">
            <w:r>
              <w:softHyphen/>
            </w:r>
            <w:r>
              <w:softHyphen/>
            </w:r>
            <w:r>
              <w:softHyphen/>
            </w:r>
            <w:r>
              <w:softHyphen/>
            </w:r>
            <w:r>
              <w:softHyphen/>
            </w:r>
            <w:r>
              <w:softHyphen/>
            </w:r>
            <w:r>
              <w:softHyphen/>
            </w:r>
            <w:r>
              <w:softHyphen/>
            </w:r>
            <w:r>
              <w:softHyphen/>
            </w:r>
            <w:r>
              <w:softHyphen/>
              <w:t>(3pt)</w:t>
            </w:r>
          </w:p>
        </w:tc>
        <w:tc>
          <w:tcPr>
            <w:tcW w:w="8391" w:type="dxa"/>
          </w:tcPr>
          <w:p w14:paraId="30E8C936" w14:textId="61B05C86" w:rsidR="00FC36FE" w:rsidRDefault="00FC36FE" w:rsidP="00F36D16">
            <w:r>
              <w:t>Answer:</w:t>
            </w:r>
            <w:r w:rsidR="00D504C0">
              <w:t xml:space="preserve"> The whole article describe</w:t>
            </w:r>
            <w:r w:rsidR="00817115">
              <w:t xml:space="preserve">s emerging technologies, trends, and practices which could be implemented to shape visitor experiences in museums.  They are divided by short, mid, and long-term categories based on expected adoption into the mainstream. </w:t>
            </w:r>
          </w:p>
          <w:p w14:paraId="6D7BE405" w14:textId="77777777" w:rsidR="00FC36FE" w:rsidRDefault="00FC36FE" w:rsidP="00F36D16"/>
        </w:tc>
      </w:tr>
      <w:tr w:rsidR="00FC36FE" w14:paraId="685EC056" w14:textId="77777777" w:rsidTr="00F36D16">
        <w:tc>
          <w:tcPr>
            <w:tcW w:w="465" w:type="dxa"/>
          </w:tcPr>
          <w:p w14:paraId="03BEAEA3" w14:textId="77777777" w:rsidR="00FC36FE" w:rsidRDefault="00FC36FE" w:rsidP="00F36D16">
            <w:r>
              <w:t>(2)</w:t>
            </w:r>
          </w:p>
        </w:tc>
        <w:tc>
          <w:tcPr>
            <w:tcW w:w="8391" w:type="dxa"/>
          </w:tcPr>
          <w:p w14:paraId="0542A273" w14:textId="7A1B1E9F" w:rsidR="00FC36FE" w:rsidRDefault="00F13AE1" w:rsidP="00F36D16">
            <w:r>
              <w:t>Write</w:t>
            </w:r>
            <w:r w:rsidR="00FC36FE">
              <w:t xml:space="preserve"> </w:t>
            </w:r>
            <w:r w:rsidR="00FC36FE" w:rsidRPr="00F10C7E">
              <w:rPr>
                <w:b/>
              </w:rPr>
              <w:t>one/two</w:t>
            </w:r>
            <w:r w:rsidR="00FC36FE">
              <w:t xml:space="preserve"> sentence(s) to explain the </w:t>
            </w:r>
            <w:r w:rsidRPr="00F13AE1">
              <w:t>Long-Term Trends</w:t>
            </w:r>
            <w:r w:rsidR="00FC36FE">
              <w:t>.</w:t>
            </w:r>
          </w:p>
        </w:tc>
      </w:tr>
      <w:tr w:rsidR="00FC36FE" w14:paraId="72FF971A" w14:textId="77777777" w:rsidTr="00F36D16">
        <w:tc>
          <w:tcPr>
            <w:tcW w:w="465" w:type="dxa"/>
          </w:tcPr>
          <w:p w14:paraId="160583AE" w14:textId="2E72DE49" w:rsidR="00FC36FE" w:rsidRDefault="008E5E66" w:rsidP="00F36D16">
            <w:r>
              <w:softHyphen/>
            </w:r>
            <w:r>
              <w:softHyphen/>
            </w:r>
            <w:r>
              <w:softHyphen/>
            </w:r>
            <w:r>
              <w:softHyphen/>
            </w:r>
            <w:r>
              <w:softHyphen/>
            </w:r>
            <w:r>
              <w:softHyphen/>
            </w:r>
            <w:r>
              <w:softHyphen/>
            </w:r>
            <w:r>
              <w:softHyphen/>
            </w:r>
            <w:r>
              <w:softHyphen/>
            </w:r>
            <w:r>
              <w:softHyphen/>
              <w:t>(2pt)</w:t>
            </w:r>
          </w:p>
        </w:tc>
        <w:tc>
          <w:tcPr>
            <w:tcW w:w="8391" w:type="dxa"/>
          </w:tcPr>
          <w:p w14:paraId="448BA6EE" w14:textId="0F55BE43" w:rsidR="00FC36FE" w:rsidRDefault="00FC36FE" w:rsidP="00F36D16">
            <w:r>
              <w:t>Answer:</w:t>
            </w:r>
            <w:r w:rsidR="00817115">
              <w:t xml:space="preserve">  </w:t>
            </w:r>
            <w:r w:rsidR="00264CB1">
              <w:t>The two long term trends analyzed in this report are cross-institution</w:t>
            </w:r>
            <w:r w:rsidR="002435CF">
              <w:t xml:space="preserve">al </w:t>
            </w:r>
            <w:r w:rsidR="00264CB1">
              <w:t xml:space="preserve">collaboration and </w:t>
            </w:r>
            <w:r w:rsidR="002435CF">
              <w:t xml:space="preserve">newer roles for museum professionals. Cross-institutional collaboration </w:t>
            </w:r>
            <w:r w:rsidR="00AE7307">
              <w:t>allows museums and other organizations to cost effectively share technology resources and information.</w:t>
            </w:r>
            <w:r w:rsidR="00D47270">
              <w:t xml:space="preserve"> Over time, museums have developed from their roles of simply supplying information to becoming centers of community involvement, audience engagement, and advocates for social change. This creates new roles for museum professionals. </w:t>
            </w:r>
          </w:p>
          <w:p w14:paraId="3C8FC82F" w14:textId="77777777" w:rsidR="00FC36FE" w:rsidRDefault="00FC36FE" w:rsidP="00F36D16"/>
        </w:tc>
      </w:tr>
      <w:tr w:rsidR="00FC36FE" w14:paraId="38E7BDB4" w14:textId="77777777" w:rsidTr="00F36D16">
        <w:tc>
          <w:tcPr>
            <w:tcW w:w="465" w:type="dxa"/>
          </w:tcPr>
          <w:p w14:paraId="5254AD17" w14:textId="77777777" w:rsidR="00FC36FE" w:rsidRDefault="00FC36FE" w:rsidP="00F36D16">
            <w:r>
              <w:t>(3)</w:t>
            </w:r>
          </w:p>
        </w:tc>
        <w:tc>
          <w:tcPr>
            <w:tcW w:w="8391" w:type="dxa"/>
          </w:tcPr>
          <w:p w14:paraId="18B0277E" w14:textId="7D72B192" w:rsidR="00FC36FE" w:rsidRDefault="00F13AE1" w:rsidP="00F36D16">
            <w:r>
              <w:t xml:space="preserve">Write </w:t>
            </w:r>
            <w:r w:rsidRPr="00F10C7E">
              <w:rPr>
                <w:b/>
              </w:rPr>
              <w:t>one/two</w:t>
            </w:r>
            <w:r>
              <w:t xml:space="preserve"> sentence(s) to explain the Mid</w:t>
            </w:r>
            <w:r w:rsidRPr="00F13AE1">
              <w:t>-Term Trends</w:t>
            </w:r>
            <w:r>
              <w:t>.</w:t>
            </w:r>
          </w:p>
        </w:tc>
      </w:tr>
      <w:tr w:rsidR="00FC36FE" w14:paraId="0F27493F" w14:textId="77777777" w:rsidTr="00F36D16">
        <w:tc>
          <w:tcPr>
            <w:tcW w:w="465" w:type="dxa"/>
          </w:tcPr>
          <w:p w14:paraId="2D656D52" w14:textId="14BD26B6" w:rsidR="00FC36FE" w:rsidRDefault="008E5E66" w:rsidP="00F36D16">
            <w:r>
              <w:softHyphen/>
            </w:r>
            <w:r>
              <w:softHyphen/>
            </w:r>
            <w:r>
              <w:softHyphen/>
            </w:r>
            <w:r>
              <w:softHyphen/>
            </w:r>
            <w:r>
              <w:softHyphen/>
            </w:r>
            <w:r>
              <w:softHyphen/>
            </w:r>
            <w:r>
              <w:softHyphen/>
            </w:r>
            <w:r>
              <w:softHyphen/>
            </w:r>
            <w:r>
              <w:softHyphen/>
            </w:r>
            <w:r>
              <w:softHyphen/>
              <w:t>(2pt)</w:t>
            </w:r>
          </w:p>
        </w:tc>
        <w:tc>
          <w:tcPr>
            <w:tcW w:w="8391" w:type="dxa"/>
          </w:tcPr>
          <w:p w14:paraId="271FAED8" w14:textId="3831F57D" w:rsidR="00FC36FE" w:rsidRDefault="00FC36FE" w:rsidP="00F36D16">
            <w:r>
              <w:t>Answer:</w:t>
            </w:r>
            <w:r w:rsidR="00D47270">
              <w:t xml:space="preserve"> The two mid term trends analyzed in this report are data analytics and personalization. </w:t>
            </w:r>
            <w:r w:rsidR="00EA0492">
              <w:t xml:space="preserve">With high amounts of data and information entering and exiting museums, data analysis is necessary to process data, identify trends, and make predictions. </w:t>
            </w:r>
            <w:r w:rsidR="006416FB">
              <w:t>Emerging technology is currently helping museums perform such data analysis. Personali</w:t>
            </w:r>
            <w:r w:rsidR="00EF66F7">
              <w:t xml:space="preserve">zed museum experiences are highly desired by museum visitors and can be greatly achieved </w:t>
            </w:r>
            <w:r w:rsidR="000C4D86">
              <w:t xml:space="preserve">through a museum’s digital presence. </w:t>
            </w:r>
          </w:p>
          <w:p w14:paraId="0B030D70" w14:textId="77777777" w:rsidR="00FC36FE" w:rsidRDefault="00FC36FE" w:rsidP="00F36D16"/>
        </w:tc>
      </w:tr>
      <w:tr w:rsidR="00FC36FE" w14:paraId="605EF2BF" w14:textId="77777777" w:rsidTr="00F36D16">
        <w:tc>
          <w:tcPr>
            <w:tcW w:w="465" w:type="dxa"/>
          </w:tcPr>
          <w:p w14:paraId="7131BB45" w14:textId="77777777" w:rsidR="00FC36FE" w:rsidRDefault="00FC36FE" w:rsidP="00F36D16">
            <w:r>
              <w:t>(4)</w:t>
            </w:r>
          </w:p>
        </w:tc>
        <w:tc>
          <w:tcPr>
            <w:tcW w:w="8391" w:type="dxa"/>
          </w:tcPr>
          <w:p w14:paraId="00FC0BD7" w14:textId="34132759" w:rsidR="00FC36FE" w:rsidRDefault="00F13AE1" w:rsidP="00F36D16">
            <w:r>
              <w:t xml:space="preserve">Write </w:t>
            </w:r>
            <w:r w:rsidRPr="00F10C7E">
              <w:rPr>
                <w:b/>
              </w:rPr>
              <w:t>one/two</w:t>
            </w:r>
            <w:r>
              <w:t xml:space="preserve"> sentence(s) to explain the Short</w:t>
            </w:r>
            <w:r w:rsidRPr="00F13AE1">
              <w:t>-Term Trends</w:t>
            </w:r>
            <w:r>
              <w:t>.</w:t>
            </w:r>
          </w:p>
        </w:tc>
      </w:tr>
      <w:tr w:rsidR="00FC36FE" w14:paraId="5BF2B883" w14:textId="77777777" w:rsidTr="00F36D16">
        <w:tc>
          <w:tcPr>
            <w:tcW w:w="465" w:type="dxa"/>
          </w:tcPr>
          <w:p w14:paraId="359379B5" w14:textId="2E77EC2B" w:rsidR="00FC36FE" w:rsidRDefault="008E5E66" w:rsidP="00F36D16">
            <w:r>
              <w:softHyphen/>
            </w:r>
            <w:r>
              <w:softHyphen/>
            </w:r>
            <w:r>
              <w:softHyphen/>
            </w:r>
            <w:r>
              <w:softHyphen/>
            </w:r>
            <w:r>
              <w:softHyphen/>
            </w:r>
            <w:r>
              <w:softHyphen/>
            </w:r>
            <w:r>
              <w:softHyphen/>
            </w:r>
            <w:r>
              <w:softHyphen/>
            </w:r>
            <w:r>
              <w:softHyphen/>
            </w:r>
            <w:r>
              <w:softHyphen/>
              <w:t>(2pt)</w:t>
            </w:r>
          </w:p>
        </w:tc>
        <w:tc>
          <w:tcPr>
            <w:tcW w:w="8391" w:type="dxa"/>
          </w:tcPr>
          <w:p w14:paraId="1D512AD4" w14:textId="70746F1D" w:rsidR="00FC36FE" w:rsidRDefault="00FC36FE" w:rsidP="00F36D16">
            <w:r>
              <w:t>Answer:</w:t>
            </w:r>
            <w:r w:rsidR="000C4D86">
              <w:t xml:space="preserve"> The two short term trends analyzed in this report are mobile content delivery and participatory experiences. Mobile content delivery entails utilizing smartphones to better information access to visitors such as through web and mobile app services. Participatory experiences </w:t>
            </w:r>
            <w:r w:rsidR="00B1154A">
              <w:t xml:space="preserve">are ways through which museums can enable the community to become engaged and contribute to the museum, particularly through technology mediums. </w:t>
            </w:r>
          </w:p>
          <w:p w14:paraId="4DE4C1FC" w14:textId="77777777" w:rsidR="00FC36FE" w:rsidRDefault="00FC36FE" w:rsidP="00F36D16"/>
        </w:tc>
      </w:tr>
      <w:tr w:rsidR="00FC36FE" w14:paraId="7AA7465E" w14:textId="77777777" w:rsidTr="00F36D16">
        <w:tc>
          <w:tcPr>
            <w:tcW w:w="465" w:type="dxa"/>
          </w:tcPr>
          <w:p w14:paraId="099D5CE0" w14:textId="77777777" w:rsidR="00FC36FE" w:rsidRDefault="00FC36FE" w:rsidP="00F36D16">
            <w:r>
              <w:lastRenderedPageBreak/>
              <w:t>(5)</w:t>
            </w:r>
          </w:p>
        </w:tc>
        <w:tc>
          <w:tcPr>
            <w:tcW w:w="8391" w:type="dxa"/>
          </w:tcPr>
          <w:p w14:paraId="34AD6277" w14:textId="40FD6B42" w:rsidR="00FC36FE" w:rsidRDefault="00F13AE1" w:rsidP="00F36D16">
            <w:r>
              <w:t xml:space="preserve">Develop </w:t>
            </w:r>
            <w:r w:rsidRPr="00F10C7E">
              <w:rPr>
                <w:b/>
              </w:rPr>
              <w:t>one/two</w:t>
            </w:r>
            <w:r>
              <w:t xml:space="preserve"> discussion questions regarding </w:t>
            </w:r>
            <w:r w:rsidRPr="00F13AE1">
              <w:t>Long-Term Trends</w:t>
            </w:r>
          </w:p>
        </w:tc>
      </w:tr>
      <w:tr w:rsidR="00FC36FE" w14:paraId="469D7FD6" w14:textId="77777777" w:rsidTr="00F36D16">
        <w:tc>
          <w:tcPr>
            <w:tcW w:w="465" w:type="dxa"/>
          </w:tcPr>
          <w:p w14:paraId="7E438DDD" w14:textId="6731922C" w:rsidR="00FC36FE" w:rsidRDefault="008E5E66" w:rsidP="00F36D16">
            <w:r>
              <w:softHyphen/>
            </w:r>
            <w:r>
              <w:softHyphen/>
            </w:r>
            <w:r>
              <w:softHyphen/>
            </w:r>
            <w:r>
              <w:softHyphen/>
            </w:r>
            <w:r>
              <w:softHyphen/>
            </w:r>
            <w:r>
              <w:softHyphen/>
            </w:r>
            <w:r>
              <w:softHyphen/>
            </w:r>
            <w:r>
              <w:softHyphen/>
            </w:r>
            <w:r>
              <w:softHyphen/>
            </w:r>
            <w:r>
              <w:softHyphen/>
              <w:t>(2pt)</w:t>
            </w:r>
          </w:p>
        </w:tc>
        <w:tc>
          <w:tcPr>
            <w:tcW w:w="8391" w:type="dxa"/>
          </w:tcPr>
          <w:p w14:paraId="07A83179" w14:textId="61B5D8D5" w:rsidR="00FC36FE" w:rsidRDefault="00FC36FE" w:rsidP="00F36D16">
            <w:r>
              <w:t>Answer:</w:t>
            </w:r>
            <w:r w:rsidR="00B1154A">
              <w:t xml:space="preserve"> How can museums establish sustainable cross-institutional relationships with other organizations? </w:t>
            </w:r>
          </w:p>
          <w:p w14:paraId="5A7E9EC3" w14:textId="7809BE55" w:rsidR="00FC36FE" w:rsidRDefault="00B1154A" w:rsidP="00F36D16">
            <w:r>
              <w:t>How can museums train their professionals to fit newer roles?</w:t>
            </w:r>
          </w:p>
        </w:tc>
      </w:tr>
      <w:tr w:rsidR="00F13AE1" w14:paraId="1B7ED758" w14:textId="77777777" w:rsidTr="00F36D16">
        <w:tc>
          <w:tcPr>
            <w:tcW w:w="465" w:type="dxa"/>
          </w:tcPr>
          <w:p w14:paraId="233E0092" w14:textId="77777777" w:rsidR="00F13AE1" w:rsidRDefault="00F13AE1" w:rsidP="00F13AE1">
            <w:r>
              <w:t>(6)</w:t>
            </w:r>
          </w:p>
        </w:tc>
        <w:tc>
          <w:tcPr>
            <w:tcW w:w="8391" w:type="dxa"/>
          </w:tcPr>
          <w:p w14:paraId="19D85698" w14:textId="271DE596" w:rsidR="00F13AE1" w:rsidRDefault="00F13AE1" w:rsidP="00F13AE1">
            <w:r>
              <w:t xml:space="preserve">Develop </w:t>
            </w:r>
            <w:r w:rsidRPr="00F10C7E">
              <w:rPr>
                <w:b/>
              </w:rPr>
              <w:t>one/two</w:t>
            </w:r>
            <w:r>
              <w:t xml:space="preserve"> discussion questions regarding Mid</w:t>
            </w:r>
            <w:r w:rsidRPr="00F13AE1">
              <w:t>-Term Trends</w:t>
            </w:r>
          </w:p>
        </w:tc>
      </w:tr>
      <w:tr w:rsidR="00F13AE1" w14:paraId="36C3BB19" w14:textId="77777777" w:rsidTr="00F36D16">
        <w:tc>
          <w:tcPr>
            <w:tcW w:w="465" w:type="dxa"/>
          </w:tcPr>
          <w:p w14:paraId="6C180170" w14:textId="235739DF" w:rsidR="00F13AE1" w:rsidRDefault="008E5E66" w:rsidP="00F13AE1">
            <w:r>
              <w:softHyphen/>
            </w:r>
            <w:r>
              <w:softHyphen/>
            </w:r>
            <w:r>
              <w:softHyphen/>
            </w:r>
            <w:r>
              <w:softHyphen/>
            </w:r>
            <w:r>
              <w:softHyphen/>
            </w:r>
            <w:r>
              <w:softHyphen/>
            </w:r>
            <w:r>
              <w:softHyphen/>
            </w:r>
            <w:r>
              <w:softHyphen/>
            </w:r>
            <w:r>
              <w:softHyphen/>
            </w:r>
            <w:r>
              <w:softHyphen/>
              <w:t>(2pt)</w:t>
            </w:r>
          </w:p>
        </w:tc>
        <w:tc>
          <w:tcPr>
            <w:tcW w:w="8391" w:type="dxa"/>
          </w:tcPr>
          <w:p w14:paraId="45568BC1" w14:textId="3BF51481" w:rsidR="00F13AE1" w:rsidRDefault="00F13AE1" w:rsidP="00F13AE1">
            <w:r>
              <w:t>Answer:</w:t>
            </w:r>
            <w:r w:rsidR="00B1154A">
              <w:t xml:space="preserve"> How can museums utilize new technology such as artificial intelligence to support their data analytic needs?</w:t>
            </w:r>
          </w:p>
          <w:p w14:paraId="44206BE2" w14:textId="518519B0" w:rsidR="00B1154A" w:rsidRDefault="00B1154A" w:rsidP="00F13AE1">
            <w:r>
              <w:t>What technologies can museums use to better visitor personalization?</w:t>
            </w:r>
          </w:p>
          <w:p w14:paraId="243C422F" w14:textId="77777777" w:rsidR="00F13AE1" w:rsidRDefault="00F13AE1" w:rsidP="00F13AE1"/>
        </w:tc>
      </w:tr>
      <w:tr w:rsidR="00F13AE1" w14:paraId="49FCE4D6" w14:textId="77777777" w:rsidTr="00F13AE1">
        <w:tc>
          <w:tcPr>
            <w:tcW w:w="465" w:type="dxa"/>
          </w:tcPr>
          <w:p w14:paraId="626A6B4F" w14:textId="535D9E67" w:rsidR="00F13AE1" w:rsidRDefault="00F13AE1" w:rsidP="00F36D16">
            <w:r>
              <w:t>(7)</w:t>
            </w:r>
          </w:p>
        </w:tc>
        <w:tc>
          <w:tcPr>
            <w:tcW w:w="8391" w:type="dxa"/>
          </w:tcPr>
          <w:p w14:paraId="27A397A2" w14:textId="2F2B31AF" w:rsidR="00F13AE1" w:rsidRDefault="00F13AE1" w:rsidP="00F36D16">
            <w:r>
              <w:t xml:space="preserve">Develop </w:t>
            </w:r>
            <w:r w:rsidRPr="00F10C7E">
              <w:rPr>
                <w:b/>
              </w:rPr>
              <w:t>one/two</w:t>
            </w:r>
            <w:r>
              <w:t xml:space="preserve"> discussion questions regarding Short</w:t>
            </w:r>
            <w:r w:rsidRPr="00F13AE1">
              <w:t>-Term Trends</w:t>
            </w:r>
          </w:p>
        </w:tc>
      </w:tr>
      <w:tr w:rsidR="00F13AE1" w14:paraId="1D437D6C" w14:textId="77777777" w:rsidTr="00F13AE1">
        <w:tc>
          <w:tcPr>
            <w:tcW w:w="465" w:type="dxa"/>
          </w:tcPr>
          <w:p w14:paraId="05E3CE6C" w14:textId="25727FFE" w:rsidR="00F13AE1" w:rsidRDefault="008E5E66" w:rsidP="00F36D16">
            <w:r>
              <w:softHyphen/>
            </w:r>
            <w:r>
              <w:softHyphen/>
            </w:r>
            <w:r>
              <w:softHyphen/>
            </w:r>
            <w:r>
              <w:softHyphen/>
            </w:r>
            <w:r>
              <w:softHyphen/>
            </w:r>
            <w:r>
              <w:softHyphen/>
            </w:r>
            <w:r>
              <w:softHyphen/>
            </w:r>
            <w:r>
              <w:softHyphen/>
            </w:r>
            <w:r>
              <w:softHyphen/>
            </w:r>
            <w:r>
              <w:softHyphen/>
              <w:t>(2pt)</w:t>
            </w:r>
          </w:p>
        </w:tc>
        <w:tc>
          <w:tcPr>
            <w:tcW w:w="8391" w:type="dxa"/>
          </w:tcPr>
          <w:p w14:paraId="7E8B2D9A" w14:textId="5F05CC9D" w:rsidR="00B1154A" w:rsidRDefault="00F13AE1" w:rsidP="00F36D16">
            <w:r>
              <w:t>Answer:</w:t>
            </w:r>
            <w:r w:rsidR="00B1154A">
              <w:t xml:space="preserve"> What features could be included in a mobile application for a museum to better its mobile content delivery to visitors?</w:t>
            </w:r>
          </w:p>
          <w:p w14:paraId="7C879539" w14:textId="2BC709A9" w:rsidR="00B1154A" w:rsidRDefault="00B1154A" w:rsidP="00F36D16">
            <w:r>
              <w:t>What digital technology could museums use to create participatory experiences for its visitors?</w:t>
            </w:r>
            <w:bookmarkStart w:id="2" w:name="_GoBack"/>
            <w:bookmarkEnd w:id="2"/>
          </w:p>
          <w:p w14:paraId="66DF3D67" w14:textId="77777777" w:rsidR="00F13AE1" w:rsidRDefault="00F13AE1" w:rsidP="00F36D16"/>
        </w:tc>
      </w:tr>
      <w:bookmarkEnd w:id="0"/>
      <w:bookmarkEnd w:id="1"/>
    </w:tbl>
    <w:p w14:paraId="31ED06B0" w14:textId="77777777" w:rsidR="00FC36FE" w:rsidRPr="00B34469" w:rsidRDefault="00FC36FE" w:rsidP="007B1698">
      <w:pPr>
        <w:spacing w:line="240" w:lineRule="auto"/>
        <w:rPr>
          <w:color w:val="000000" w:themeColor="text1"/>
          <w:u w:val="single"/>
        </w:rPr>
      </w:pPr>
    </w:p>
    <w:sectPr w:rsidR="00FC36FE" w:rsidRPr="00B34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698"/>
    <w:rsid w:val="000C4D75"/>
    <w:rsid w:val="000C4D86"/>
    <w:rsid w:val="00162C7C"/>
    <w:rsid w:val="002435CF"/>
    <w:rsid w:val="00264CB1"/>
    <w:rsid w:val="00437238"/>
    <w:rsid w:val="005C2D57"/>
    <w:rsid w:val="005E704C"/>
    <w:rsid w:val="006416FB"/>
    <w:rsid w:val="0064558B"/>
    <w:rsid w:val="006B61AB"/>
    <w:rsid w:val="006B7D33"/>
    <w:rsid w:val="006D2253"/>
    <w:rsid w:val="007B1698"/>
    <w:rsid w:val="00817115"/>
    <w:rsid w:val="008A034E"/>
    <w:rsid w:val="008E5E66"/>
    <w:rsid w:val="00A86E2E"/>
    <w:rsid w:val="00A90687"/>
    <w:rsid w:val="00AE7307"/>
    <w:rsid w:val="00AF183E"/>
    <w:rsid w:val="00B1154A"/>
    <w:rsid w:val="00B34469"/>
    <w:rsid w:val="00C45E4A"/>
    <w:rsid w:val="00D47270"/>
    <w:rsid w:val="00D504C0"/>
    <w:rsid w:val="00E56434"/>
    <w:rsid w:val="00EA0492"/>
    <w:rsid w:val="00EF66F7"/>
    <w:rsid w:val="00F13AE1"/>
    <w:rsid w:val="00F55603"/>
    <w:rsid w:val="00FC36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6BCD5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1698"/>
    <w:pPr>
      <w:spacing w:after="200" w:line="276" w:lineRule="auto"/>
    </w:pPr>
    <w:rPr>
      <w:rFonts w:eastAsiaTheme="minorEastAsia"/>
      <w:sz w:val="22"/>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1698"/>
    <w:rPr>
      <w:rFonts w:eastAsiaTheme="minorEastAsia"/>
      <w:sz w:val="22"/>
      <w:szCs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682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Glen Stanly Joy</cp:lastModifiedBy>
  <cp:revision>2</cp:revision>
  <dcterms:created xsi:type="dcterms:W3CDTF">2019-02-07T02:52:00Z</dcterms:created>
  <dcterms:modified xsi:type="dcterms:W3CDTF">2019-02-07T02:52:00Z</dcterms:modified>
</cp:coreProperties>
</file>