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D3E" w:rsidRDefault="00A53DE6">
      <w:r w:rsidRPr="00A53DE6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5.85pt;margin-top:16.95pt;width:297.75pt;height:143.95pt;z-index:251664384;mso-width-relative:margin;mso-height-relative:margin">
            <v:textbox style="mso-next-textbox:#_x0000_s1028">
              <w:txbxContent>
                <w:p w:rsidR="0083673E" w:rsidRPr="00B42064" w:rsidRDefault="00B4206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B42064"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</w:t>
                  </w:r>
                  <w:r w:rsidRPr="00B42064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En 1995 se sancionó la Ley de Educación Superior, que es la primera que regula al conjunto de instituciones de formación superior, sean universitarias o no.; esta ley se sancionó </w:t>
                  </w:r>
                  <w:r w:rsidR="005F7E54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en el mes de julio, </w:t>
                  </w:r>
                  <w:r w:rsidR="005F7E54">
                    <w:rPr>
                      <w:rFonts w:ascii="Arial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="005F7E54" w:rsidRPr="005F7E54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>por iniciativa del Gobierno nacional, en medio de una profunda crisis socioeconómica que empezaba a revelar los efectos negativos de las políticas implementadas por Carlos Menem, Domingo Cavallo y compañía</w:t>
                  </w:r>
                  <w:r w:rsidR="005F7E54">
                    <w:rPr>
                      <w:rFonts w:ascii="Arial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  <w:p w:rsidR="00AA0A0F" w:rsidRPr="00E97D3E" w:rsidRDefault="00AA0A0F"/>
              </w:txbxContent>
            </v:textbox>
          </v:shape>
        </w:pict>
      </w:r>
      <w:r w:rsidRPr="00A53DE6">
        <w:rPr>
          <w:noProof/>
          <w:lang w:val="es-ES"/>
        </w:rPr>
        <w:pict>
          <v:shape id="_x0000_s1030" type="#_x0000_t202" style="position:absolute;margin-left:-31pt;margin-top:16.95pt;width:186.85pt;height:143.95pt;z-index:251666432;mso-width-relative:margin;mso-height-relative:margin">
            <v:textbox style="mso-next-textbox:#_x0000_s1030">
              <w:txbxContent>
                <w:p w:rsidR="001D7221" w:rsidRDefault="001D7221">
                  <w:pPr>
                    <w:rPr>
                      <w:sz w:val="24"/>
                      <w:szCs w:val="24"/>
                      <w:lang w:val="es-ES"/>
                    </w:rPr>
                  </w:pPr>
                </w:p>
                <w:p w:rsidR="009115A9" w:rsidRDefault="001D7221">
                  <w:pPr>
                    <w:rPr>
                      <w:sz w:val="24"/>
                      <w:szCs w:val="24"/>
                      <w:lang w:val="es-ES"/>
                    </w:rPr>
                  </w:pPr>
                  <w:r w:rsidRPr="001D7221">
                    <w:rPr>
                      <w:sz w:val="24"/>
                      <w:szCs w:val="24"/>
                      <w:lang w:val="es-ES"/>
                    </w:rPr>
                    <w:t xml:space="preserve">Fecha de sanción/ promulgación </w:t>
                  </w:r>
                </w:p>
                <w:p w:rsidR="001D7221" w:rsidRDefault="001D7221">
                  <w:pPr>
                    <w:rPr>
                      <w:sz w:val="24"/>
                      <w:szCs w:val="24"/>
                      <w:lang w:val="es-ES"/>
                    </w:rPr>
                  </w:pPr>
                </w:p>
                <w:p w:rsidR="001D7221" w:rsidRPr="001D7221" w:rsidRDefault="001D7221">
                  <w:pPr>
                    <w:rPr>
                      <w:sz w:val="24"/>
                      <w:szCs w:val="24"/>
                      <w:lang w:val="es-ES"/>
                    </w:rPr>
                  </w:pPr>
                </w:p>
              </w:txbxContent>
            </v:textbox>
          </v:shape>
        </w:pict>
      </w:r>
      <w:r w:rsidRPr="00A53DE6">
        <w:rPr>
          <w:noProof/>
          <w:lang w:val="es-ES"/>
        </w:rPr>
        <w:pict>
          <v:shape id="_x0000_s1027" type="#_x0000_t202" style="position:absolute;margin-left:156.3pt;margin-top:-16.25pt;width:297.3pt;height:34.8pt;z-index:251662336;mso-width-relative:margin;mso-height-relative:margin">
            <v:textbox style="mso-next-textbox:#_x0000_s1027">
              <w:txbxContent>
                <w:p w:rsidR="00E97D3E" w:rsidRPr="00E97D3E" w:rsidRDefault="0083673E" w:rsidP="0083673E">
                  <w:pPr>
                    <w:rPr>
                      <w:sz w:val="24"/>
                      <w:lang w:val="es-ES"/>
                    </w:rPr>
                  </w:pPr>
                  <w:r>
                    <w:rPr>
                      <w:sz w:val="24"/>
                      <w:lang w:val="es-ES"/>
                    </w:rPr>
                    <w:t xml:space="preserve">Ley de Educación Superior </w:t>
                  </w:r>
                </w:p>
              </w:txbxContent>
            </v:textbox>
          </v:shape>
        </w:pict>
      </w:r>
      <w:r w:rsidRPr="00A53DE6">
        <w:rPr>
          <w:noProof/>
          <w:lang w:val="es-ES"/>
        </w:rPr>
        <w:pict>
          <v:shape id="_x0000_s1026" type="#_x0000_t202" style="position:absolute;margin-left:-31pt;margin-top:-16.25pt;width:188.5pt;height:34.8pt;z-index:251660288;mso-width-relative:margin;mso-height-relative:margin">
            <v:textbox style="mso-next-textbox:#_x0000_s1026">
              <w:txbxContent>
                <w:p w:rsidR="00E97D3E" w:rsidRPr="00E97D3E" w:rsidRDefault="00E97D3E" w:rsidP="00E97D3E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E97D3E">
                    <w:rPr>
                      <w:sz w:val="24"/>
                      <w:szCs w:val="24"/>
                      <w:lang w:val="es-ES"/>
                    </w:rPr>
                    <w:t>Categoría de análisis</w:t>
                  </w:r>
                </w:p>
              </w:txbxContent>
            </v:textbox>
          </v:shape>
        </w:pict>
      </w:r>
    </w:p>
    <w:p w:rsidR="00E97D3E" w:rsidRPr="00E97D3E" w:rsidRDefault="00E97D3E" w:rsidP="00E97D3E"/>
    <w:p w:rsidR="00E97D3E" w:rsidRPr="00E97D3E" w:rsidRDefault="00E97D3E" w:rsidP="00E97D3E"/>
    <w:p w:rsidR="00E97D3E" w:rsidRPr="00E97D3E" w:rsidRDefault="00E97D3E" w:rsidP="00E97D3E"/>
    <w:p w:rsidR="00E97D3E" w:rsidRPr="00E97D3E" w:rsidRDefault="00E97D3E" w:rsidP="00E97D3E"/>
    <w:p w:rsidR="00E97D3E" w:rsidRPr="00E97D3E" w:rsidRDefault="00E97D3E" w:rsidP="00E97D3E"/>
    <w:p w:rsidR="00E97D3E" w:rsidRPr="00E97D3E" w:rsidRDefault="00A53DE6" w:rsidP="00E97D3E">
      <w:r w:rsidRPr="00A53DE6">
        <w:rPr>
          <w:noProof/>
          <w:lang w:val="es-ES"/>
        </w:rPr>
        <w:pict>
          <v:shape id="_x0000_s1032" type="#_x0000_t202" style="position:absolute;margin-left:-31pt;margin-top:8.25pt;width:187.3pt;height:276pt;z-index:251670528;mso-width-relative:margin;mso-height-relative:margin">
            <v:textbox style="mso-next-textbox:#_x0000_s1032">
              <w:txbxContent>
                <w:p w:rsidR="00A908B0" w:rsidRDefault="00A908B0" w:rsidP="00A908B0">
                  <w:pPr>
                    <w:jc w:val="center"/>
                    <w:rPr>
                      <w:lang w:val="es-ES"/>
                    </w:rPr>
                  </w:pPr>
                </w:p>
                <w:p w:rsidR="00A908B0" w:rsidRDefault="00A908B0" w:rsidP="00A908B0">
                  <w:pPr>
                    <w:jc w:val="center"/>
                    <w:rPr>
                      <w:lang w:val="es-ES"/>
                    </w:rPr>
                  </w:pPr>
                </w:p>
                <w:p w:rsidR="00A908B0" w:rsidRDefault="00A908B0" w:rsidP="00A908B0">
                  <w:pPr>
                    <w:jc w:val="center"/>
                    <w:rPr>
                      <w:lang w:val="es-ES"/>
                    </w:rPr>
                  </w:pPr>
                </w:p>
                <w:p w:rsidR="00A908B0" w:rsidRDefault="00A908B0" w:rsidP="00A908B0">
                  <w:pPr>
                    <w:jc w:val="center"/>
                    <w:rPr>
                      <w:lang w:val="es-ES"/>
                    </w:rPr>
                  </w:pPr>
                </w:p>
                <w:p w:rsidR="00A908B0" w:rsidRDefault="00A908B0" w:rsidP="00A908B0">
                  <w:pPr>
                    <w:jc w:val="center"/>
                    <w:rPr>
                      <w:lang w:val="es-ES"/>
                    </w:rPr>
                  </w:pPr>
                </w:p>
                <w:p w:rsidR="00A908B0" w:rsidRDefault="00A908B0" w:rsidP="00A908B0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Escenario socio-histórico político en el que se sanciono.</w:t>
                  </w:r>
                </w:p>
              </w:txbxContent>
            </v:textbox>
          </v:shape>
        </w:pict>
      </w:r>
      <w:r w:rsidRPr="00A53DE6">
        <w:rPr>
          <w:noProof/>
          <w:lang w:val="es-ES"/>
        </w:rPr>
        <w:pict>
          <v:shape id="_x0000_s1031" type="#_x0000_t202" style="position:absolute;margin-left:155.85pt;margin-top:8.25pt;width:297.75pt;height:276pt;z-index:251668480;mso-width-relative:margin;mso-height-relative:margin">
            <v:textbox style="mso-next-textbox:#_x0000_s1031">
              <w:txbxContent>
                <w:p w:rsidR="00C873B1" w:rsidRDefault="00C873B1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F45BCE" w:rsidRDefault="00E97D3E" w:rsidP="005D1962">
      <w:pPr>
        <w:autoSpaceDE w:val="0"/>
        <w:autoSpaceDN w:val="0"/>
        <w:adjustRightInd w:val="0"/>
        <w:ind w:firstLine="708"/>
        <w:jc w:val="both"/>
      </w:pPr>
      <w:r>
        <w:tab/>
      </w:r>
    </w:p>
    <w:p w:rsidR="00F45BCE" w:rsidRDefault="00F45BCE" w:rsidP="005D1962">
      <w:pPr>
        <w:autoSpaceDE w:val="0"/>
        <w:autoSpaceDN w:val="0"/>
        <w:adjustRightInd w:val="0"/>
        <w:ind w:firstLine="708"/>
        <w:jc w:val="both"/>
      </w:pPr>
    </w:p>
    <w:p w:rsidR="00F45BCE" w:rsidRDefault="00F45BCE" w:rsidP="005D1962">
      <w:pPr>
        <w:autoSpaceDE w:val="0"/>
        <w:autoSpaceDN w:val="0"/>
        <w:adjustRightInd w:val="0"/>
        <w:ind w:firstLine="708"/>
        <w:jc w:val="both"/>
      </w:pPr>
    </w:p>
    <w:p w:rsidR="00120C8E" w:rsidRDefault="00120C8E" w:rsidP="005D1962">
      <w:pPr>
        <w:autoSpaceDE w:val="0"/>
        <w:autoSpaceDN w:val="0"/>
        <w:adjustRightInd w:val="0"/>
        <w:ind w:firstLine="708"/>
        <w:jc w:val="both"/>
      </w:pPr>
    </w:p>
    <w:p w:rsidR="00120C8E" w:rsidRDefault="00120C8E" w:rsidP="005D1962">
      <w:pPr>
        <w:autoSpaceDE w:val="0"/>
        <w:autoSpaceDN w:val="0"/>
        <w:adjustRightInd w:val="0"/>
        <w:ind w:firstLine="708"/>
        <w:jc w:val="both"/>
      </w:pPr>
    </w:p>
    <w:p w:rsidR="00120C8E" w:rsidRDefault="00120C8E" w:rsidP="005D1962">
      <w:pPr>
        <w:autoSpaceDE w:val="0"/>
        <w:autoSpaceDN w:val="0"/>
        <w:adjustRightInd w:val="0"/>
        <w:ind w:firstLine="708"/>
        <w:jc w:val="both"/>
      </w:pPr>
    </w:p>
    <w:p w:rsidR="00120C8E" w:rsidRDefault="00120C8E" w:rsidP="005D1962">
      <w:pPr>
        <w:autoSpaceDE w:val="0"/>
        <w:autoSpaceDN w:val="0"/>
        <w:adjustRightInd w:val="0"/>
        <w:ind w:firstLine="708"/>
        <w:jc w:val="both"/>
      </w:pPr>
    </w:p>
    <w:p w:rsidR="00120C8E" w:rsidRDefault="00120C8E" w:rsidP="005D1962">
      <w:pPr>
        <w:autoSpaceDE w:val="0"/>
        <w:autoSpaceDN w:val="0"/>
        <w:adjustRightInd w:val="0"/>
        <w:ind w:firstLine="708"/>
        <w:jc w:val="both"/>
      </w:pPr>
    </w:p>
    <w:p w:rsidR="00120C8E" w:rsidRDefault="00120C8E" w:rsidP="005D1962">
      <w:pPr>
        <w:autoSpaceDE w:val="0"/>
        <w:autoSpaceDN w:val="0"/>
        <w:adjustRightInd w:val="0"/>
        <w:ind w:firstLine="708"/>
        <w:jc w:val="both"/>
      </w:pPr>
    </w:p>
    <w:p w:rsidR="008F19CE" w:rsidRDefault="008F19CE" w:rsidP="005D1962">
      <w:pPr>
        <w:autoSpaceDE w:val="0"/>
        <w:autoSpaceDN w:val="0"/>
        <w:adjustRightInd w:val="0"/>
        <w:ind w:firstLine="708"/>
        <w:jc w:val="both"/>
      </w:pPr>
    </w:p>
    <w:p w:rsidR="008F19CE" w:rsidRDefault="00153939" w:rsidP="005D1962">
      <w:pPr>
        <w:autoSpaceDE w:val="0"/>
        <w:autoSpaceDN w:val="0"/>
        <w:adjustRightInd w:val="0"/>
        <w:ind w:firstLine="708"/>
        <w:jc w:val="both"/>
      </w:pPr>
      <w:r w:rsidRPr="00A53DE6">
        <w:rPr>
          <w:noProof/>
          <w:lang w:val="es-ES"/>
        </w:rPr>
        <w:pict>
          <v:shape id="_x0000_s1034" type="#_x0000_t202" style="position:absolute;left:0;text-align:left;margin-left:156.3pt;margin-top:4.4pt;width:297.75pt;height:86.25pt;z-index:251674624;mso-width-relative:margin;mso-height-relative:margin">
            <v:textbox style="mso-next-textbox:#_x0000_s1034">
              <w:txbxContent>
                <w:p w:rsidR="00680399" w:rsidRDefault="0083673E">
                  <w:pPr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2876A8">
                    <w:rPr>
                      <w:rStyle w:val="Cuerpodeltexto14"/>
                      <w:rFonts w:ascii="Calibri" w:eastAsiaTheme="minorHAnsi" w:hAnsi="Calibri" w:cs="Calibri"/>
                      <w:sz w:val="24"/>
                      <w:szCs w:val="24"/>
                    </w:rPr>
                    <w:t>Modelo Neoliberal</w:t>
                  </w:r>
                  <w:r w:rsidRPr="005F7E54">
                    <w:rPr>
                      <w:rStyle w:val="Cuerpodeltexto14"/>
                      <w:rFonts w:asciiTheme="minorHAnsi" w:eastAsiaTheme="minorHAnsi" w:hAnsiTheme="minorHAnsi" w:cstheme="minorHAnsi"/>
                      <w:sz w:val="24"/>
                      <w:szCs w:val="24"/>
                    </w:rPr>
                    <w:t>.</w:t>
                  </w:r>
                  <w:r w:rsidR="00153939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>la inversión pública</w:t>
                  </w:r>
                  <w:r w:rsidR="00306935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significa gastos públicos. Que contiene elementos como la retracción del Estado, la lógica del mercado y criterio de eficiencia como ejes  para la fijación de políticas públicas.</w:t>
                  </w:r>
                </w:p>
                <w:p w:rsidR="00306935" w:rsidRPr="005F7E54" w:rsidRDefault="00306935">
                  <w:pPr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:rsidR="00640BA8" w:rsidRPr="00640BA8" w:rsidRDefault="00640BA8">
                  <w:pPr>
                    <w:rPr>
                      <w:rFonts w:ascii="Calibri" w:hAnsi="Calibri" w:cs="Calibri"/>
                      <w:bCs/>
                      <w:color w:val="000000"/>
                      <w:spacing w:val="5"/>
                      <w:shd w:val="clear" w:color="auto" w:fill="FFFFFF"/>
                    </w:rPr>
                  </w:pPr>
                </w:p>
              </w:txbxContent>
            </v:textbox>
          </v:shape>
        </w:pict>
      </w:r>
      <w:r w:rsidR="00A53DE6" w:rsidRPr="00A53DE6">
        <w:rPr>
          <w:noProof/>
          <w:lang w:val="es-ES"/>
        </w:rPr>
        <w:pict>
          <v:shape id="_x0000_s1033" type="#_x0000_t202" style="position:absolute;left:0;text-align:left;margin-left:-31pt;margin-top:4.4pt;width:187.3pt;height:62.25pt;z-index:251672576;mso-width-relative:margin;mso-height-relative:margin">
            <v:textbox style="mso-next-textbox:#_x0000_s1033">
              <w:txbxContent>
                <w:p w:rsidR="00AE6A1A" w:rsidRDefault="00AE6A1A" w:rsidP="00AE6A1A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8A66C6" w:rsidRPr="00AE6A1A" w:rsidRDefault="008A66C6" w:rsidP="00AE6A1A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AE6A1A">
                    <w:rPr>
                      <w:sz w:val="24"/>
                      <w:szCs w:val="24"/>
                      <w:lang w:val="es-ES"/>
                    </w:rPr>
                    <w:t>Modelo de Estado</w:t>
                  </w:r>
                </w:p>
              </w:txbxContent>
            </v:textbox>
          </v:shape>
        </w:pict>
      </w:r>
    </w:p>
    <w:p w:rsidR="00AA03AB" w:rsidRDefault="00AA03AB" w:rsidP="00E97D3E">
      <w:pPr>
        <w:tabs>
          <w:tab w:val="left" w:pos="1680"/>
        </w:tabs>
      </w:pPr>
    </w:p>
    <w:p w:rsidR="00BE573E" w:rsidRDefault="00A53DE6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A53DE6">
        <w:rPr>
          <w:rStyle w:val="a"/>
          <w:bdr w:val="none" w:sz="0" w:space="0" w:color="auto" w:frame="1"/>
          <w:shd w:val="clear" w:color="auto" w:fill="FFFFFF"/>
          <w:lang w:val="es-ES"/>
        </w:rPr>
        <w:pict>
          <v:shape id="_x0000_s1038" type="#_x0000_t202" style="position:absolute;margin-left:-30.95pt;margin-top:15.75pt;width:187.25pt;height:174.75pt;z-index:251680768;mso-width-relative:margin;mso-height-relative:margin">
            <v:textbox style="mso-next-textbox:#_x0000_s1038">
              <w:txbxContent>
                <w:p w:rsidR="009D553D" w:rsidRDefault="009D553D" w:rsidP="009D553D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8A2FB1" w:rsidRDefault="008A2FB1" w:rsidP="009D553D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BE573E" w:rsidRPr="009D553D" w:rsidRDefault="00BE573E" w:rsidP="009D553D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9D553D">
                    <w:rPr>
                      <w:sz w:val="24"/>
                      <w:szCs w:val="24"/>
                      <w:lang w:val="es-ES"/>
                    </w:rPr>
                    <w:t>Concepto de Educación</w:t>
                  </w:r>
                </w:p>
              </w:txbxContent>
            </v:textbox>
          </v:shape>
        </w:pict>
      </w:r>
    </w:p>
    <w:p w:rsidR="00BE573E" w:rsidRDefault="00306935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A53DE6">
        <w:rPr>
          <w:rStyle w:val="a"/>
          <w:bdr w:val="none" w:sz="0" w:space="0" w:color="auto" w:frame="1"/>
          <w:shd w:val="clear" w:color="auto" w:fill="FFFFFF"/>
          <w:lang w:val="es-ES"/>
        </w:rPr>
        <w:pict>
          <v:shape id="_x0000_s1039" type="#_x0000_t202" style="position:absolute;margin-left:155.85pt;margin-top:15.2pt;width:297.75pt;height:150.75pt;z-index:251682816;mso-width-relative:margin;mso-height-relative:margin">
            <v:textbox style="mso-next-textbox:#_x0000_s1039">
              <w:txbxContent>
                <w:p w:rsidR="00BE573E" w:rsidRPr="008646A6" w:rsidRDefault="008B4737" w:rsidP="00212C30">
                  <w:pPr>
                    <w:tabs>
                      <w:tab w:val="left" w:pos="1680"/>
                    </w:tabs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La educación comenzó a ser concebida como un servicio que presta el estado, se expresaron mediante múltiples inscripto en una lógica  de mercado, aunque con una fuerte intervención </w:t>
                  </w:r>
                  <w:r w:rsidR="00153939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estatal en el plano de las regularizaciones normativas y técnicas, especialmente mediante mecanismos de evaluación y control.</w:t>
                  </w:r>
                </w:p>
              </w:txbxContent>
            </v:textbox>
          </v:shape>
        </w:pict>
      </w:r>
    </w:p>
    <w:p w:rsidR="00BE573E" w:rsidRDefault="00BE573E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BE573E" w:rsidRDefault="00BE573E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BE573E" w:rsidRDefault="00BE573E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BE573E" w:rsidRDefault="00BE573E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BE573E" w:rsidRDefault="00A53DE6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A53DE6">
        <w:rPr>
          <w:rStyle w:val="a"/>
          <w:bdr w:val="none" w:sz="0" w:space="0" w:color="auto" w:frame="1"/>
          <w:shd w:val="clear" w:color="auto" w:fill="FFFFFF"/>
          <w:lang w:val="es-ES"/>
        </w:rPr>
        <w:lastRenderedPageBreak/>
        <w:pict>
          <v:shape id="_x0000_s1036" type="#_x0000_t202" style="position:absolute;margin-left:-23.5pt;margin-top:-4.3pt;width:187.6pt;height:97.7pt;z-index:251676672;mso-width-relative:margin;mso-height-relative:margin">
            <v:textbox style="mso-next-textbox:#_x0000_s1036">
              <w:txbxContent>
                <w:p w:rsidR="006A7CD2" w:rsidRDefault="006A7CD2">
                  <w:pPr>
                    <w:rPr>
                      <w:sz w:val="24"/>
                      <w:szCs w:val="24"/>
                      <w:lang w:val="es-ES"/>
                    </w:rPr>
                  </w:pPr>
                </w:p>
                <w:p w:rsidR="00BE573E" w:rsidRDefault="00BE573E">
                  <w:pPr>
                    <w:rPr>
                      <w:sz w:val="24"/>
                      <w:szCs w:val="24"/>
                      <w:lang w:val="es-ES"/>
                    </w:rPr>
                  </w:pPr>
                  <w:r w:rsidRPr="006A7CD2">
                    <w:rPr>
                      <w:sz w:val="24"/>
                      <w:szCs w:val="24"/>
                      <w:lang w:val="es-ES"/>
                    </w:rPr>
                    <w:t xml:space="preserve">Función/ Funciones de educación (TIRAMONTE) ¿Cuál prima en la ley? </w:t>
                  </w:r>
                </w:p>
                <w:p w:rsidR="006A7CD2" w:rsidRPr="006A7CD2" w:rsidRDefault="006A7CD2">
                  <w:pPr>
                    <w:rPr>
                      <w:sz w:val="24"/>
                      <w:szCs w:val="24"/>
                      <w:lang w:val="es-ES"/>
                    </w:rPr>
                  </w:pPr>
                </w:p>
              </w:txbxContent>
            </v:textbox>
          </v:shape>
        </w:pict>
      </w:r>
      <w:r w:rsidRPr="00A53DE6">
        <w:rPr>
          <w:rStyle w:val="a"/>
          <w:bdr w:val="none" w:sz="0" w:space="0" w:color="auto" w:frame="1"/>
          <w:shd w:val="clear" w:color="auto" w:fill="FFFFFF"/>
          <w:lang w:val="es-ES"/>
        </w:rPr>
        <w:pict>
          <v:shape id="_x0000_s1037" type="#_x0000_t202" style="position:absolute;margin-left:164.1pt;margin-top:-4.3pt;width:290.35pt;height:97.7pt;z-index:251678720;mso-width-relative:margin;mso-height-relative:margin">
            <v:textbox style="mso-next-textbox:#_x0000_s1037">
              <w:txbxContent>
                <w:p w:rsidR="009735C6" w:rsidRDefault="009735C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La función que prima en la ley es la función social.</w:t>
                  </w:r>
                </w:p>
                <w:p w:rsidR="00BE573E" w:rsidRDefault="009735C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Su función esencial es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producir y contribuir a la distribución equitativa del conocimiento, mediante las actividades de docencia, investigación y extensión concebida como servicio social.</w:t>
                  </w:r>
                </w:p>
                <w:p w:rsidR="0058046C" w:rsidRDefault="0058046C">
                  <w:pPr>
                    <w:rPr>
                      <w:lang w:val="es-ES"/>
                    </w:rPr>
                  </w:pPr>
                </w:p>
                <w:p w:rsidR="0058046C" w:rsidRDefault="0058046C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785264" w:rsidRDefault="00A53DE6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A53DE6">
        <w:rPr>
          <w:rStyle w:val="a"/>
          <w:bdr w:val="none" w:sz="0" w:space="0" w:color="auto" w:frame="1"/>
          <w:shd w:val="clear" w:color="auto" w:fill="FFFFFF"/>
          <w:lang w:val="es-ES"/>
        </w:rPr>
        <w:pict>
          <v:shape id="_x0000_s1040" type="#_x0000_t202" style="position:absolute;margin-left:-23.5pt;margin-top:19.75pt;width:187.6pt;height:99.75pt;z-index:251684864;mso-width-relative:margin;mso-height-relative:margin">
            <v:textbox style="mso-next-textbox:#_x0000_s1040">
              <w:txbxContent>
                <w:p w:rsidR="008720DA" w:rsidRDefault="008720DA" w:rsidP="008720DA">
                  <w:pPr>
                    <w:rPr>
                      <w:sz w:val="24"/>
                      <w:szCs w:val="24"/>
                      <w:lang w:val="es-ES"/>
                    </w:rPr>
                  </w:pPr>
                </w:p>
                <w:p w:rsidR="00927578" w:rsidRPr="005A1330" w:rsidRDefault="00927578" w:rsidP="008720DA">
                  <w:pPr>
                    <w:rPr>
                      <w:sz w:val="24"/>
                      <w:szCs w:val="24"/>
                      <w:lang w:val="es-ES"/>
                    </w:rPr>
                  </w:pPr>
                  <w:r w:rsidRPr="005A1330">
                    <w:rPr>
                      <w:sz w:val="24"/>
                      <w:szCs w:val="24"/>
                      <w:lang w:val="es-ES"/>
                    </w:rPr>
                    <w:t>Características / Principio generales.</w:t>
                  </w:r>
                </w:p>
              </w:txbxContent>
            </v:textbox>
          </v:shape>
        </w:pict>
      </w:r>
      <w:r w:rsidRPr="00A53DE6">
        <w:rPr>
          <w:rStyle w:val="a"/>
          <w:bdr w:val="none" w:sz="0" w:space="0" w:color="auto" w:frame="1"/>
          <w:shd w:val="clear" w:color="auto" w:fill="FFFFFF"/>
          <w:lang w:val="es-ES"/>
        </w:rPr>
        <w:pict>
          <v:shape id="_x0000_s1041" type="#_x0000_t202" style="position:absolute;margin-left:163.95pt;margin-top:19.75pt;width:289.9pt;height:99.75pt;z-index:251686912;mso-width-relative:margin;mso-height-relative:margin">
            <v:textbox style="mso-next-textbox:#_x0000_s1041">
              <w:txbxContent>
                <w:p w:rsidR="00101AFF" w:rsidRPr="00A62980" w:rsidRDefault="00774F65" w:rsidP="00A62980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</w:pPr>
                  <w:r w:rsidRPr="00A62980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  <w:t xml:space="preserve">Autonomía </w:t>
                  </w:r>
                </w:p>
                <w:p w:rsidR="00774F65" w:rsidRPr="00A62980" w:rsidRDefault="008720DA" w:rsidP="00A62980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</w:pPr>
                  <w:r w:rsidRPr="00A62980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  <w:t>Gratuidad</w:t>
                  </w:r>
                </w:p>
                <w:p w:rsidR="008720DA" w:rsidRPr="00A62980" w:rsidRDefault="008720DA" w:rsidP="00A62980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</w:pPr>
                  <w:r w:rsidRPr="00A62980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  <w:t>Evolución</w:t>
                  </w:r>
                </w:p>
                <w:p w:rsidR="008720DA" w:rsidRPr="00A62980" w:rsidRDefault="008720DA" w:rsidP="00A62980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</w:pPr>
                  <w:r w:rsidRPr="00A62980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  <w:t>Gobierno</w:t>
                  </w:r>
                </w:p>
                <w:p w:rsidR="008720DA" w:rsidRPr="006A4563" w:rsidRDefault="008720DA" w:rsidP="00101AFF">
                  <w: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  <w:p w:rsidR="006A4563" w:rsidRDefault="006A4563">
                  <w:pPr>
                    <w:rPr>
                      <w:lang w:val="es-ES"/>
                    </w:rPr>
                  </w:pPr>
                </w:p>
                <w:p w:rsidR="006A4563" w:rsidRDefault="006A4563">
                  <w:pPr>
                    <w:rPr>
                      <w:lang w:val="es-ES"/>
                    </w:rPr>
                  </w:pPr>
                </w:p>
                <w:p w:rsidR="006A4563" w:rsidRDefault="006A4563">
                  <w:pPr>
                    <w:rPr>
                      <w:lang w:val="es-ES"/>
                    </w:rPr>
                  </w:pPr>
                </w:p>
                <w:p w:rsidR="006A4563" w:rsidRDefault="006A4563">
                  <w:pPr>
                    <w:rPr>
                      <w:lang w:val="es-ES"/>
                    </w:rPr>
                  </w:pPr>
                </w:p>
                <w:p w:rsidR="006A4563" w:rsidRDefault="006A4563">
                  <w:pPr>
                    <w:rPr>
                      <w:lang w:val="es-ES"/>
                    </w:rPr>
                  </w:pPr>
                </w:p>
                <w:p w:rsidR="006A4563" w:rsidRDefault="006A456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785264" w:rsidRDefault="00A53DE6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A53DE6">
        <w:rPr>
          <w:rStyle w:val="a"/>
          <w:bdr w:val="none" w:sz="0" w:space="0" w:color="auto" w:frame="1"/>
          <w:shd w:val="clear" w:color="auto" w:fill="FFFFFF"/>
          <w:lang w:val="es-ES"/>
        </w:rPr>
        <w:pict>
          <v:shape id="_x0000_s1045" type="#_x0000_t202" style="position:absolute;margin-left:163.55pt;margin-top:21.35pt;width:289.85pt;height:231pt;z-index:251693056;mso-width-relative:margin;mso-height-relative:margin">
            <v:textbox style="mso-next-textbox:#_x0000_s1045">
              <w:txbxContent>
                <w:p w:rsidR="00007364" w:rsidRPr="00153939" w:rsidRDefault="00EF0DF0" w:rsidP="00153939">
                  <w:pPr>
                    <w:shd w:val="clear" w:color="auto" w:fill="F2F2F2" w:themeFill="background1" w:themeFillShade="F2"/>
                    <w:rPr>
                      <w:rFonts w:cstheme="minorHAnsi"/>
                      <w:color w:val="000000" w:themeColor="text1"/>
                      <w:sz w:val="24"/>
                      <w:szCs w:val="24"/>
                      <w:lang w:val="es-ES"/>
                    </w:rPr>
                  </w:pPr>
                  <w:r w:rsidRPr="00153939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La diputada nacional Adriana Puiggrós (FPV), impulsora del proyecto, destacó que “está garantizada la responsabilidad principal del Estado en el financiamiento de la educación superior y la gratuidad de los estudios de grado en las universidades públicas”. En ese sentido el artículo 1 de la nueva LES, establece que “el Estado Nacional, las provincias y la Ciudad Autónoma de Buenos Aires, tienen la responsabilidad principal e indelegable sobre la educación superior, en tanto la educación y el conocimiento son un bien público y un derecho humano personal y social en el marco de lo establecido por la ley 26.206</w:t>
                  </w:r>
                </w:p>
              </w:txbxContent>
            </v:textbox>
          </v:shape>
        </w:pict>
      </w:r>
      <w:r w:rsidRPr="00A53DE6">
        <w:rPr>
          <w:rFonts w:cstheme="minorHAnsi"/>
          <w:noProof/>
          <w:sz w:val="24"/>
          <w:szCs w:val="24"/>
          <w:lang w:val="es-ES"/>
        </w:rPr>
        <w:pict>
          <v:shape id="_x0000_s1047" type="#_x0000_t202" style="position:absolute;margin-left:-23.95pt;margin-top:21.35pt;width:187.5pt;height:231pt;z-index:251695104;mso-width-relative:margin;mso-height-relative:margin">
            <v:textbox style="mso-next-textbox:#_x0000_s1047">
              <w:txbxContent>
                <w:p w:rsidR="00F47416" w:rsidRDefault="00F47416">
                  <w:pPr>
                    <w:rPr>
                      <w:lang w:val="es-ES"/>
                    </w:rPr>
                  </w:pPr>
                </w:p>
                <w:p w:rsidR="007E483C" w:rsidRDefault="007E483C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7E483C" w:rsidRDefault="007E483C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2C44D7" w:rsidRDefault="00F4741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F47416">
                    <w:rPr>
                      <w:sz w:val="24"/>
                      <w:szCs w:val="24"/>
                      <w:lang w:val="es-ES"/>
                    </w:rPr>
                    <w:t>Financiamiento</w:t>
                  </w: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9C0236" w:rsidRPr="00F47416" w:rsidRDefault="009C0236" w:rsidP="00F4741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F47416" w:rsidRDefault="00F47416">
                  <w:pPr>
                    <w:rPr>
                      <w:lang w:val="es-ES"/>
                    </w:rPr>
                  </w:pPr>
                </w:p>
                <w:p w:rsidR="009C0236" w:rsidRDefault="009C0236">
                  <w:pPr>
                    <w:rPr>
                      <w:lang w:val="es-ES"/>
                    </w:rPr>
                  </w:pPr>
                </w:p>
                <w:p w:rsidR="009C0236" w:rsidRDefault="009C0236">
                  <w:pPr>
                    <w:rPr>
                      <w:lang w:val="es-ES"/>
                    </w:rPr>
                  </w:pPr>
                </w:p>
                <w:p w:rsidR="009C0236" w:rsidRDefault="009C0236">
                  <w:pPr>
                    <w:rPr>
                      <w:lang w:val="es-ES"/>
                    </w:rPr>
                  </w:pPr>
                </w:p>
                <w:p w:rsidR="009C0236" w:rsidRDefault="009C0236">
                  <w:pPr>
                    <w:rPr>
                      <w:lang w:val="es-ES"/>
                    </w:rPr>
                  </w:pPr>
                </w:p>
                <w:p w:rsidR="009C0236" w:rsidRDefault="009C023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785264" w:rsidRDefault="00785264" w:rsidP="00E97D3E">
      <w:pPr>
        <w:tabs>
          <w:tab w:val="left" w:pos="1680"/>
        </w:tabs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101AFF" w:rsidRPr="00101AFF" w:rsidRDefault="00101AFF" w:rsidP="00101AFF">
      <w:pPr>
        <w:tabs>
          <w:tab w:val="left" w:pos="1680"/>
        </w:tabs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101AFF" w:rsidRPr="00101AFF" w:rsidRDefault="00101AFF" w:rsidP="005A1330">
      <w:pPr>
        <w:spacing w:after="60" w:line="240" w:lineRule="auto"/>
        <w:ind w:left="360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Pr="00101AFF" w:rsidRDefault="00101AFF" w:rsidP="00101AFF">
      <w:pPr>
        <w:spacing w:after="60" w:line="240" w:lineRule="auto"/>
        <w:ind w:left="360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Pr="00101AFF" w:rsidRDefault="00101AFF" w:rsidP="00101AFF">
      <w:pPr>
        <w:spacing w:after="60" w:line="240" w:lineRule="auto"/>
        <w:ind w:left="360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A53DE6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A53DE6">
        <w:rPr>
          <w:rFonts w:cstheme="minorHAnsi"/>
          <w:noProof/>
          <w:sz w:val="24"/>
          <w:szCs w:val="24"/>
          <w:lang w:val="es-ES"/>
        </w:rPr>
        <w:pict>
          <v:shape id="_x0000_s1048" type="#_x0000_t202" style="position:absolute;left:0;text-align:left;margin-left:163.55pt;margin-top:6.05pt;width:289.85pt;height:270pt;z-index:251697152;mso-width-relative:margin;mso-height-relative:margin">
            <v:textbox style="mso-next-textbox:#_x0000_s1048">
              <w:txbxContent>
                <w:p w:rsidR="009C0236" w:rsidRDefault="007E7769" w:rsidP="009D54D6">
                  <w:pPr>
                    <w:pStyle w:val="Cuerpodeltexto0"/>
                    <w:shd w:val="clear" w:color="auto" w:fill="auto"/>
                    <w:spacing w:line="240" w:lineRule="auto"/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9D54D6">
                    <w:rPr>
                      <w:rStyle w:val="Cuerpodeltexto14"/>
                      <w:rFonts w:asciiTheme="minorHAnsi" w:hAnsiTheme="minorHAnsi" w:cstheme="minorHAnsi"/>
                      <w:sz w:val="24"/>
                      <w:szCs w:val="24"/>
                      <w:u w:val="single"/>
                    </w:rPr>
                    <w:t>Educación inicial</w:t>
                  </w:r>
                  <w:r w:rsidRPr="009D54D6">
                    <w:rPr>
                      <w:rStyle w:val="Cuerpodeltexto14"/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de 3 a 5 años de edad, siendo obligatorio el último año.</w:t>
                  </w:r>
                </w:p>
                <w:p w:rsidR="007E7769" w:rsidRDefault="007E7769" w:rsidP="009D54D6">
                  <w:pPr>
                    <w:pStyle w:val="Cuerpodeltexto0"/>
                    <w:shd w:val="clear" w:color="auto" w:fill="auto"/>
                    <w:spacing w:line="240" w:lineRule="auto"/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9D54D6">
                    <w:rPr>
                      <w:rStyle w:val="Cuerpodeltexto14"/>
                      <w:rFonts w:asciiTheme="minorHAnsi" w:hAnsiTheme="minorHAnsi" w:cstheme="minorHAnsi"/>
                      <w:sz w:val="24"/>
                      <w:szCs w:val="24"/>
                      <w:u w:val="single"/>
                    </w:rPr>
                    <w:t>Educación general básica</w:t>
                  </w:r>
                  <w:r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: obligatoria, de 9 años de duración a partir de de los 6 años de edad</w:t>
                  </w:r>
                  <w:r w:rsidR="00CF6BEA"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, contenida con una unidad pedagógica integral y organizada en ciclos (1, 2 y 3).</w:t>
                  </w:r>
                </w:p>
                <w:p w:rsidR="009D54D6" w:rsidRDefault="00BC46E7" w:rsidP="009D54D6">
                  <w:pPr>
                    <w:pStyle w:val="Cuerpodeltexto0"/>
                    <w:shd w:val="clear" w:color="auto" w:fill="auto"/>
                    <w:spacing w:line="240" w:lineRule="auto"/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9D54D6">
                    <w:rPr>
                      <w:rStyle w:val="Cuerpodeltexto14"/>
                      <w:rFonts w:asciiTheme="minorHAnsi" w:hAnsiTheme="minorHAnsi" w:cstheme="minorHAnsi"/>
                      <w:sz w:val="24"/>
                      <w:szCs w:val="24"/>
                      <w:u w:val="single"/>
                    </w:rPr>
                    <w:t>Educación polimodal:</w:t>
                  </w:r>
                  <w:r w:rsidR="009D54D6"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después del cumplimiento del EGB, impartida por instituciones específicas de 3 años como mínimo. </w:t>
                  </w:r>
                </w:p>
                <w:p w:rsidR="009D54D6" w:rsidRDefault="009D54D6" w:rsidP="009D54D6">
                  <w:pPr>
                    <w:pStyle w:val="Cuerpodeltexto0"/>
                    <w:shd w:val="clear" w:color="auto" w:fill="auto"/>
                    <w:spacing w:line="240" w:lineRule="auto"/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9D54D6">
                    <w:rPr>
                      <w:rStyle w:val="Cuerpodeltexto14"/>
                      <w:rFonts w:asciiTheme="minorHAnsi" w:hAnsiTheme="minorHAnsi" w:cstheme="minorHAnsi"/>
                      <w:sz w:val="24"/>
                      <w:szCs w:val="24"/>
                      <w:u w:val="single"/>
                    </w:rPr>
                    <w:t>Educación Superior:</w:t>
                  </w:r>
                  <w:r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comprende la educación</w:t>
                  </w:r>
                </w:p>
                <w:p w:rsidR="00CF6BEA" w:rsidRDefault="009D54D6" w:rsidP="009D54D6">
                  <w:pPr>
                    <w:pStyle w:val="Cuerpodeltexto0"/>
                    <w:shd w:val="clear" w:color="auto" w:fill="auto"/>
                    <w:spacing w:line="240" w:lineRule="auto"/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Universitaria y no universitaria, tanto estatales como privadas.</w:t>
                  </w:r>
                </w:p>
                <w:p w:rsidR="009D54D6" w:rsidRDefault="00FC48FB" w:rsidP="009D54D6">
                  <w:pPr>
                    <w:pStyle w:val="Cuerpodeltexto0"/>
                    <w:shd w:val="clear" w:color="auto" w:fill="auto"/>
                    <w:spacing w:line="240" w:lineRule="auto"/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>
                    <w:rPr>
                      <w:rStyle w:val="Cuerpodeltexto14"/>
                      <w:rFonts w:asciiTheme="minorHAnsi" w:hAnsiTheme="minorHAnsi" w:cstheme="minorHAnsi"/>
                      <w:sz w:val="24"/>
                      <w:szCs w:val="24"/>
                      <w:u w:val="single"/>
                    </w:rPr>
                    <w:t xml:space="preserve">Educación de </w:t>
                  </w:r>
                  <w:r w:rsidR="009D54D6" w:rsidRPr="00B97DAB">
                    <w:rPr>
                      <w:rStyle w:val="Cuerpodeltexto14"/>
                      <w:rFonts w:asciiTheme="minorHAnsi" w:hAnsiTheme="minorHAnsi" w:cstheme="minorHAnsi"/>
                      <w:sz w:val="24"/>
                      <w:szCs w:val="24"/>
                      <w:u w:val="single"/>
                    </w:rPr>
                    <w:t>Posgrado:</w:t>
                  </w:r>
                  <w:r w:rsidR="00B97DAB"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para acceder a la formación de posgrado, el postulante deberá contar con título universitario de grado o de nivel superior no universitario de cuatro años de duración como </w:t>
                  </w:r>
                  <w:r w:rsidR="00C81D5A"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mínimo</w:t>
                  </w:r>
                  <w:r w:rsidR="00B97DAB"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. </w:t>
                  </w:r>
                </w:p>
                <w:p w:rsidR="00C362EF" w:rsidRPr="009D54D6" w:rsidRDefault="00C362EF" w:rsidP="009D54D6">
                  <w:pPr>
                    <w:pStyle w:val="Cuerpodeltexto0"/>
                    <w:shd w:val="clear" w:color="auto" w:fill="auto"/>
                    <w:spacing w:line="240" w:lineRule="auto"/>
                    <w:rPr>
                      <w:rStyle w:val="Cuerpodeltexto14"/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</w:p>
                <w:p w:rsidR="00C362EF" w:rsidRPr="007E7769" w:rsidRDefault="00C362EF" w:rsidP="00FC48FB">
                  <w:pPr>
                    <w:pStyle w:val="Cuerpodeltexto0"/>
                    <w:shd w:val="clear" w:color="auto" w:fill="auto"/>
                    <w:spacing w:line="240" w:lineRule="auto"/>
                    <w:ind w:left="1005"/>
                    <w:rPr>
                      <w:rFonts w:asciiTheme="minorHAnsi" w:hAnsiTheme="minorHAnsi" w:cstheme="minorHAnsi"/>
                      <w:bCs/>
                      <w:color w:val="000000"/>
                      <w:spacing w:val="5"/>
                      <w:sz w:val="24"/>
                      <w:szCs w:val="24"/>
                      <w:shd w:val="clear" w:color="auto" w:fill="FFFFFF"/>
                      <w:lang w:val="es-ES"/>
                    </w:rPr>
                  </w:pPr>
                </w:p>
              </w:txbxContent>
            </v:textbox>
          </v:shape>
        </w:pict>
      </w:r>
      <w:r w:rsidRPr="00A53DE6">
        <w:rPr>
          <w:rFonts w:cstheme="minorHAnsi"/>
          <w:noProof/>
          <w:sz w:val="24"/>
          <w:szCs w:val="24"/>
          <w:lang w:val="es-ES"/>
        </w:rPr>
        <w:pict>
          <v:shape id="_x0000_s1049" type="#_x0000_t202" style="position:absolute;left:0;text-align:left;margin-left:-24.4pt;margin-top:6.05pt;width:187.95pt;height:270pt;z-index:251699200;mso-width-relative:margin;mso-height-relative:margin">
            <v:textbox>
              <w:txbxContent>
                <w:p w:rsidR="00FC48FB" w:rsidRDefault="00FC5050" w:rsidP="00FC5050">
                  <w:pPr>
                    <w:jc w:val="center"/>
                    <w:rPr>
                      <w:rFonts w:cstheme="minorHAnsi"/>
                      <w:sz w:val="24"/>
                      <w:szCs w:val="24"/>
                      <w:lang w:val="es-E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s-ES"/>
                    </w:rPr>
                    <w:t xml:space="preserve">                                                         </w:t>
                  </w:r>
                </w:p>
                <w:p w:rsidR="00FC48FB" w:rsidRDefault="00FC48FB" w:rsidP="00FC5050">
                  <w:pPr>
                    <w:jc w:val="center"/>
                    <w:rPr>
                      <w:rFonts w:cstheme="minorHAnsi"/>
                      <w:sz w:val="24"/>
                      <w:szCs w:val="24"/>
                      <w:lang w:val="es-ES"/>
                    </w:rPr>
                  </w:pPr>
                </w:p>
                <w:p w:rsidR="00FC48FB" w:rsidRDefault="00FC48FB" w:rsidP="00FC5050">
                  <w:pPr>
                    <w:jc w:val="center"/>
                    <w:rPr>
                      <w:rFonts w:cstheme="minorHAnsi"/>
                      <w:sz w:val="24"/>
                      <w:szCs w:val="24"/>
                      <w:lang w:val="es-ES"/>
                    </w:rPr>
                  </w:pPr>
                </w:p>
                <w:p w:rsidR="00FC48FB" w:rsidRDefault="00FC48FB" w:rsidP="00FC5050">
                  <w:pPr>
                    <w:jc w:val="center"/>
                    <w:rPr>
                      <w:rFonts w:cstheme="minorHAnsi"/>
                      <w:sz w:val="24"/>
                      <w:szCs w:val="24"/>
                      <w:lang w:val="es-ES"/>
                    </w:rPr>
                  </w:pPr>
                </w:p>
                <w:p w:rsidR="009C0236" w:rsidRPr="00FC5050" w:rsidRDefault="00FC5050" w:rsidP="00FC5050">
                  <w:pPr>
                    <w:jc w:val="center"/>
                    <w:rPr>
                      <w:rFonts w:cstheme="minorHAnsi"/>
                      <w:sz w:val="24"/>
                      <w:szCs w:val="24"/>
                      <w:lang w:val="es-ES"/>
                    </w:rPr>
                  </w:pPr>
                  <w:r w:rsidRPr="00FC5050">
                    <w:rPr>
                      <w:rFonts w:cstheme="minorHAnsi"/>
                      <w:sz w:val="24"/>
                      <w:szCs w:val="24"/>
                      <w:lang w:val="es-ES"/>
                    </w:rPr>
                    <w:t>Estructura del sistema</w:t>
                  </w:r>
                </w:p>
              </w:txbxContent>
            </v:textbox>
          </v:shape>
        </w:pict>
      </w: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P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Default="00101AFF" w:rsidP="00101AFF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01AFF" w:rsidRPr="00101AFF" w:rsidRDefault="00101AFF" w:rsidP="00101AFF">
      <w:pPr>
        <w:spacing w:after="60" w:line="240" w:lineRule="auto"/>
        <w:ind w:left="360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E9747B" w:rsidRPr="00E9747B" w:rsidRDefault="00E9747B" w:rsidP="00E974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A75444" w:rsidRDefault="00A75444" w:rsidP="00E97D3E">
      <w:pPr>
        <w:tabs>
          <w:tab w:val="left" w:pos="1680"/>
        </w:tabs>
      </w:pPr>
    </w:p>
    <w:p w:rsidR="005A1330" w:rsidRDefault="00A53DE6" w:rsidP="00E97D3E">
      <w:pPr>
        <w:tabs>
          <w:tab w:val="left" w:pos="1680"/>
        </w:tabs>
      </w:pPr>
      <w:r w:rsidRPr="00A53DE6">
        <w:rPr>
          <w:rFonts w:cstheme="minorHAnsi"/>
          <w:noProof/>
          <w:sz w:val="24"/>
          <w:szCs w:val="24"/>
          <w:lang w:val="es-ES"/>
        </w:rPr>
        <w:lastRenderedPageBreak/>
        <w:pict>
          <v:shape id="_x0000_s1050" type="#_x0000_t202" style="position:absolute;margin-left:165.9pt;margin-top:-19.85pt;width:289.3pt;height:56.65pt;z-index:251701248;mso-width-relative:margin;mso-height-relative:margin">
            <v:textbox>
              <w:txbxContent>
                <w:p w:rsidR="00FC5050" w:rsidRPr="00784F27" w:rsidRDefault="00153939">
                  <w:pPr>
                    <w:rPr>
                      <w:rFonts w:cstheme="minorHAnsi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Aun vigente. Nunca fue reglamentada por el gobierno.</w:t>
                  </w:r>
                </w:p>
              </w:txbxContent>
            </v:textbox>
          </v:shape>
        </w:pict>
      </w:r>
      <w:r w:rsidRPr="00A53DE6">
        <w:rPr>
          <w:rFonts w:cstheme="minorHAnsi"/>
          <w:noProof/>
          <w:sz w:val="24"/>
          <w:szCs w:val="24"/>
          <w:lang w:val="es-ES"/>
        </w:rPr>
        <w:pict>
          <v:shape id="_x0000_s1051" type="#_x0000_t202" style="position:absolute;margin-left:-22.05pt;margin-top:-19.85pt;width:187.95pt;height:56.65pt;z-index:251703296;mso-width-relative:margin;mso-height-relative:margin">
            <v:textbox>
              <w:txbxContent>
                <w:p w:rsidR="00FC5050" w:rsidRPr="00B11A6C" w:rsidRDefault="00B11A6C" w:rsidP="00B11A6C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 xml:space="preserve">                                                                  </w:t>
                  </w:r>
                  <w:r w:rsidR="00FC5050" w:rsidRPr="00B11A6C">
                    <w:rPr>
                      <w:sz w:val="24"/>
                      <w:szCs w:val="24"/>
                      <w:lang w:val="es-ES"/>
                    </w:rPr>
                    <w:t xml:space="preserve">Ocaso/ </w:t>
                  </w:r>
                  <w:r w:rsidR="00784F27">
                    <w:rPr>
                      <w:sz w:val="24"/>
                      <w:szCs w:val="24"/>
                      <w:lang w:val="es-ES"/>
                    </w:rPr>
                    <w:t xml:space="preserve">derogación </w:t>
                  </w:r>
                  <w:r w:rsidR="00FC5050" w:rsidRPr="00B11A6C">
                    <w:rPr>
                      <w:sz w:val="24"/>
                      <w:szCs w:val="24"/>
                      <w:lang w:val="es-ES"/>
                    </w:rPr>
                    <w:t>de la ley</w:t>
                  </w:r>
                </w:p>
              </w:txbxContent>
            </v:textbox>
          </v:shape>
        </w:pict>
      </w:r>
    </w:p>
    <w:p w:rsidR="005A1330" w:rsidRDefault="00A53DE6" w:rsidP="00E97D3E">
      <w:pPr>
        <w:tabs>
          <w:tab w:val="left" w:pos="1680"/>
        </w:tabs>
      </w:pPr>
      <w:r w:rsidRPr="00A53DE6">
        <w:rPr>
          <w:rFonts w:cstheme="minorHAnsi"/>
          <w:noProof/>
          <w:sz w:val="24"/>
          <w:szCs w:val="24"/>
          <w:lang w:val="es-ES"/>
        </w:rPr>
        <w:pict>
          <v:shape id="_x0000_s1052" type="#_x0000_t202" style="position:absolute;margin-left:-22.3pt;margin-top:11.35pt;width:188.2pt;height:194.6pt;z-index:251705344;mso-width-relative:margin;mso-height-relative:margin">
            <v:textbox>
              <w:txbxContent>
                <w:p w:rsidR="000D2A9F" w:rsidRDefault="000D2A9F" w:rsidP="00B11A6C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0D2A9F" w:rsidRDefault="000D2A9F" w:rsidP="00B11A6C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  <w:p w:rsidR="00B11A6C" w:rsidRDefault="00B11A6C" w:rsidP="00B11A6C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B11A6C">
                    <w:rPr>
                      <w:sz w:val="24"/>
                      <w:szCs w:val="24"/>
                      <w:lang w:val="es-ES"/>
                    </w:rPr>
                    <w:t>Otros datos que consideres relevantes de la ley.</w:t>
                  </w:r>
                </w:p>
                <w:p w:rsidR="007E7769" w:rsidRPr="00B11A6C" w:rsidRDefault="007E7769" w:rsidP="007E7769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xbxContent>
            </v:textbox>
          </v:shape>
        </w:pict>
      </w:r>
      <w:r w:rsidRPr="00A53DE6">
        <w:rPr>
          <w:rFonts w:cstheme="minorHAnsi"/>
          <w:noProof/>
          <w:sz w:val="24"/>
          <w:szCs w:val="24"/>
          <w:lang w:val="es-ES"/>
        </w:rPr>
        <w:pict>
          <v:shape id="_x0000_s1053" type="#_x0000_t202" style="position:absolute;margin-left:165.35pt;margin-top:11.35pt;width:289.85pt;height:194.6pt;z-index:251707392;mso-width-relative:margin;mso-height-relative:margin">
            <v:textbox>
              <w:txbxContent>
                <w:p w:rsidR="000D2A9F" w:rsidRDefault="006405CA">
                  <w:pPr>
                    <w:rPr>
                      <w:rFonts w:ascii="Arial" w:hAnsi="Arial" w:cs="Arial"/>
                      <w:color w:val="111111"/>
                      <w:sz w:val="26"/>
                      <w:szCs w:val="26"/>
                      <w:shd w:val="clear" w:color="auto" w:fill="F5F5F5"/>
                    </w:rPr>
                  </w:pPr>
                  <w:r w:rsidRPr="000D2A9F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>La LES no pudo cumplir en estos 20 años su objetivo de máxima: avanzar en el arancelamiento total y privatización liquidando la conquista de la universidad pública y masiva, gracias a la resistencia de docentes y estudiantes que protagonizaron masivas luchas en las distintas facultades y universidades contra su aplicación.</w:t>
                  </w:r>
                  <w:r w:rsidR="000D2A9F" w:rsidRPr="000D2A9F">
                    <w:rPr>
                      <w:rFonts w:ascii="Arial" w:hAnsi="Arial" w:cs="Arial"/>
                      <w:color w:val="111111"/>
                      <w:sz w:val="26"/>
                      <w:szCs w:val="26"/>
                      <w:shd w:val="clear" w:color="auto" w:fill="F5F5F5"/>
                    </w:rPr>
                    <w:t xml:space="preserve"> </w:t>
                  </w:r>
                </w:p>
                <w:p w:rsidR="000F6D02" w:rsidRPr="000D2A9F" w:rsidRDefault="000D2A9F">
                  <w:pPr>
                    <w:rPr>
                      <w:rFonts w:cstheme="minorHAnsi"/>
                      <w:sz w:val="24"/>
                      <w:szCs w:val="24"/>
                      <w:lang w:val="es-ES"/>
                    </w:rPr>
                  </w:pPr>
                  <w:r w:rsidRPr="000D2A9F">
                    <w:rPr>
                      <w:rFonts w:cstheme="minorHAnsi"/>
                      <w:color w:val="111111"/>
                      <w:sz w:val="24"/>
                      <w:szCs w:val="24"/>
                      <w:shd w:val="clear" w:color="auto" w:fill="F5F5F5"/>
                    </w:rPr>
                    <w:t>El Estado Nacional</w:t>
                  </w:r>
                  <w:r>
                    <w:rPr>
                      <w:rFonts w:cstheme="minorHAnsi"/>
                      <w:color w:val="111111"/>
                      <w:sz w:val="24"/>
                      <w:szCs w:val="24"/>
                      <w:shd w:val="clear" w:color="auto" w:fill="F5F5F5"/>
                    </w:rPr>
                    <w:t xml:space="preserve"> controla a las Universidades nacionales. </w:t>
                  </w:r>
                  <w:r w:rsidRPr="000D2A9F">
                    <w:rPr>
                      <w:rFonts w:cstheme="minorHAnsi"/>
                      <w:color w:val="111111"/>
                      <w:sz w:val="24"/>
                      <w:szCs w:val="24"/>
                      <w:shd w:val="clear" w:color="auto" w:fill="F5F5F5"/>
                    </w:rPr>
                    <w:t>Las universidades privadas también están bajo el control del Estado Nacional</w:t>
                  </w:r>
                  <w:r>
                    <w:rPr>
                      <w:rFonts w:ascii="Arial" w:hAnsi="Arial" w:cs="Arial"/>
                      <w:color w:val="111111"/>
                      <w:sz w:val="26"/>
                      <w:szCs w:val="26"/>
                      <w:shd w:val="clear" w:color="auto" w:fill="F5F5F5"/>
                    </w:rPr>
                    <w:t>.</w:t>
                  </w:r>
                </w:p>
              </w:txbxContent>
            </v:textbox>
          </v:shape>
        </w:pict>
      </w:r>
    </w:p>
    <w:p w:rsidR="005A1330" w:rsidRDefault="005A1330" w:rsidP="00E97D3E">
      <w:pPr>
        <w:tabs>
          <w:tab w:val="left" w:pos="1680"/>
        </w:tabs>
      </w:pPr>
    </w:p>
    <w:p w:rsidR="00DF2A49" w:rsidRDefault="00DF2A49" w:rsidP="00E97D3E">
      <w:pPr>
        <w:tabs>
          <w:tab w:val="left" w:pos="1680"/>
        </w:tabs>
      </w:pPr>
    </w:p>
    <w:p w:rsidR="00DF2A49" w:rsidRPr="00DF2A49" w:rsidRDefault="00DF2A49" w:rsidP="00DF2A49"/>
    <w:p w:rsidR="00DF2A49" w:rsidRPr="00DF2A49" w:rsidRDefault="00DF2A49" w:rsidP="00DF2A49"/>
    <w:p w:rsidR="00DF2A49" w:rsidRPr="00DF2A49" w:rsidRDefault="00DF2A49" w:rsidP="00DF2A49"/>
    <w:p w:rsidR="00DF2A49" w:rsidRDefault="00DF2A49" w:rsidP="00DF2A49"/>
    <w:p w:rsidR="009C0236" w:rsidRDefault="00DF2A49" w:rsidP="00365856">
      <w:pPr>
        <w:shd w:val="clear" w:color="auto" w:fill="FFFFFF"/>
        <w:spacing w:after="60" w:line="240" w:lineRule="auto"/>
        <w:rPr>
          <w:rFonts w:cstheme="minorHAnsi"/>
          <w:sz w:val="24"/>
          <w:szCs w:val="24"/>
        </w:rPr>
      </w:pPr>
      <w:r w:rsidRPr="00DF2A49">
        <w:rPr>
          <w:rFonts w:cstheme="minorHAnsi"/>
          <w:sz w:val="24"/>
          <w:szCs w:val="24"/>
        </w:rPr>
        <w:tab/>
      </w: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9C0236" w:rsidRPr="009C0236" w:rsidRDefault="009C0236" w:rsidP="009C0236">
      <w:pPr>
        <w:rPr>
          <w:rFonts w:cstheme="minorHAnsi"/>
          <w:sz w:val="24"/>
          <w:szCs w:val="24"/>
        </w:rPr>
      </w:pPr>
    </w:p>
    <w:p w:rsidR="005A1330" w:rsidRDefault="009C0236" w:rsidP="009C0236">
      <w:pPr>
        <w:tabs>
          <w:tab w:val="left" w:pos="28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212C30" w:rsidRDefault="00212C30" w:rsidP="009C0236">
      <w:pPr>
        <w:tabs>
          <w:tab w:val="left" w:pos="2865"/>
        </w:tabs>
        <w:rPr>
          <w:rFonts w:cstheme="minorHAnsi"/>
          <w:sz w:val="24"/>
          <w:szCs w:val="24"/>
        </w:rPr>
      </w:pPr>
    </w:p>
    <w:p w:rsidR="00212C30" w:rsidRPr="00212C30" w:rsidRDefault="00212C30" w:rsidP="00212C30">
      <w:pPr>
        <w:rPr>
          <w:rFonts w:cstheme="minorHAnsi"/>
          <w:sz w:val="24"/>
          <w:szCs w:val="24"/>
        </w:rPr>
      </w:pPr>
    </w:p>
    <w:p w:rsidR="00212C30" w:rsidRPr="00212C30" w:rsidRDefault="00212C30" w:rsidP="00212C30">
      <w:pPr>
        <w:rPr>
          <w:rFonts w:cstheme="minorHAnsi"/>
          <w:sz w:val="24"/>
          <w:szCs w:val="24"/>
        </w:rPr>
      </w:pPr>
    </w:p>
    <w:p w:rsidR="00441C7F" w:rsidRDefault="00441C7F" w:rsidP="00322945">
      <w:pPr>
        <w:ind w:firstLine="708"/>
        <w:rPr>
          <w:rFonts w:cstheme="minorHAnsi"/>
          <w:sz w:val="24"/>
          <w:szCs w:val="24"/>
        </w:rPr>
      </w:pPr>
    </w:p>
    <w:p w:rsidR="00441C7F" w:rsidRPr="00441C7F" w:rsidRDefault="00441C7F" w:rsidP="00441C7F">
      <w:pPr>
        <w:rPr>
          <w:rFonts w:cstheme="minorHAnsi"/>
          <w:sz w:val="24"/>
          <w:szCs w:val="24"/>
        </w:rPr>
      </w:pPr>
    </w:p>
    <w:p w:rsidR="00441C7F" w:rsidRPr="00441C7F" w:rsidRDefault="00441C7F" w:rsidP="00441C7F">
      <w:pPr>
        <w:rPr>
          <w:rFonts w:cstheme="minorHAnsi"/>
          <w:sz w:val="24"/>
          <w:szCs w:val="24"/>
        </w:rPr>
      </w:pPr>
    </w:p>
    <w:p w:rsidR="00441C7F" w:rsidRPr="00441C7F" w:rsidRDefault="00441C7F" w:rsidP="00441C7F">
      <w:pPr>
        <w:rPr>
          <w:rFonts w:cstheme="minorHAnsi"/>
          <w:sz w:val="24"/>
          <w:szCs w:val="24"/>
        </w:rPr>
      </w:pPr>
    </w:p>
    <w:p w:rsidR="00441C7F" w:rsidRPr="00441C7F" w:rsidRDefault="00441C7F" w:rsidP="00441C7F">
      <w:pPr>
        <w:rPr>
          <w:rFonts w:cstheme="minorHAnsi"/>
          <w:sz w:val="24"/>
          <w:szCs w:val="24"/>
        </w:rPr>
      </w:pPr>
    </w:p>
    <w:p w:rsidR="00441C7F" w:rsidRDefault="00441C7F" w:rsidP="00441C7F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</w:p>
    <w:p w:rsidR="000F6D02" w:rsidRDefault="000F6D02" w:rsidP="00441C7F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</w:p>
    <w:p w:rsidR="000F6D02" w:rsidRDefault="000F6D02" w:rsidP="00441C7F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</w:p>
    <w:p w:rsidR="000F6D02" w:rsidRDefault="000F6D02" w:rsidP="00441C7F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</w:p>
    <w:p w:rsidR="000F6D02" w:rsidRDefault="000F6D02" w:rsidP="00441C7F">
      <w:pPr>
        <w:rPr>
          <w:rFonts w:cstheme="minorHAnsi"/>
          <w:sz w:val="24"/>
          <w:szCs w:val="24"/>
        </w:rPr>
      </w:pPr>
    </w:p>
    <w:p w:rsidR="008E62FD" w:rsidRDefault="008E62FD" w:rsidP="00441C7F">
      <w:pPr>
        <w:rPr>
          <w:rFonts w:cstheme="minorHAnsi"/>
          <w:sz w:val="24"/>
          <w:szCs w:val="24"/>
        </w:rPr>
      </w:pPr>
    </w:p>
    <w:p w:rsidR="008E62FD" w:rsidRDefault="008E62FD" w:rsidP="00441C7F">
      <w:pPr>
        <w:rPr>
          <w:rFonts w:cstheme="minorHAnsi"/>
          <w:sz w:val="24"/>
          <w:szCs w:val="24"/>
        </w:rPr>
      </w:pPr>
    </w:p>
    <w:p w:rsidR="008E62FD" w:rsidRDefault="008E62FD" w:rsidP="00441C7F">
      <w:pPr>
        <w:rPr>
          <w:rFonts w:cstheme="minorHAnsi"/>
          <w:sz w:val="24"/>
          <w:szCs w:val="24"/>
        </w:rPr>
      </w:pPr>
    </w:p>
    <w:p w:rsidR="008E62FD" w:rsidRDefault="008E62FD" w:rsidP="00441C7F">
      <w:pPr>
        <w:rPr>
          <w:rFonts w:cstheme="minorHAnsi"/>
          <w:sz w:val="24"/>
          <w:szCs w:val="24"/>
        </w:rPr>
      </w:pPr>
    </w:p>
    <w:p w:rsidR="008E62FD" w:rsidRDefault="008E62FD" w:rsidP="00441C7F">
      <w:pPr>
        <w:rPr>
          <w:rFonts w:cstheme="minorHAnsi"/>
          <w:sz w:val="24"/>
          <w:szCs w:val="24"/>
        </w:rPr>
      </w:pPr>
    </w:p>
    <w:p w:rsidR="008E62FD" w:rsidRPr="00441C7F" w:rsidRDefault="008E62FD" w:rsidP="00441C7F">
      <w:pPr>
        <w:rPr>
          <w:rFonts w:cstheme="minorHAnsi"/>
          <w:sz w:val="24"/>
          <w:szCs w:val="24"/>
        </w:rPr>
      </w:pPr>
    </w:p>
    <w:p w:rsidR="00322945" w:rsidRPr="00441C7F" w:rsidRDefault="00441C7F" w:rsidP="00441C7F">
      <w:pPr>
        <w:tabs>
          <w:tab w:val="left" w:pos="2130"/>
        </w:tabs>
        <w:rPr>
          <w:rFonts w:cstheme="minorHAnsi"/>
          <w:sz w:val="24"/>
          <w:szCs w:val="24"/>
        </w:rPr>
      </w:pPr>
      <w:r w:rsidRPr="00441C7F">
        <w:rPr>
          <w:rFonts w:cstheme="minorHAnsi"/>
          <w:color w:val="444950"/>
          <w:sz w:val="24"/>
          <w:szCs w:val="24"/>
          <w:shd w:val="clear" w:color="auto" w:fill="F1F0F0"/>
        </w:rPr>
        <w:t>.</w:t>
      </w:r>
      <w:r w:rsidRPr="00441C7F">
        <w:rPr>
          <w:rFonts w:cstheme="minorHAnsi"/>
          <w:color w:val="444950"/>
          <w:sz w:val="24"/>
          <w:szCs w:val="24"/>
        </w:rPr>
        <w:br/>
      </w:r>
      <w:r w:rsidRPr="00441C7F">
        <w:rPr>
          <w:rFonts w:cstheme="minorHAnsi"/>
          <w:color w:val="444950"/>
          <w:sz w:val="24"/>
          <w:szCs w:val="24"/>
        </w:rPr>
        <w:br/>
      </w:r>
    </w:p>
    <w:sectPr w:rsidR="00322945" w:rsidRPr="00441C7F" w:rsidSect="00AA03AB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734" w:rsidRDefault="00417734" w:rsidP="006A7CD2">
      <w:pPr>
        <w:spacing w:after="0" w:line="240" w:lineRule="auto"/>
      </w:pPr>
      <w:r>
        <w:separator/>
      </w:r>
    </w:p>
  </w:endnote>
  <w:endnote w:type="continuationSeparator" w:id="1">
    <w:p w:rsidR="00417734" w:rsidRDefault="00417734" w:rsidP="006A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236" w:rsidRDefault="009C0236">
    <w:pPr>
      <w:pStyle w:val="Piedepgina"/>
    </w:pPr>
  </w:p>
  <w:p w:rsidR="009C0236" w:rsidRDefault="009C0236">
    <w:pPr>
      <w:pStyle w:val="Piedepgina"/>
    </w:pPr>
  </w:p>
  <w:p w:rsidR="009C0236" w:rsidRDefault="009C0236">
    <w:pPr>
      <w:pStyle w:val="Piedepgina"/>
    </w:pPr>
  </w:p>
  <w:p w:rsidR="009C0236" w:rsidRDefault="009C023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734" w:rsidRDefault="00417734" w:rsidP="006A7CD2">
      <w:pPr>
        <w:spacing w:after="0" w:line="240" w:lineRule="auto"/>
      </w:pPr>
      <w:r>
        <w:separator/>
      </w:r>
    </w:p>
  </w:footnote>
  <w:footnote w:type="continuationSeparator" w:id="1">
    <w:p w:rsidR="00417734" w:rsidRDefault="00417734" w:rsidP="006A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EF4"/>
    <w:multiLevelType w:val="multilevel"/>
    <w:tmpl w:val="7998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E77231"/>
    <w:multiLevelType w:val="multilevel"/>
    <w:tmpl w:val="306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4B3E3C"/>
    <w:multiLevelType w:val="multilevel"/>
    <w:tmpl w:val="7A2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E04C62"/>
    <w:multiLevelType w:val="multilevel"/>
    <w:tmpl w:val="1A5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637ACA"/>
    <w:multiLevelType w:val="hybridMultilevel"/>
    <w:tmpl w:val="B30AFD52"/>
    <w:lvl w:ilvl="0" w:tplc="2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27147385"/>
    <w:multiLevelType w:val="hybridMultilevel"/>
    <w:tmpl w:val="0298D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53FDD"/>
    <w:multiLevelType w:val="hybridMultilevel"/>
    <w:tmpl w:val="830618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C78FA"/>
    <w:multiLevelType w:val="hybridMultilevel"/>
    <w:tmpl w:val="2C123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9461E"/>
    <w:multiLevelType w:val="hybridMultilevel"/>
    <w:tmpl w:val="DD84D3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54010"/>
    <w:multiLevelType w:val="multilevel"/>
    <w:tmpl w:val="BA6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554FA8"/>
    <w:multiLevelType w:val="multilevel"/>
    <w:tmpl w:val="69A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645261"/>
    <w:multiLevelType w:val="multilevel"/>
    <w:tmpl w:val="1A80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420305"/>
    <w:multiLevelType w:val="multilevel"/>
    <w:tmpl w:val="2C52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782C55"/>
    <w:multiLevelType w:val="multilevel"/>
    <w:tmpl w:val="E872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5A69AD"/>
    <w:multiLevelType w:val="multilevel"/>
    <w:tmpl w:val="E04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240B9D"/>
    <w:multiLevelType w:val="multilevel"/>
    <w:tmpl w:val="72D6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E01702"/>
    <w:multiLevelType w:val="multilevel"/>
    <w:tmpl w:val="9F9E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D97632"/>
    <w:multiLevelType w:val="multilevel"/>
    <w:tmpl w:val="3B8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91799E"/>
    <w:multiLevelType w:val="multilevel"/>
    <w:tmpl w:val="08B0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CC7FF1"/>
    <w:multiLevelType w:val="multilevel"/>
    <w:tmpl w:val="387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87B3BFD"/>
    <w:multiLevelType w:val="hybridMultilevel"/>
    <w:tmpl w:val="4E941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7B3D8A"/>
    <w:multiLevelType w:val="multilevel"/>
    <w:tmpl w:val="35C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7D3D0C"/>
    <w:multiLevelType w:val="multilevel"/>
    <w:tmpl w:val="6AF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FB4517B"/>
    <w:multiLevelType w:val="hybridMultilevel"/>
    <w:tmpl w:val="4C501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C928A8"/>
    <w:multiLevelType w:val="hybridMultilevel"/>
    <w:tmpl w:val="005C0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71847"/>
    <w:multiLevelType w:val="multilevel"/>
    <w:tmpl w:val="101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03B65DE"/>
    <w:multiLevelType w:val="multilevel"/>
    <w:tmpl w:val="7E3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13"/>
  </w:num>
  <w:num w:numId="5">
    <w:abstractNumId w:val="15"/>
  </w:num>
  <w:num w:numId="6">
    <w:abstractNumId w:val="12"/>
  </w:num>
  <w:num w:numId="7">
    <w:abstractNumId w:val="26"/>
  </w:num>
  <w:num w:numId="8">
    <w:abstractNumId w:val="17"/>
  </w:num>
  <w:num w:numId="9">
    <w:abstractNumId w:val="3"/>
  </w:num>
  <w:num w:numId="10">
    <w:abstractNumId w:val="25"/>
  </w:num>
  <w:num w:numId="11">
    <w:abstractNumId w:val="24"/>
  </w:num>
  <w:num w:numId="12">
    <w:abstractNumId w:val="18"/>
  </w:num>
  <w:num w:numId="13">
    <w:abstractNumId w:val="10"/>
  </w:num>
  <w:num w:numId="14">
    <w:abstractNumId w:val="1"/>
  </w:num>
  <w:num w:numId="15">
    <w:abstractNumId w:val="11"/>
  </w:num>
  <w:num w:numId="16">
    <w:abstractNumId w:val="9"/>
  </w:num>
  <w:num w:numId="17">
    <w:abstractNumId w:val="20"/>
  </w:num>
  <w:num w:numId="18">
    <w:abstractNumId w:val="2"/>
  </w:num>
  <w:num w:numId="19">
    <w:abstractNumId w:val="19"/>
  </w:num>
  <w:num w:numId="20">
    <w:abstractNumId w:val="16"/>
  </w:num>
  <w:num w:numId="21">
    <w:abstractNumId w:val="6"/>
  </w:num>
  <w:num w:numId="22">
    <w:abstractNumId w:val="23"/>
  </w:num>
  <w:num w:numId="23">
    <w:abstractNumId w:val="0"/>
  </w:num>
  <w:num w:numId="24">
    <w:abstractNumId w:val="7"/>
  </w:num>
  <w:num w:numId="25">
    <w:abstractNumId w:val="5"/>
  </w:num>
  <w:num w:numId="26">
    <w:abstractNumId w:val="4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D3E"/>
    <w:rsid w:val="00007364"/>
    <w:rsid w:val="00030652"/>
    <w:rsid w:val="0003577A"/>
    <w:rsid w:val="00055FB6"/>
    <w:rsid w:val="00065F1A"/>
    <w:rsid w:val="000B1B03"/>
    <w:rsid w:val="000D1760"/>
    <w:rsid w:val="000D2A9F"/>
    <w:rsid w:val="000F6D02"/>
    <w:rsid w:val="00101AFF"/>
    <w:rsid w:val="00120C8E"/>
    <w:rsid w:val="00153939"/>
    <w:rsid w:val="00177CD9"/>
    <w:rsid w:val="00187AB3"/>
    <w:rsid w:val="001D7221"/>
    <w:rsid w:val="00212C30"/>
    <w:rsid w:val="002876A8"/>
    <w:rsid w:val="00296BC9"/>
    <w:rsid w:val="002C44D7"/>
    <w:rsid w:val="002D735A"/>
    <w:rsid w:val="00301383"/>
    <w:rsid w:val="00306935"/>
    <w:rsid w:val="00322945"/>
    <w:rsid w:val="00334381"/>
    <w:rsid w:val="00342C22"/>
    <w:rsid w:val="0034675A"/>
    <w:rsid w:val="00347658"/>
    <w:rsid w:val="00360816"/>
    <w:rsid w:val="003634DD"/>
    <w:rsid w:val="00365856"/>
    <w:rsid w:val="003F443F"/>
    <w:rsid w:val="003F6034"/>
    <w:rsid w:val="00417734"/>
    <w:rsid w:val="00441C7F"/>
    <w:rsid w:val="00483F30"/>
    <w:rsid w:val="00485EBB"/>
    <w:rsid w:val="004C1202"/>
    <w:rsid w:val="004E7DD7"/>
    <w:rsid w:val="004F3D6F"/>
    <w:rsid w:val="00521E26"/>
    <w:rsid w:val="0058046C"/>
    <w:rsid w:val="005A1330"/>
    <w:rsid w:val="005D1962"/>
    <w:rsid w:val="005F7E54"/>
    <w:rsid w:val="00612A16"/>
    <w:rsid w:val="006405CA"/>
    <w:rsid w:val="00640BA8"/>
    <w:rsid w:val="00680399"/>
    <w:rsid w:val="006A0AD4"/>
    <w:rsid w:val="006A4563"/>
    <w:rsid w:val="006A7CD2"/>
    <w:rsid w:val="006E4859"/>
    <w:rsid w:val="007346D1"/>
    <w:rsid w:val="0075258D"/>
    <w:rsid w:val="00773279"/>
    <w:rsid w:val="00774F65"/>
    <w:rsid w:val="00776A3C"/>
    <w:rsid w:val="00784F27"/>
    <w:rsid w:val="00785264"/>
    <w:rsid w:val="007B2823"/>
    <w:rsid w:val="007B522A"/>
    <w:rsid w:val="007E483C"/>
    <w:rsid w:val="007E7769"/>
    <w:rsid w:val="007F5B06"/>
    <w:rsid w:val="008203AA"/>
    <w:rsid w:val="0083673E"/>
    <w:rsid w:val="008646A6"/>
    <w:rsid w:val="00867880"/>
    <w:rsid w:val="008720DA"/>
    <w:rsid w:val="008829AF"/>
    <w:rsid w:val="008915CC"/>
    <w:rsid w:val="008A2FB1"/>
    <w:rsid w:val="008A66C6"/>
    <w:rsid w:val="008B4737"/>
    <w:rsid w:val="008E21A9"/>
    <w:rsid w:val="008E62FD"/>
    <w:rsid w:val="008F19CE"/>
    <w:rsid w:val="009115A9"/>
    <w:rsid w:val="00917568"/>
    <w:rsid w:val="00927578"/>
    <w:rsid w:val="00944A8A"/>
    <w:rsid w:val="00961808"/>
    <w:rsid w:val="009735C6"/>
    <w:rsid w:val="009C0236"/>
    <w:rsid w:val="009D54D6"/>
    <w:rsid w:val="009D553D"/>
    <w:rsid w:val="00A120BF"/>
    <w:rsid w:val="00A53DE6"/>
    <w:rsid w:val="00A62980"/>
    <w:rsid w:val="00A75444"/>
    <w:rsid w:val="00A908B0"/>
    <w:rsid w:val="00AA03AB"/>
    <w:rsid w:val="00AA0A0F"/>
    <w:rsid w:val="00AC0717"/>
    <w:rsid w:val="00AE6A1A"/>
    <w:rsid w:val="00B11A6C"/>
    <w:rsid w:val="00B42064"/>
    <w:rsid w:val="00B53D4D"/>
    <w:rsid w:val="00B620EF"/>
    <w:rsid w:val="00B65F73"/>
    <w:rsid w:val="00B7402F"/>
    <w:rsid w:val="00B97DAB"/>
    <w:rsid w:val="00BA457C"/>
    <w:rsid w:val="00BC46E7"/>
    <w:rsid w:val="00BE573E"/>
    <w:rsid w:val="00C27802"/>
    <w:rsid w:val="00C362EF"/>
    <w:rsid w:val="00C42DD3"/>
    <w:rsid w:val="00C60DFF"/>
    <w:rsid w:val="00C6382A"/>
    <w:rsid w:val="00C81D5A"/>
    <w:rsid w:val="00C873B1"/>
    <w:rsid w:val="00CF11AC"/>
    <w:rsid w:val="00CF214A"/>
    <w:rsid w:val="00CF6BEA"/>
    <w:rsid w:val="00D32A0F"/>
    <w:rsid w:val="00DB1D3D"/>
    <w:rsid w:val="00DF2A49"/>
    <w:rsid w:val="00E37CDD"/>
    <w:rsid w:val="00E40104"/>
    <w:rsid w:val="00E477EB"/>
    <w:rsid w:val="00E9747B"/>
    <w:rsid w:val="00E975A7"/>
    <w:rsid w:val="00E97D3E"/>
    <w:rsid w:val="00EB3F9A"/>
    <w:rsid w:val="00ED520C"/>
    <w:rsid w:val="00EF0DF0"/>
    <w:rsid w:val="00F24100"/>
    <w:rsid w:val="00F45BCE"/>
    <w:rsid w:val="00F47416"/>
    <w:rsid w:val="00F9378A"/>
    <w:rsid w:val="00FB56B4"/>
    <w:rsid w:val="00FB7600"/>
    <w:rsid w:val="00FC48FB"/>
    <w:rsid w:val="00FC5050"/>
    <w:rsid w:val="00FE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D3E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342C22"/>
  </w:style>
  <w:style w:type="character" w:customStyle="1" w:styleId="Cuerpodeltexto14">
    <w:name w:val="Cuerpo del texto + 14"/>
    <w:aliases w:val="5 pto,Negrita,Espaciado 0 pto,Cuerpo del texto + 14 pto,Cursiva"/>
    <w:basedOn w:val="Fuentedeprrafopredeter"/>
    <w:rsid w:val="000D1760"/>
    <w:rPr>
      <w:rFonts w:ascii="Times New Roman" w:eastAsia="Times New Roman" w:hAnsi="Times New Roman" w:cs="Times New Roman"/>
      <w:b/>
      <w:bCs/>
      <w:color w:val="000000"/>
      <w:spacing w:val="5"/>
      <w:w w:val="100"/>
      <w:position w:val="0"/>
      <w:sz w:val="29"/>
      <w:szCs w:val="29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6A7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7CD2"/>
  </w:style>
  <w:style w:type="paragraph" w:styleId="Piedepgina">
    <w:name w:val="footer"/>
    <w:basedOn w:val="Normal"/>
    <w:link w:val="PiedepginaCar"/>
    <w:uiPriority w:val="99"/>
    <w:semiHidden/>
    <w:unhideWhenUsed/>
    <w:rsid w:val="006A7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7CD2"/>
  </w:style>
  <w:style w:type="character" w:styleId="Textoennegrita">
    <w:name w:val="Strong"/>
    <w:basedOn w:val="Fuentedeprrafopredeter"/>
    <w:uiPriority w:val="22"/>
    <w:qFormat/>
    <w:rsid w:val="00A7544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754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1AFF"/>
    <w:pPr>
      <w:ind w:left="720"/>
      <w:contextualSpacing/>
    </w:pPr>
  </w:style>
  <w:style w:type="character" w:customStyle="1" w:styleId="Cuerpodeltexto">
    <w:name w:val="Cuerpo del texto_"/>
    <w:basedOn w:val="Fuentedeprrafopredeter"/>
    <w:link w:val="Cuerpodeltexto0"/>
    <w:locked/>
    <w:rsid w:val="004F3D6F"/>
    <w:rPr>
      <w:rFonts w:ascii="Times New Roman" w:eastAsia="Times New Roman" w:hAnsi="Times New Roman" w:cs="Times New Roman"/>
      <w:sz w:val="80"/>
      <w:szCs w:val="80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4F3D6F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80"/>
      <w:szCs w:val="80"/>
    </w:rPr>
  </w:style>
  <w:style w:type="character" w:customStyle="1" w:styleId="l8">
    <w:name w:val="l8"/>
    <w:basedOn w:val="Fuentedeprrafopredeter"/>
    <w:rsid w:val="00441C7F"/>
  </w:style>
  <w:style w:type="character" w:customStyle="1" w:styleId="l6">
    <w:name w:val="l6"/>
    <w:basedOn w:val="Fuentedeprrafopredeter"/>
    <w:rsid w:val="00441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C48A7-93D5-4865-AE42-36C749A0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</dc:creator>
  <cp:lastModifiedBy>Juan</cp:lastModifiedBy>
  <cp:revision>23</cp:revision>
  <dcterms:created xsi:type="dcterms:W3CDTF">2018-10-14T23:43:00Z</dcterms:created>
  <dcterms:modified xsi:type="dcterms:W3CDTF">2018-11-09T20:12:00Z</dcterms:modified>
</cp:coreProperties>
</file>