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0A" w:rsidRPr="00D5540A" w:rsidRDefault="00D5540A" w:rsidP="00D5540A">
      <w:pPr>
        <w:shd w:val="clear" w:color="auto" w:fill="FFFFFF"/>
        <w:spacing w:after="240" w:line="960" w:lineRule="atLeast"/>
        <w:jc w:val="center"/>
        <w:outlineLvl w:val="1"/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</w:pPr>
      <w:r w:rsidRPr="00D5540A">
        <w:rPr>
          <w:rFonts w:ascii="Bradley Hand ITC" w:eastAsia="Times New Roman" w:hAnsi="Bradley Hand ITC" w:cs="Times New Roman"/>
          <w:b/>
          <w:bCs/>
          <w:color w:val="auto"/>
          <w:spacing w:val="-36"/>
          <w:sz w:val="72"/>
          <w:szCs w:val="72"/>
          <w:lang w:eastAsia="pt-BR"/>
        </w:rPr>
        <w:t>Economia Internacional</w:t>
      </w:r>
    </w:p>
    <w:p w:rsidR="00883F89" w:rsidRDefault="00883F89"/>
    <w:p w:rsidR="00D5540A" w:rsidRDefault="00D5540A" w:rsidP="00D5540A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>
        <w:t>comércio entre diferentes nações é tão antigo quanto a própria ideia de civilização. O surgimento da moeda facilitou as trocas, mas por volta do século XVI o comércio internacional tomou um grande impulso em razão de uma série de inovações, como as caravelas e os instrumentos de navegação marítima, que permitiram que as relações comerciais se expandissem para muito além dos limites da Europa e da Ásia. Nos tempos atuais, podemos observar um outro momento de grande intensificação do comércio por meio da evolução das tecnologias da informação e comunicação. Os mercados mundiais passaram a ditar o ritmo das transações e as fronteiras nacionais perderam sua capacidade de proteger mercados internos, exigindo uma nova atitude dos agentes econômicos</w:t>
      </w:r>
      <w:r>
        <w:t>.</w:t>
      </w:r>
    </w:p>
    <w:p w:rsidR="00D5540A" w:rsidRDefault="00D5540A" w:rsidP="00D5540A"/>
    <w:p w:rsidR="00D5540A" w:rsidRPr="00D5540A" w:rsidRDefault="00D5540A" w:rsidP="00D5540A">
      <w:pPr>
        <w:rPr>
          <w:color w:val="666666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Estruturação do mercado global</w:t>
      </w:r>
      <w:r>
        <w:t xml:space="preserve">: </w:t>
      </w:r>
      <w:r>
        <w:t xml:space="preserve">A partir da década de 80, diversos países industrializados iniciaram um processo de desregulamentação de seus mercados. É o início do processo que é geralmente conhecido como globalização ou mundialização da economia. As medidas de proteção que existiam nesses países, tais como barreiras alfandegárias e reservas de mercado, foram extintas com o objetivo de dinamizar ainda mais as trocas comerciais entre países. Já nos anos 90, os países em desenvolvimento começaram a implementar medidas no mesmo sentido. Muitas dessas políticas de desregulamentação e abertura de mercados estavam baseadas no pensamento de um economista do século XVI chamado David Ricardo que defendia a ideia de que os países deveriam se especializar na produção das mercadorias em que eles fossem mais eficientes em relação a outros países. Um exemplo simples para entender essa ideia é considerar uma situação em que o país A produza o produto X utilizando 4 horas de trabalho e o produto Y utilizando 2 horas. Já o país B produz a mercadoria X utilizando 5 </w:t>
      </w:r>
      <w:r>
        <w:t>horas e a Y utilizando 3 horas.</w:t>
      </w:r>
    </w:p>
    <w:p w:rsidR="00D5540A" w:rsidRDefault="00D5540A" w:rsidP="00D5540A">
      <w:r>
        <w:t xml:space="preserve">Pela teoria das vantagens absolutas, elaborada por Adam Smith, o país A é mais eficiente na produção das duas mercadorias e, portanto, caberia a ele produzir ambas. O país B seria consumidor dessas mercadorias. No entanto, David Ricardo, ao aplicar a ideia da teoria das vantagens comparativas, elaborada por ele, diria que o país A deve dedicar seus recursos produtivos somente ao produto Y, no qual ele é mais eficiente do ponto de vista econômico e o país B se dedicaria à produção da mercadoria X, mesmo não sendo o mais eficiente. Isso porque, o país A, utilizando mais eficientemente os recursos, geraria mais riqueza e poderia comprar o produto Y do país B. A teoria das vantagens comparativas demonstrou como o comércio internacional pode ser vantajoso para os países. Essa visão da produção e do comércio exterior acabou dando fundamentos para a atual divisão internacional do trabalho, </w:t>
      </w:r>
      <w:r>
        <w:lastRenderedPageBreak/>
        <w:t>onde alguns países dedicam-se majoritariamente à produção de insumos básicos e intermediários, enquanto outros países dedicam-se à produção de bens industrializados. Essa visão do comércio e da economia mundial levou muitas grandes empresas a implementarem as chamadas cadeias globais de valor onde a empresa busca pelas melhores relações comparativas de custo para decidir onde fabricará não todo o produto, mas</w:t>
      </w:r>
      <w:r>
        <w:t xml:space="preserve"> sim partes dele</w:t>
      </w:r>
      <w:r>
        <w:t xml:space="preserve">. Por esse motivo, </w:t>
      </w:r>
      <w:proofErr w:type="gramStart"/>
      <w:r>
        <w:t>muitas empresas de grande porte tem</w:t>
      </w:r>
      <w:proofErr w:type="gramEnd"/>
      <w:r>
        <w:t xml:space="preserve"> subsidiárias, filiais e subcontratadas em várias partes do mundo onde cada uma produz uma parte do produto final que é montado em outro país.</w:t>
      </w:r>
    </w:p>
    <w:p w:rsidR="00D5540A" w:rsidRDefault="00D5540A" w:rsidP="00D5540A"/>
    <w:p w:rsidR="00D5540A" w:rsidRDefault="00D5540A" w:rsidP="00D5540A"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Commodities e taxas de câmbio</w:t>
      </w:r>
      <w:r>
        <w:t xml:space="preserve">: </w:t>
      </w:r>
      <w:r>
        <w:t xml:space="preserve">Nesse contexto de divisão internacional do trabalho, alguns países, entre eles o Brasil, ocupam um lugar central na produção e comercialização de commodities que são produtos com características homogêneas, </w:t>
      </w:r>
      <w:proofErr w:type="spellStart"/>
      <w:r>
        <w:t>independente</w:t>
      </w:r>
      <w:proofErr w:type="spellEnd"/>
      <w:r>
        <w:t xml:space="preserve"> do local de produção. A demanda desses produtos é global por se tratarem de insumos básicos para o processo de transformação industrial e, por isso, a determinação do preço não se limita à demanda e oferta em mercados locais. É a demanda global e sua respectiva oferta que são as forças que determinam o preço que está sempre expresso em dólares.</w:t>
      </w:r>
      <w:r>
        <w:t xml:space="preserve"> </w:t>
      </w:r>
      <w:r>
        <w:t>Como o preço é fixado internacionalmente na moeda americana, a demanda e oferta desses produtos é muito sensível à taxa de câmbio, ou seja, aos valores de conversão da moeda americana em termos da moeda local. </w:t>
      </w:r>
    </w:p>
    <w:p w:rsidR="00D5540A" w:rsidRDefault="00D5540A" w:rsidP="00D5540A">
      <w:bookmarkStart w:id="0" w:name="_GoBack"/>
      <w:bookmarkEnd w:id="0"/>
    </w:p>
    <w:p w:rsidR="00D5540A" w:rsidRDefault="00D5540A" w:rsidP="00D5540A">
      <w:r>
        <w:rPr>
          <w:rStyle w:val="Forte"/>
          <w:rFonts w:ascii="InterUI" w:hAnsi="InterUI"/>
          <w:color w:val="000000"/>
          <w:spacing w:val="-12"/>
          <w:sz w:val="30"/>
          <w:szCs w:val="30"/>
        </w:rPr>
        <w:t>Organizações e acordos mundiais</w:t>
      </w:r>
      <w:r>
        <w:t xml:space="preserve">: </w:t>
      </w:r>
      <w:r>
        <w:t>Com o avanço do processo de globalização, desregulando e abrindo os mercados mundiais, o processo de divisão internacional do trabalho foi intensificado e empresas transnacionais e Estados começaram a adotar medidas que lhes garantissem condições favoráveis para a atividade econômica em seus territórios. Iniciaram-se processo de formação de blocos econômicos em que se adotaram tarifas de importação mais baixas ou simplesmente foram extintas para o trânsito de mercadoria entre os países membros. O Brasil está integrado no Mercosul, juntamente com Paraguai, Uruguai e Argentina. Nesses territórios, uma série de produtos tem tarifas de importação reduzidas entre os países, o que estimula a divisão do trabalho no espaço interno dessa região. Países do leste asiático e da América do Norte trilharam caminhos parecidos. Porém, talvez o exemplo mais intenso de integração econômica de territórios seja o caso da União Europeia. Não só as tarifas de importação entre países do bloco foram reduzidas ou extintas, como também se eliminaram qualquer tipo de barreira para o trânsito de fatores de produção na região, inclusive do trabalho. Cidadãos do bloco podem trabalhar em qualquer um dos países que o compõem. A União Europeia avançou, inclusive, na união monetária, criando uma única moeda para a região, o Euro, e transferindo o controle da política monetária para uma instituição colegiada que estabelece ações para todos os países do bloco.</w:t>
      </w:r>
      <w:r>
        <w:t xml:space="preserve"> </w:t>
      </w:r>
      <w:r>
        <w:t xml:space="preserve">Todos os países capitalistas que estão inseridos no processo de comércio internacional são membros da Organização Mundial do Comércio, a OMC. Esta </w:t>
      </w:r>
      <w:r>
        <w:lastRenderedPageBreak/>
        <w:t>instituição estabelece as regras básicas de comércio entre os países e media conflitos entre seus países membros. Se algum país adotar medidas protecionistas consideradas excessivas em relação a outro, a OMC tem o poder de mediar o conflito e, se necessário, impor sanções a seus membros. </w:t>
      </w:r>
    </w:p>
    <w:p w:rsidR="00D5540A" w:rsidRDefault="00D5540A" w:rsidP="00D5540A">
      <w:pPr>
        <w:rPr>
          <w:color w:val="666666"/>
        </w:rPr>
      </w:pPr>
    </w:p>
    <w:p w:rsidR="00D5540A" w:rsidRDefault="00D5540A" w:rsidP="00D5540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spacing w:val="-12"/>
          <w:sz w:val="30"/>
          <w:szCs w:val="30"/>
        </w:rPr>
      </w:pPr>
    </w:p>
    <w:p w:rsidR="00D5540A" w:rsidRDefault="00D5540A"/>
    <w:sectPr w:rsidR="00D55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27B7B"/>
    <w:multiLevelType w:val="hybridMultilevel"/>
    <w:tmpl w:val="A8A69D0A"/>
    <w:lvl w:ilvl="0" w:tplc="3A5E86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0A"/>
    <w:rsid w:val="006920B5"/>
    <w:rsid w:val="00883F89"/>
    <w:rsid w:val="00A44D17"/>
    <w:rsid w:val="00D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8162"/>
  <w15:chartTrackingRefBased/>
  <w15:docId w15:val="{65904D98-69AA-49E3-99DF-9339B22B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D17"/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D55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54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540A"/>
    <w:rPr>
      <w:b/>
      <w:bCs/>
    </w:rPr>
  </w:style>
  <w:style w:type="paragraph" w:styleId="PargrafodaLista">
    <w:name w:val="List Paragraph"/>
    <w:basedOn w:val="Normal"/>
    <w:uiPriority w:val="34"/>
    <w:qFormat/>
    <w:rsid w:val="00D5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958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2023-10-05T00:27:00Z</dcterms:created>
  <dcterms:modified xsi:type="dcterms:W3CDTF">2023-10-05T00:36:00Z</dcterms:modified>
</cp:coreProperties>
</file>