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9CE" w:rsidRPr="00F149CE" w:rsidRDefault="00F149CE" w:rsidP="00F149CE">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u w:val="double"/>
          <w:lang w:eastAsia="pt-BR"/>
        </w:rPr>
      </w:pPr>
      <w:r w:rsidRPr="00F149CE">
        <w:rPr>
          <w:rFonts w:ascii="AprovaSansBlack" w:eastAsia="Times New Roman" w:hAnsi="AprovaSansBlack" w:cs="Times New Roman"/>
          <w:b/>
          <w:bCs/>
          <w:color w:val="auto"/>
          <w:spacing w:val="-36"/>
          <w:sz w:val="84"/>
          <w:szCs w:val="84"/>
          <w:u w:val="double"/>
          <w:lang w:eastAsia="pt-BR"/>
        </w:rPr>
        <w:t>Endereçamento IPv6</w:t>
      </w:r>
    </w:p>
    <w:p w:rsidR="00883F89" w:rsidRDefault="00883F89"/>
    <w:p w:rsidR="00F149CE" w:rsidRDefault="00F149CE"/>
    <w:p w:rsidR="00F149CE" w:rsidRPr="00F149CE" w:rsidRDefault="00F149CE" w:rsidP="00F149CE">
      <w:pPr>
        <w:pStyle w:val="PargrafodaLista"/>
        <w:numPr>
          <w:ilvl w:val="0"/>
          <w:numId w:val="10"/>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F149CE">
        <w:rPr>
          <w:rFonts w:ascii="InterUI" w:eastAsia="Times New Roman" w:hAnsi="InterUI" w:cs="Times New Roman"/>
          <w:b/>
          <w:bCs/>
          <w:color w:val="000000"/>
          <w:spacing w:val="-12"/>
          <w:sz w:val="30"/>
          <w:szCs w:val="30"/>
          <w:lang w:eastAsia="pt-BR"/>
        </w:rPr>
        <w:t>Relação IPv4 e IPv6</w:t>
      </w:r>
    </w:p>
    <w:p w:rsidR="00F149CE" w:rsidRPr="00F149CE" w:rsidRDefault="00F149CE" w:rsidP="00F149CE">
      <w:r>
        <w:tab/>
      </w:r>
      <w:r w:rsidRPr="00F149CE">
        <w:t>O IPv4 e o IPv6 devem coexistir até que uma transição ocorra. O IETF criou vários protocolos e ferramentas para ajudar os administradores de rede a migrar suas redes para IPv6.</w:t>
      </w:r>
      <w:r>
        <w:t xml:space="preserve"> </w:t>
      </w:r>
      <w:r w:rsidRPr="00F149CE">
        <w:t>As técnicas de migração podem ser divididas em tr</w:t>
      </w:r>
      <w:r>
        <w:t>ês categorias:</w:t>
      </w:r>
    </w:p>
    <w:p w:rsidR="00F149CE" w:rsidRPr="00F149CE" w:rsidRDefault="00F149CE" w:rsidP="00F149CE">
      <w:pPr>
        <w:pStyle w:val="PargrafodaLista"/>
        <w:numPr>
          <w:ilvl w:val="0"/>
          <w:numId w:val="11"/>
        </w:numPr>
      </w:pPr>
      <w:r w:rsidRPr="00F149CE">
        <w:t xml:space="preserve">Dual </w:t>
      </w:r>
      <w:proofErr w:type="spellStart"/>
      <w:r w:rsidRPr="00F149CE">
        <w:t>Stack</w:t>
      </w:r>
      <w:proofErr w:type="spellEnd"/>
      <w:r w:rsidRPr="00F149CE">
        <w:t xml:space="preserve">: permite que IPv4 e IPv6 coexistam no mesmo segmento de rede. Os dispositivos de pilha dupla executam pilhas de protocolo IPv4 </w:t>
      </w:r>
      <w:r>
        <w:t>e IPv6 simultaneamente</w:t>
      </w:r>
      <w:r w:rsidRPr="00F149CE">
        <w:t>. Conhecido como IPv6 nativo, isso significa que a rede do cliente tem uma conexão IPv6 com seu ISP e pode acessar o conteúdo encontrado na Internet através do IPv6.</w:t>
      </w:r>
    </w:p>
    <w:p w:rsidR="00F149CE" w:rsidRPr="00F149CE" w:rsidRDefault="00F149CE" w:rsidP="00F149CE">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drawing>
          <wp:inline distT="0" distB="0" distL="0" distR="0">
            <wp:extent cx="2047875" cy="1400175"/>
            <wp:effectExtent l="0" t="0" r="9525" b="9525"/>
            <wp:docPr id="13" name="Imagem 13" descr="https://paperx-dex-assets.s3.sa-east-1.amazonaws.com/images/1626796821735-eSHchrPj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perx-dex-assets.s3.sa-east-1.amazonaws.com/images/1626796821735-eSHchrPjZ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1400175"/>
                    </a:xfrm>
                    <a:prstGeom prst="rect">
                      <a:avLst/>
                    </a:prstGeom>
                    <a:noFill/>
                    <a:ln>
                      <a:noFill/>
                    </a:ln>
                  </pic:spPr>
                </pic:pic>
              </a:graphicData>
            </a:graphic>
          </wp:inline>
        </w:drawing>
      </w:r>
    </w:p>
    <w:p w:rsidR="00F149CE" w:rsidRPr="00F149CE" w:rsidRDefault="00F149CE" w:rsidP="00F149CE">
      <w:pPr>
        <w:pStyle w:val="PargrafodaLista"/>
        <w:numPr>
          <w:ilvl w:val="0"/>
          <w:numId w:val="11"/>
        </w:numPr>
      </w:pPr>
      <w:proofErr w:type="spellStart"/>
      <w:r w:rsidRPr="00F149CE">
        <w:t>Tunneling</w:t>
      </w:r>
      <w:proofErr w:type="spellEnd"/>
      <w:r w:rsidRPr="00F149CE">
        <w:t>: o tunelamento é um método de transporte de um pacote IPv6 em uma rede IPv4. O pacote IPv6 é encapsulado dentro de um pacote IPv4, seme</w:t>
      </w:r>
      <w:r>
        <w:t>lhante a outros tipos de dados.</w:t>
      </w:r>
    </w:p>
    <w:p w:rsidR="00F149CE" w:rsidRPr="00F149CE" w:rsidRDefault="00F149CE" w:rsidP="00F149CE">
      <w:pPr>
        <w:shd w:val="clear" w:color="auto" w:fill="FFFFFF"/>
        <w:spacing w:before="0" w:line="480" w:lineRule="atLeast"/>
        <w:jc w:val="left"/>
        <w:rPr>
          <w:rFonts w:ascii="InterUI" w:eastAsia="Times New Roman" w:hAnsi="InterUI" w:cs="Times New Roman"/>
          <w:color w:val="666666"/>
          <w:spacing w:val="-12"/>
          <w:sz w:val="30"/>
          <w:szCs w:val="30"/>
          <w:lang w:eastAsia="pt-BR"/>
        </w:rPr>
      </w:pPr>
    </w:p>
    <w:p w:rsidR="00F149CE" w:rsidRPr="00F149CE" w:rsidRDefault="00F149CE" w:rsidP="00F149CE">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drawing>
          <wp:inline distT="0" distB="0" distL="0" distR="0">
            <wp:extent cx="2514600" cy="1371600"/>
            <wp:effectExtent l="0" t="0" r="0" b="0"/>
            <wp:docPr id="12" name="Imagem 12" descr="https://paperx-dex-assets.s3.sa-east-1.amazonaws.com/images/1626796989910-lPsfGbqQ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perx-dex-assets.s3.sa-east-1.amazonaws.com/images/1626796989910-lPsfGbqQD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371600"/>
                    </a:xfrm>
                    <a:prstGeom prst="rect">
                      <a:avLst/>
                    </a:prstGeom>
                    <a:noFill/>
                    <a:ln>
                      <a:noFill/>
                    </a:ln>
                  </pic:spPr>
                </pic:pic>
              </a:graphicData>
            </a:graphic>
          </wp:inline>
        </w:drawing>
      </w:r>
    </w:p>
    <w:p w:rsidR="00F149CE" w:rsidRPr="00F149CE" w:rsidRDefault="00F149CE" w:rsidP="00F149CE">
      <w:pPr>
        <w:pStyle w:val="PargrafodaLista"/>
        <w:numPr>
          <w:ilvl w:val="0"/>
          <w:numId w:val="11"/>
        </w:numPr>
      </w:pPr>
      <w:r w:rsidRPr="00F149CE">
        <w:t xml:space="preserve">NAT: o Network </w:t>
      </w:r>
      <w:proofErr w:type="spellStart"/>
      <w:r w:rsidRPr="00F149CE">
        <w:t>Address</w:t>
      </w:r>
      <w:proofErr w:type="spellEnd"/>
      <w:r w:rsidRPr="00F149CE">
        <w:t xml:space="preserve"> </w:t>
      </w:r>
      <w:proofErr w:type="spellStart"/>
      <w:r w:rsidRPr="00F149CE">
        <w:t>Translation</w:t>
      </w:r>
      <w:proofErr w:type="spellEnd"/>
      <w:r w:rsidRPr="00F149CE">
        <w:t> 64 (NAT64) permite que dispositivos habilitados para IPv6 se comuniquem com dispositivos habilitados para IPv4 usando uma técnica de tradu</w:t>
      </w:r>
      <w:r>
        <w:t>ção semelhante ao NAT para IPv4.</w:t>
      </w:r>
    </w:p>
    <w:p w:rsidR="00F149CE" w:rsidRPr="00F149CE" w:rsidRDefault="00F149CE" w:rsidP="00F149CE">
      <w:pPr>
        <w:shd w:val="clear" w:color="auto" w:fill="FFFFFF"/>
        <w:spacing w:before="0" w:line="480" w:lineRule="atLeast"/>
        <w:jc w:val="left"/>
        <w:rPr>
          <w:rFonts w:ascii="InterUI" w:eastAsia="Times New Roman" w:hAnsi="InterUI" w:cs="Times New Roman"/>
          <w:color w:val="666666"/>
          <w:spacing w:val="-12"/>
          <w:sz w:val="30"/>
          <w:szCs w:val="30"/>
          <w:lang w:eastAsia="pt-BR"/>
        </w:rPr>
      </w:pPr>
    </w:p>
    <w:p w:rsidR="00F149CE" w:rsidRDefault="00F149CE" w:rsidP="00F149CE">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lastRenderedPageBreak/>
        <w:drawing>
          <wp:inline distT="0" distB="0" distL="0" distR="0">
            <wp:extent cx="2990850" cy="857250"/>
            <wp:effectExtent l="0" t="0" r="0" b="0"/>
            <wp:docPr id="11" name="Imagem 11" descr="https://paperx-dex-assets.s3.sa-east-1.amazonaws.com/images/1626797035733-nHHqB9Gj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perx-dex-assets.s3.sa-east-1.amazonaws.com/images/1626797035733-nHHqB9Gj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857250"/>
                    </a:xfrm>
                    <a:prstGeom prst="rect">
                      <a:avLst/>
                    </a:prstGeom>
                    <a:noFill/>
                    <a:ln>
                      <a:noFill/>
                    </a:ln>
                  </pic:spPr>
                </pic:pic>
              </a:graphicData>
            </a:graphic>
          </wp:inline>
        </w:drawing>
      </w:r>
    </w:p>
    <w:p w:rsidR="00F149CE" w:rsidRDefault="00F149CE" w:rsidP="00F149CE">
      <w:pPr>
        <w:spacing w:before="0" w:after="0"/>
        <w:jc w:val="center"/>
        <w:rPr>
          <w:rFonts w:ascii="Times New Roman" w:eastAsia="Times New Roman" w:hAnsi="Times New Roman" w:cs="Times New Roman"/>
          <w:color w:val="auto"/>
          <w:szCs w:val="24"/>
          <w:lang w:eastAsia="pt-BR"/>
        </w:rPr>
      </w:pPr>
    </w:p>
    <w:p w:rsidR="00F149CE" w:rsidRDefault="00F149CE" w:rsidP="00F149CE">
      <w:pPr>
        <w:spacing w:before="0" w:after="0"/>
        <w:jc w:val="center"/>
        <w:rPr>
          <w:rFonts w:ascii="Times New Roman" w:eastAsia="Times New Roman" w:hAnsi="Times New Roman" w:cs="Times New Roman"/>
          <w:color w:val="auto"/>
          <w:szCs w:val="24"/>
          <w:lang w:eastAsia="pt-BR"/>
        </w:rPr>
      </w:pPr>
    </w:p>
    <w:p w:rsidR="00F149CE" w:rsidRPr="00F149CE" w:rsidRDefault="00F149CE" w:rsidP="00F149CE">
      <w:pPr>
        <w:spacing w:before="0" w:after="0"/>
        <w:jc w:val="center"/>
        <w:rPr>
          <w:rFonts w:ascii="Times New Roman" w:eastAsia="Times New Roman" w:hAnsi="Times New Roman" w:cs="Times New Roman"/>
          <w:color w:val="auto"/>
          <w:szCs w:val="24"/>
          <w:lang w:eastAsia="pt-BR"/>
        </w:rPr>
      </w:pPr>
    </w:p>
    <w:p w:rsidR="00F149CE" w:rsidRPr="00F149CE" w:rsidRDefault="00F149CE" w:rsidP="00F149CE">
      <w:pPr>
        <w:pStyle w:val="PargrafodaLista"/>
        <w:numPr>
          <w:ilvl w:val="0"/>
          <w:numId w:val="10"/>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F149CE">
        <w:rPr>
          <w:rFonts w:ascii="InterUI" w:eastAsia="Times New Roman" w:hAnsi="InterUI" w:cs="Times New Roman"/>
          <w:b/>
          <w:bCs/>
          <w:color w:val="000000"/>
          <w:spacing w:val="-12"/>
          <w:sz w:val="30"/>
          <w:szCs w:val="30"/>
          <w:lang w:eastAsia="pt-BR"/>
        </w:rPr>
        <w:t>Representação e tipos de endereço IPv6</w:t>
      </w:r>
    </w:p>
    <w:p w:rsidR="00F149CE" w:rsidRPr="00F149CE" w:rsidRDefault="00F149CE" w:rsidP="00F149CE">
      <w:r>
        <w:tab/>
      </w:r>
      <w:r w:rsidRPr="00F149CE">
        <w:t xml:space="preserve">Para aprender sobre IPv6 é importante entender como um endereço IPv6 é representado e formatado. Relembrar que os endereços IPv6 têm 128 bits de comprimento e são escritos como valores hexadecimais. A cada quatro bits é representado por um único dígito hexadecimal que totaliza de 32 valores hexadecimais. O IPv6 não diferencia maiúsculas de minúsculas. No IPv6, um </w:t>
      </w:r>
      <w:proofErr w:type="spellStart"/>
      <w:r w:rsidRPr="00F149CE">
        <w:t>hexteto</w:t>
      </w:r>
      <w:proofErr w:type="spellEnd"/>
      <w:r w:rsidRPr="00F149CE">
        <w:t xml:space="preserve"> é usado para se referir a um segmento de 16 bits, ou quatro valores hexadecimais.</w:t>
      </w:r>
      <w:r>
        <w:t xml:space="preserve"> </w:t>
      </w:r>
      <w:r w:rsidRPr="00F149CE">
        <w:t>O </w:t>
      </w:r>
      <w:proofErr w:type="spellStart"/>
      <w:r w:rsidRPr="00F149CE">
        <w:t>preferred</w:t>
      </w:r>
      <w:proofErr w:type="spellEnd"/>
      <w:r w:rsidRPr="00F149CE">
        <w:t xml:space="preserve"> </w:t>
      </w:r>
      <w:proofErr w:type="spellStart"/>
      <w:r w:rsidRPr="00F149CE">
        <w:t>format</w:t>
      </w:r>
      <w:proofErr w:type="spellEnd"/>
      <w:r w:rsidRPr="00F149CE">
        <w:t> significa escrever o endereço IPv6 usando todos os 32 dígitos hexadecimais, mas não significa que seja o método ideal para representar o IPv6.</w:t>
      </w:r>
      <w:r>
        <w:t xml:space="preserve"> </w:t>
      </w:r>
      <w:r w:rsidRPr="00F149CE">
        <w:t>Duas regras podem ser consideradas para reduzir a notação: (1) omitir os zeros à esquerda e (</w:t>
      </w:r>
      <w:r>
        <w:t xml:space="preserve">2) usar dois pontos duplo </w:t>
      </w:r>
      <w:proofErr w:type="gramStart"/>
      <w:r>
        <w:t>(::)</w:t>
      </w:r>
      <w:proofErr w:type="gramEnd"/>
      <w:r>
        <w:t>.</w:t>
      </w:r>
    </w:p>
    <w:p w:rsidR="00F149CE" w:rsidRPr="00F149CE" w:rsidRDefault="00F149CE" w:rsidP="00F149CE">
      <w:r w:rsidRPr="00F149CE">
        <w:t xml:space="preserve">A primeira regra é omitir quaisquer 0s iniciais em qualquer </w:t>
      </w:r>
      <w:proofErr w:type="spellStart"/>
      <w:r w:rsidRPr="00F149CE">
        <w:t>hexteto</w:t>
      </w:r>
      <w:proofErr w:type="spellEnd"/>
      <w:r w:rsidRPr="00F149CE">
        <w:t>. Alguns exemplos:</w:t>
      </w:r>
    </w:p>
    <w:p w:rsidR="00F149CE" w:rsidRPr="00F149CE" w:rsidRDefault="00F149CE" w:rsidP="00F149CE">
      <w:pPr>
        <w:pStyle w:val="PargrafodaLista"/>
        <w:numPr>
          <w:ilvl w:val="0"/>
          <w:numId w:val="12"/>
        </w:numPr>
      </w:pPr>
      <w:r w:rsidRPr="00F149CE">
        <w:t>01ab representa-se 1ab</w:t>
      </w:r>
    </w:p>
    <w:p w:rsidR="00F149CE" w:rsidRPr="00F149CE" w:rsidRDefault="00F149CE" w:rsidP="00F149CE">
      <w:pPr>
        <w:pStyle w:val="PargrafodaLista"/>
        <w:numPr>
          <w:ilvl w:val="0"/>
          <w:numId w:val="12"/>
        </w:numPr>
      </w:pPr>
      <w:r w:rsidRPr="00F149CE">
        <w:t>09f0 representa-se 9f0</w:t>
      </w:r>
    </w:p>
    <w:p w:rsidR="00F149CE" w:rsidRPr="00F149CE" w:rsidRDefault="00F149CE" w:rsidP="00F149CE">
      <w:pPr>
        <w:pStyle w:val="PargrafodaLista"/>
        <w:numPr>
          <w:ilvl w:val="0"/>
          <w:numId w:val="12"/>
        </w:numPr>
      </w:pPr>
      <w:r w:rsidRPr="00F149CE">
        <w:t>0a00 representa-se a00</w:t>
      </w:r>
    </w:p>
    <w:p w:rsidR="00F149CE" w:rsidRPr="00F149CE" w:rsidRDefault="00F149CE" w:rsidP="00F149CE">
      <w:pPr>
        <w:pStyle w:val="PargrafodaLista"/>
        <w:numPr>
          <w:ilvl w:val="0"/>
          <w:numId w:val="12"/>
        </w:numPr>
      </w:pPr>
      <w:r w:rsidRPr="00F149CE">
        <w:t xml:space="preserve">00ab representa-se </w:t>
      </w:r>
      <w:proofErr w:type="spellStart"/>
      <w:r w:rsidRPr="00F149CE">
        <w:t>ab</w:t>
      </w:r>
      <w:proofErr w:type="spellEnd"/>
    </w:p>
    <w:p w:rsidR="00F149CE" w:rsidRPr="00F149CE" w:rsidRDefault="00F149CE" w:rsidP="00F149CE">
      <w:r w:rsidRPr="00F149CE">
        <w:t xml:space="preserve">Esta regra se aplica apenas aos 0s iniciais, caso contrário, o endereço seria ambíguo. Por exemplo, o </w:t>
      </w:r>
      <w:proofErr w:type="spellStart"/>
      <w:r w:rsidRPr="00F149CE">
        <w:t>hexteto</w:t>
      </w:r>
      <w:proofErr w:type="spellEnd"/>
      <w:r w:rsidRPr="00F149CE">
        <w:t xml:space="preserve"> “abc” pode ser “0abc” ou “abc0”, mas não representam o mesmo valor. Exemplo (sem e com omissão de zeros à esquerda):</w:t>
      </w:r>
    </w:p>
    <w:p w:rsidR="00F149CE" w:rsidRPr="00F149CE" w:rsidRDefault="00F149CE" w:rsidP="00F149CE">
      <w:pPr>
        <w:pStyle w:val="PargrafodaLista"/>
        <w:numPr>
          <w:ilvl w:val="0"/>
          <w:numId w:val="13"/>
        </w:numPr>
      </w:pPr>
      <w:proofErr w:type="gramStart"/>
      <w:r w:rsidRPr="00F149CE">
        <w:t>2001 :</w:t>
      </w:r>
      <w:proofErr w:type="gramEnd"/>
      <w:r w:rsidRPr="00F149CE">
        <w:t xml:space="preserve"> 0db8 : 0000 : 00a3 : ab00 : 0ab0 : 00ab : 1234</w:t>
      </w:r>
    </w:p>
    <w:p w:rsidR="00F149CE" w:rsidRPr="00F149CE" w:rsidRDefault="00F149CE" w:rsidP="00F149CE">
      <w:pPr>
        <w:pStyle w:val="PargrafodaLista"/>
        <w:numPr>
          <w:ilvl w:val="0"/>
          <w:numId w:val="13"/>
        </w:numPr>
      </w:pPr>
      <w:proofErr w:type="gramStart"/>
      <w:r w:rsidRPr="00F149CE">
        <w:t>2001 :</w:t>
      </w:r>
      <w:proofErr w:type="gramEnd"/>
      <w:r w:rsidRPr="00F149CE">
        <w:t>   db8 :    0    :     a3 : ab00 :   ab0 :     </w:t>
      </w:r>
      <w:proofErr w:type="spellStart"/>
      <w:r w:rsidRPr="00F149CE">
        <w:t>ab</w:t>
      </w:r>
      <w:proofErr w:type="spellEnd"/>
      <w:r w:rsidRPr="00F149CE">
        <w:t xml:space="preserve"> : 1234</w:t>
      </w:r>
    </w:p>
    <w:p w:rsidR="00F149CE" w:rsidRPr="00F149CE" w:rsidRDefault="00F149CE" w:rsidP="00F149CE">
      <w:r w:rsidRPr="00F149CE">
        <w:t xml:space="preserve">Na segunda regra dois pontos duplo </w:t>
      </w:r>
      <w:proofErr w:type="gramStart"/>
      <w:r w:rsidRPr="00F149CE">
        <w:t>(::)</w:t>
      </w:r>
      <w:proofErr w:type="gramEnd"/>
      <w:r w:rsidRPr="00F149CE">
        <w:t xml:space="preserve"> podem substituir qualquer </w:t>
      </w:r>
      <w:proofErr w:type="spellStart"/>
      <w:r w:rsidRPr="00F149CE">
        <w:t>string</w:t>
      </w:r>
      <w:proofErr w:type="spellEnd"/>
      <w:r w:rsidRPr="00F149CE">
        <w:t xml:space="preserve"> única e contínua de um ou mais </w:t>
      </w:r>
      <w:proofErr w:type="spellStart"/>
      <w:r w:rsidRPr="00F149CE">
        <w:t>hextetos</w:t>
      </w:r>
      <w:proofErr w:type="spellEnd"/>
      <w:r w:rsidRPr="00F149CE">
        <w:t xml:space="preserve"> de 16 bits de apenas zeros. </w:t>
      </w:r>
      <w:proofErr w:type="gramStart"/>
      <w:r w:rsidRPr="00F149CE">
        <w:t>Os dois pontos duplo</w:t>
      </w:r>
      <w:proofErr w:type="gramEnd"/>
      <w:r w:rsidRPr="00F149CE">
        <w:t xml:space="preserve"> só podem ser usados ​​uma vez em um endereço, pois haveria mais de um endereço resultante possível. Exemplo de uso incorreto de dois pontos duplos:</w:t>
      </w:r>
    </w:p>
    <w:p w:rsidR="00F149CE" w:rsidRPr="00F149CE" w:rsidRDefault="00F149CE" w:rsidP="00F149CE">
      <w:pPr>
        <w:pStyle w:val="PargrafodaLista"/>
        <w:numPr>
          <w:ilvl w:val="0"/>
          <w:numId w:val="14"/>
        </w:numPr>
      </w:pPr>
      <w:r w:rsidRPr="00F149CE">
        <w:t>2001: db</w:t>
      </w:r>
      <w:proofErr w:type="gramStart"/>
      <w:r w:rsidRPr="00F149CE">
        <w:t>8 :</w:t>
      </w:r>
      <w:proofErr w:type="gramEnd"/>
      <w:r w:rsidRPr="00F149CE">
        <w:t xml:space="preserve">: </w:t>
      </w:r>
      <w:proofErr w:type="spellStart"/>
      <w:r w:rsidRPr="00F149CE">
        <w:t>abcd</w:t>
      </w:r>
      <w:proofErr w:type="spellEnd"/>
      <w:r w:rsidRPr="00F149CE">
        <w:t xml:space="preserve"> :: 1234</w:t>
      </w:r>
    </w:p>
    <w:p w:rsidR="00F149CE" w:rsidRPr="00F149CE" w:rsidRDefault="00F149CE" w:rsidP="00F149CE">
      <w:r w:rsidRPr="00F149CE">
        <w:t>As possíveis expansões deste endereço compactado incorretamente são:</w:t>
      </w:r>
    </w:p>
    <w:p w:rsidR="00F149CE" w:rsidRPr="00F149CE" w:rsidRDefault="00F149CE" w:rsidP="00F149CE">
      <w:pPr>
        <w:pStyle w:val="PargrafodaLista"/>
        <w:numPr>
          <w:ilvl w:val="0"/>
          <w:numId w:val="14"/>
        </w:numPr>
      </w:pPr>
      <w:r w:rsidRPr="00F149CE">
        <w:t>2001: db</w:t>
      </w:r>
      <w:proofErr w:type="gramStart"/>
      <w:r w:rsidRPr="00F149CE">
        <w:t>8 :</w:t>
      </w:r>
      <w:proofErr w:type="gramEnd"/>
      <w:r w:rsidRPr="00F149CE">
        <w:t xml:space="preserve">: </w:t>
      </w:r>
      <w:proofErr w:type="spellStart"/>
      <w:r w:rsidRPr="00F149CE">
        <w:t>abcd</w:t>
      </w:r>
      <w:proofErr w:type="spellEnd"/>
      <w:r w:rsidRPr="00F149CE">
        <w:t>: 0000: 0000: 1234</w:t>
      </w:r>
    </w:p>
    <w:p w:rsidR="00F149CE" w:rsidRPr="00F149CE" w:rsidRDefault="00F149CE" w:rsidP="00F149CE">
      <w:pPr>
        <w:pStyle w:val="PargrafodaLista"/>
        <w:numPr>
          <w:ilvl w:val="0"/>
          <w:numId w:val="14"/>
        </w:numPr>
      </w:pPr>
      <w:r w:rsidRPr="00F149CE">
        <w:t>2001: db</w:t>
      </w:r>
      <w:proofErr w:type="gramStart"/>
      <w:r w:rsidRPr="00F149CE">
        <w:t>8 :</w:t>
      </w:r>
      <w:proofErr w:type="gramEnd"/>
      <w:r w:rsidRPr="00F149CE">
        <w:t xml:space="preserve">: </w:t>
      </w:r>
      <w:proofErr w:type="spellStart"/>
      <w:r w:rsidRPr="00F149CE">
        <w:t>abcd</w:t>
      </w:r>
      <w:proofErr w:type="spellEnd"/>
      <w:r w:rsidRPr="00F149CE">
        <w:t>: 0000: 0000: 0000: 1234</w:t>
      </w:r>
    </w:p>
    <w:p w:rsidR="00F149CE" w:rsidRPr="00F149CE" w:rsidRDefault="00F149CE" w:rsidP="00F149CE">
      <w:pPr>
        <w:pStyle w:val="PargrafodaLista"/>
        <w:numPr>
          <w:ilvl w:val="0"/>
          <w:numId w:val="14"/>
        </w:numPr>
      </w:pPr>
      <w:r w:rsidRPr="00F149CE">
        <w:t xml:space="preserve">2001: db8: 0000: </w:t>
      </w:r>
      <w:proofErr w:type="spellStart"/>
      <w:proofErr w:type="gramStart"/>
      <w:r w:rsidRPr="00F149CE">
        <w:t>abcd</w:t>
      </w:r>
      <w:proofErr w:type="spellEnd"/>
      <w:r w:rsidRPr="00F149CE">
        <w:t xml:space="preserve"> :</w:t>
      </w:r>
      <w:proofErr w:type="gramEnd"/>
      <w:r w:rsidRPr="00F149CE">
        <w:t>: 1234</w:t>
      </w:r>
    </w:p>
    <w:p w:rsidR="00F149CE" w:rsidRPr="00F149CE" w:rsidRDefault="00F149CE" w:rsidP="00F149CE">
      <w:pPr>
        <w:pStyle w:val="PargrafodaLista"/>
        <w:numPr>
          <w:ilvl w:val="0"/>
          <w:numId w:val="14"/>
        </w:numPr>
      </w:pPr>
      <w:r w:rsidRPr="00F149CE">
        <w:t xml:space="preserve">2001: db8: 0000: 0000: </w:t>
      </w:r>
      <w:proofErr w:type="spellStart"/>
      <w:proofErr w:type="gramStart"/>
      <w:r w:rsidRPr="00F149CE">
        <w:t>abcd</w:t>
      </w:r>
      <w:proofErr w:type="spellEnd"/>
      <w:r w:rsidRPr="00F149CE">
        <w:t xml:space="preserve"> :</w:t>
      </w:r>
      <w:proofErr w:type="gramEnd"/>
      <w:r w:rsidRPr="00F149CE">
        <w:t>: 1234</w:t>
      </w:r>
    </w:p>
    <w:p w:rsidR="00F149CE" w:rsidRPr="00F149CE" w:rsidRDefault="00F149CE" w:rsidP="00F149CE">
      <w:r w:rsidRPr="00F149CE">
        <w:lastRenderedPageBreak/>
        <w:t>Se um endereço tem mais de uma </w:t>
      </w:r>
      <w:proofErr w:type="spellStart"/>
      <w:r w:rsidRPr="00F149CE">
        <w:t>string</w:t>
      </w:r>
      <w:proofErr w:type="spellEnd"/>
      <w:r w:rsidRPr="00F149CE">
        <w:t xml:space="preserve"> contínua todos-0, recomenda-se usar </w:t>
      </w:r>
      <w:proofErr w:type="gramStart"/>
      <w:r w:rsidRPr="00F149CE">
        <w:t>(::)</w:t>
      </w:r>
      <w:proofErr w:type="gramEnd"/>
      <w:r w:rsidRPr="00F149CE">
        <w:t xml:space="preserve"> na </w:t>
      </w:r>
      <w:proofErr w:type="spellStart"/>
      <w:r w:rsidRPr="00F149CE">
        <w:t>string</w:t>
      </w:r>
      <w:proofErr w:type="spellEnd"/>
      <w:r w:rsidRPr="00F149CE">
        <w:t> mais longa. Se as </w:t>
      </w:r>
      <w:proofErr w:type="spellStart"/>
      <w:r w:rsidRPr="00F149CE">
        <w:t>strings</w:t>
      </w:r>
      <w:proofErr w:type="spellEnd"/>
      <w:r w:rsidRPr="00F149CE">
        <w:t> forem iguais, a primeira </w:t>
      </w:r>
      <w:proofErr w:type="spellStart"/>
      <w:r w:rsidRPr="00F149CE">
        <w:t>string</w:t>
      </w:r>
      <w:proofErr w:type="spellEnd"/>
      <w:r w:rsidRPr="00F149CE">
        <w:t xml:space="preserve"> deve usar </w:t>
      </w:r>
      <w:proofErr w:type="gramStart"/>
      <w:r w:rsidRPr="00F149CE">
        <w:t>(::)</w:t>
      </w:r>
      <w:proofErr w:type="gramEnd"/>
      <w:r w:rsidRPr="00F149CE">
        <w:t>. Exemplo:</w:t>
      </w:r>
    </w:p>
    <w:p w:rsidR="00F149CE" w:rsidRPr="00F149CE" w:rsidRDefault="00F149CE" w:rsidP="00F149CE">
      <w:pPr>
        <w:pStyle w:val="PargrafodaLista"/>
        <w:numPr>
          <w:ilvl w:val="0"/>
          <w:numId w:val="15"/>
        </w:numPr>
      </w:pPr>
      <w:proofErr w:type="gramStart"/>
      <w:r w:rsidRPr="00F149CE">
        <w:t>fe</w:t>
      </w:r>
      <w:proofErr w:type="gramEnd"/>
      <w:r w:rsidRPr="00F149CE">
        <w:t xml:space="preserve">80 : 0000 : 0000 : 0000 : 0123 : 4567 : 89ab : </w:t>
      </w:r>
      <w:proofErr w:type="spellStart"/>
      <w:r w:rsidRPr="00F149CE">
        <w:t>cdef</w:t>
      </w:r>
      <w:proofErr w:type="spellEnd"/>
    </w:p>
    <w:p w:rsidR="00F149CE" w:rsidRPr="00F149CE" w:rsidRDefault="00F149CE" w:rsidP="00F149CE">
      <w:pPr>
        <w:pStyle w:val="PargrafodaLista"/>
        <w:numPr>
          <w:ilvl w:val="0"/>
          <w:numId w:val="15"/>
        </w:numPr>
      </w:pPr>
      <w:proofErr w:type="gramStart"/>
      <w:r w:rsidRPr="00F149CE">
        <w:t>fe</w:t>
      </w:r>
      <w:proofErr w:type="gramEnd"/>
      <w:r w:rsidRPr="00F149CE">
        <w:t xml:space="preserve">80 :                                :   123 : 4567 : 89ab : </w:t>
      </w:r>
      <w:proofErr w:type="spellStart"/>
      <w:r w:rsidRPr="00F149CE">
        <w:t>cdef</w:t>
      </w:r>
      <w:proofErr w:type="spellEnd"/>
    </w:p>
    <w:p w:rsidR="00F149CE" w:rsidRPr="00F149CE" w:rsidRDefault="00F149CE" w:rsidP="00F149CE">
      <w:pPr>
        <w:pStyle w:val="PargrafodaLista"/>
        <w:numPr>
          <w:ilvl w:val="0"/>
          <w:numId w:val="15"/>
        </w:numPr>
      </w:pPr>
      <w:proofErr w:type="gramStart"/>
      <w:r w:rsidRPr="00F149CE">
        <w:t>fe</w:t>
      </w:r>
      <w:proofErr w:type="gramEnd"/>
      <w:r w:rsidRPr="00F149CE">
        <w:t>80::123:4567:89ab:cdef</w:t>
      </w:r>
    </w:p>
    <w:p w:rsidR="00F149CE" w:rsidRDefault="00F149CE" w:rsidP="00F149CE"/>
    <w:p w:rsidR="00F149CE" w:rsidRDefault="00F149CE" w:rsidP="00F149CE"/>
    <w:p w:rsidR="00F149CE" w:rsidRPr="00F149CE" w:rsidRDefault="00F149CE" w:rsidP="00F149CE">
      <w:pPr>
        <w:rPr>
          <w:i/>
        </w:rPr>
      </w:pPr>
      <w:r>
        <w:rPr>
          <w:i/>
        </w:rPr>
        <w:tab/>
      </w:r>
      <w:r w:rsidRPr="00F149CE">
        <w:rPr>
          <w:i/>
          <w:sz w:val="28"/>
        </w:rPr>
        <w:t>Tipos</w:t>
      </w:r>
    </w:p>
    <w:p w:rsidR="00F149CE" w:rsidRPr="00F149CE" w:rsidRDefault="00F149CE" w:rsidP="00F149CE">
      <w:pPr>
        <w:pStyle w:val="PargrafodaLista"/>
        <w:numPr>
          <w:ilvl w:val="0"/>
          <w:numId w:val="16"/>
        </w:numPr>
      </w:pPr>
      <w:proofErr w:type="spellStart"/>
      <w:r w:rsidRPr="00F149CE">
        <w:t>Unicast</w:t>
      </w:r>
      <w:proofErr w:type="spellEnd"/>
      <w:r w:rsidRPr="00F149CE">
        <w:t>: um endereço </w:t>
      </w:r>
      <w:proofErr w:type="spellStart"/>
      <w:r w:rsidRPr="00F149CE">
        <w:t>unicast</w:t>
      </w:r>
      <w:proofErr w:type="spellEnd"/>
      <w:r w:rsidRPr="00F149CE">
        <w:t> IPv6 identifica exclusivamente uma interface em um dispositivo habilitado para IPv6.</w:t>
      </w:r>
    </w:p>
    <w:p w:rsidR="00F149CE" w:rsidRPr="00F149CE" w:rsidRDefault="00F149CE" w:rsidP="00F149CE">
      <w:pPr>
        <w:pStyle w:val="PargrafodaLista"/>
        <w:numPr>
          <w:ilvl w:val="0"/>
          <w:numId w:val="16"/>
        </w:numPr>
      </w:pPr>
      <w:proofErr w:type="spellStart"/>
      <w:r w:rsidRPr="00F149CE">
        <w:t>Multicast</w:t>
      </w:r>
      <w:proofErr w:type="spellEnd"/>
      <w:r w:rsidRPr="00F149CE">
        <w:t>: um endereço IPv6 </w:t>
      </w:r>
      <w:proofErr w:type="spellStart"/>
      <w:r w:rsidRPr="00F149CE">
        <w:t>multicast</w:t>
      </w:r>
      <w:proofErr w:type="spellEnd"/>
      <w:r w:rsidRPr="00F149CE">
        <w:t> é usado para enviar um único pacote IPv6 para vários destinos.</w:t>
      </w:r>
    </w:p>
    <w:p w:rsidR="00F149CE" w:rsidRPr="00F149CE" w:rsidRDefault="00F149CE" w:rsidP="00F149CE">
      <w:pPr>
        <w:pStyle w:val="PargrafodaLista"/>
        <w:numPr>
          <w:ilvl w:val="0"/>
          <w:numId w:val="16"/>
        </w:numPr>
      </w:pPr>
      <w:proofErr w:type="spellStart"/>
      <w:r w:rsidRPr="00F149CE">
        <w:t>Anycast</w:t>
      </w:r>
      <w:proofErr w:type="spellEnd"/>
      <w:r w:rsidRPr="00F149CE">
        <w:t>: um endereço </w:t>
      </w:r>
      <w:proofErr w:type="spellStart"/>
      <w:r w:rsidRPr="00F149CE">
        <w:t>anycast</w:t>
      </w:r>
      <w:proofErr w:type="spellEnd"/>
      <w:r w:rsidRPr="00F149CE">
        <w:t> IPv6 é qualquer endereço </w:t>
      </w:r>
      <w:proofErr w:type="spellStart"/>
      <w:r w:rsidRPr="00F149CE">
        <w:t>unicast</w:t>
      </w:r>
      <w:proofErr w:type="spellEnd"/>
      <w:r w:rsidRPr="00F149CE">
        <w:t> IPv6 que pode ser atribuído a vários dispositivos. Um pacote enviado para um endereço </w:t>
      </w:r>
      <w:proofErr w:type="spellStart"/>
      <w:r w:rsidRPr="00F149CE">
        <w:t>anycast</w:t>
      </w:r>
      <w:proofErr w:type="spellEnd"/>
      <w:r w:rsidRPr="00F149CE">
        <w:t> é roteado para o dispositivo mais próximo com esse endereço. Endereços </w:t>
      </w:r>
      <w:proofErr w:type="spellStart"/>
      <w:r w:rsidRPr="00F149CE">
        <w:t>anycast</w:t>
      </w:r>
      <w:proofErr w:type="spellEnd"/>
      <w:r w:rsidRPr="00F149CE">
        <w:t> estão além do escopo deste estudo.</w:t>
      </w:r>
    </w:p>
    <w:p w:rsidR="00F149CE" w:rsidRDefault="00F149CE" w:rsidP="00F149CE">
      <w:r w:rsidRPr="00F149CE">
        <w:t>Ao contrário do IPv4, o IPv6 não possui um endereço de broadcast. No entanto, há um endereço </w:t>
      </w:r>
      <w:proofErr w:type="spellStart"/>
      <w:r w:rsidRPr="00F149CE">
        <w:t>multicast</w:t>
      </w:r>
      <w:proofErr w:type="spellEnd"/>
      <w:r w:rsidRPr="00F149CE">
        <w:t> de todos os nós IPv6 que basicamente fornece o mesmo resultado.</w:t>
      </w:r>
      <w:r>
        <w:t xml:space="preserve"> </w:t>
      </w:r>
      <w:r w:rsidRPr="00F149CE">
        <w:t xml:space="preserve">O prefixo, ou parte da rede, de um endereço IPv4 pode ser identificado por uma máscara de </w:t>
      </w:r>
      <w:proofErr w:type="spellStart"/>
      <w:r w:rsidRPr="00F149CE">
        <w:t>sub-rede</w:t>
      </w:r>
      <w:proofErr w:type="spellEnd"/>
      <w:r w:rsidRPr="00F149CE">
        <w:t xml:space="preserve"> decimal com pontos ou comprimento do prefixo (notação de barra). Por exemplo, 192.168.1.10 com máscara de </w:t>
      </w:r>
      <w:proofErr w:type="spellStart"/>
      <w:r w:rsidRPr="00F149CE">
        <w:t>sub-rede</w:t>
      </w:r>
      <w:proofErr w:type="spellEnd"/>
      <w:r w:rsidRPr="00F149CE">
        <w:t xml:space="preserve"> decimal pontuada 255.255.255.0 é equivalente a 192.168.1.10/24. No IPv6, é apenas chamado de comprimento do prefixo. O IPv6 não usa a notação de máscara de </w:t>
      </w:r>
      <w:proofErr w:type="spellStart"/>
      <w:r w:rsidRPr="00F149CE">
        <w:t>sub-rede</w:t>
      </w:r>
      <w:proofErr w:type="spellEnd"/>
      <w:r w:rsidRPr="00F149CE">
        <w:t xml:space="preserve"> decimal com pontos. O comprimento do prefixo pode variar de 0 a 128.  O comprimento do prefixo IPv6 recomendado para </w:t>
      </w:r>
      <w:proofErr w:type="spellStart"/>
      <w:r w:rsidRPr="00F149CE">
        <w:t>LANs</w:t>
      </w:r>
      <w:proofErr w:type="spellEnd"/>
      <w:r w:rsidRPr="00F149CE">
        <w:t xml:space="preserve"> e a maioria dos outros tipos de redes é /64. É altamente recomendável usar um ID de interface de 64 bits para a maioria das redes. Isso ocorre porque a autoconfiguração de endereço sem estado (SLAAC) usa 64 bits para a ID da interface. Também torna mais fácil criar e gerenciar </w:t>
      </w:r>
      <w:proofErr w:type="spellStart"/>
      <w:r w:rsidRPr="00F149CE">
        <w:t>sub-redes</w:t>
      </w:r>
      <w:proofErr w:type="spellEnd"/>
      <w:r w:rsidRPr="00F149CE">
        <w:t>.</w:t>
      </w:r>
    </w:p>
    <w:p w:rsidR="00F149CE" w:rsidRPr="00F149CE" w:rsidRDefault="00F149CE" w:rsidP="00F149CE"/>
    <w:p w:rsidR="00F149CE" w:rsidRPr="00F149CE" w:rsidRDefault="00F149CE" w:rsidP="00F149CE">
      <w:pPr>
        <w:rPr>
          <w:b/>
          <w:i/>
          <w:sz w:val="28"/>
        </w:rPr>
      </w:pPr>
      <w:proofErr w:type="spellStart"/>
      <w:r w:rsidRPr="00F149CE">
        <w:rPr>
          <w:b/>
          <w:i/>
          <w:sz w:val="28"/>
        </w:rPr>
        <w:t>Unicast</w:t>
      </w:r>
      <w:proofErr w:type="spellEnd"/>
    </w:p>
    <w:p w:rsidR="00F149CE" w:rsidRPr="00F149CE" w:rsidRDefault="00F149CE" w:rsidP="00F149CE">
      <w:r w:rsidRPr="00F149CE">
        <w:t>Um endereço </w:t>
      </w:r>
      <w:proofErr w:type="spellStart"/>
      <w:r w:rsidRPr="00F149CE">
        <w:t>unicast</w:t>
      </w:r>
      <w:proofErr w:type="spellEnd"/>
      <w:r w:rsidRPr="00F149CE">
        <w:t> IPv6 identifica exclusivamente uma interface em um dispositivo habilitado para IPv6. Um pacote enviado a um endereço </w:t>
      </w:r>
      <w:proofErr w:type="spellStart"/>
      <w:r w:rsidRPr="00F149CE">
        <w:t>unicast</w:t>
      </w:r>
      <w:proofErr w:type="spellEnd"/>
      <w:r w:rsidRPr="00F149CE">
        <w:t> é recebido pela interface à qual esse endereço é atribuído. O endereço IPv6 de destino pode ser um endereço </w:t>
      </w:r>
      <w:proofErr w:type="spellStart"/>
      <w:r w:rsidRPr="00F149CE">
        <w:t>unicast</w:t>
      </w:r>
      <w:proofErr w:type="spellEnd"/>
      <w:r w:rsidRPr="00F149CE">
        <w:t> ou </w:t>
      </w:r>
      <w:proofErr w:type="spellStart"/>
      <w:r w:rsidRPr="00F149CE">
        <w:t>multicast</w:t>
      </w:r>
      <w:proofErr w:type="spellEnd"/>
      <w:r w:rsidRPr="00F149CE">
        <w:t>.</w:t>
      </w:r>
      <w:r>
        <w:t xml:space="preserve"> </w:t>
      </w:r>
      <w:r w:rsidRPr="00F149CE">
        <w:t>Ao contrário dos dispositivos IPv4 que têm apenas um único endereço, os endereços IPv6 geralmente têm dois endereços </w:t>
      </w:r>
      <w:proofErr w:type="spellStart"/>
      <w:r w:rsidRPr="00F149CE">
        <w:t>unicast</w:t>
      </w:r>
      <w:proofErr w:type="spellEnd"/>
      <w:r w:rsidRPr="00F149CE">
        <w:t>:</w:t>
      </w:r>
    </w:p>
    <w:p w:rsidR="00F149CE" w:rsidRPr="00F149CE" w:rsidRDefault="00F149CE" w:rsidP="00F149CE">
      <w:pPr>
        <w:pStyle w:val="PargrafodaLista"/>
        <w:numPr>
          <w:ilvl w:val="0"/>
          <w:numId w:val="17"/>
        </w:numPr>
      </w:pPr>
      <w:r w:rsidRPr="00F149CE">
        <w:t xml:space="preserve">Global </w:t>
      </w:r>
      <w:proofErr w:type="spellStart"/>
      <w:r w:rsidRPr="00F149CE">
        <w:t>Unicast</w:t>
      </w:r>
      <w:proofErr w:type="spellEnd"/>
      <w:r w:rsidRPr="00F149CE">
        <w:t xml:space="preserve"> </w:t>
      </w:r>
      <w:proofErr w:type="spellStart"/>
      <w:r w:rsidRPr="00F149CE">
        <w:t>Address</w:t>
      </w:r>
      <w:proofErr w:type="spellEnd"/>
      <w:r w:rsidRPr="00F149CE">
        <w:t> (GUA) - é semelhante a um endereço IPv4 público. São endereços globalmente únicos e roteáveis pela Internet. Podem ser configurados estaticamente ou dinamicamente.</w:t>
      </w:r>
    </w:p>
    <w:p w:rsidR="00F149CE" w:rsidRPr="00F149CE" w:rsidRDefault="00F149CE" w:rsidP="00F149CE">
      <w:pPr>
        <w:pStyle w:val="PargrafodaLista"/>
        <w:numPr>
          <w:ilvl w:val="0"/>
          <w:numId w:val="17"/>
        </w:numPr>
      </w:pPr>
      <w:r w:rsidRPr="00F149CE">
        <w:t xml:space="preserve">Local link </w:t>
      </w:r>
      <w:proofErr w:type="spellStart"/>
      <w:r w:rsidRPr="00F149CE">
        <w:t>Address</w:t>
      </w:r>
      <w:proofErr w:type="spellEnd"/>
      <w:r w:rsidRPr="00F149CE">
        <w:t xml:space="preserve"> (LLA) - necessário para cada dispositivo habilitado para IPv6. </w:t>
      </w:r>
      <w:proofErr w:type="spellStart"/>
      <w:r w:rsidRPr="00F149CE">
        <w:t>LLAs</w:t>
      </w:r>
      <w:proofErr w:type="spellEnd"/>
      <w:r w:rsidRPr="00F149CE">
        <w:t xml:space="preserve"> são usados para se comunicar com outros dispositivos no mesmo link local. Com o IPv6, o termo link se refere a uma </w:t>
      </w:r>
      <w:proofErr w:type="spellStart"/>
      <w:r w:rsidRPr="00F149CE">
        <w:t>sub-rede</w:t>
      </w:r>
      <w:proofErr w:type="spellEnd"/>
      <w:r w:rsidRPr="00F149CE">
        <w:t xml:space="preserve">. Os </w:t>
      </w:r>
      <w:proofErr w:type="spellStart"/>
      <w:r w:rsidRPr="00F149CE">
        <w:t>LLAs</w:t>
      </w:r>
      <w:proofErr w:type="spellEnd"/>
      <w:r w:rsidRPr="00F149CE">
        <w:t xml:space="preserve"> estão confinados a </w:t>
      </w:r>
      <w:r w:rsidRPr="00F149CE">
        <w:lastRenderedPageBreak/>
        <w:t>um único link. Sua exclusividade só deve ser confirmada nesse link, pois não são roteáveis além do link.</w:t>
      </w:r>
    </w:p>
    <w:p w:rsidR="00F149CE" w:rsidRPr="00F149CE" w:rsidRDefault="00F149CE" w:rsidP="00F149CE">
      <w:pPr>
        <w:ind w:firstLine="60"/>
      </w:pPr>
    </w:p>
    <w:p w:rsidR="00F149CE" w:rsidRPr="00F149CE" w:rsidRDefault="00F149CE" w:rsidP="00F149CE">
      <w:pPr>
        <w:rPr>
          <w:b/>
          <w:i/>
          <w:sz w:val="28"/>
        </w:rPr>
      </w:pPr>
      <w:proofErr w:type="spellStart"/>
      <w:r w:rsidRPr="00F149CE">
        <w:rPr>
          <w:b/>
          <w:i/>
          <w:sz w:val="28"/>
        </w:rPr>
        <w:t>Unicast</w:t>
      </w:r>
      <w:proofErr w:type="spellEnd"/>
      <w:r w:rsidRPr="00F149CE">
        <w:rPr>
          <w:b/>
          <w:i/>
          <w:sz w:val="28"/>
        </w:rPr>
        <w:t xml:space="preserve"> - </w:t>
      </w:r>
      <w:proofErr w:type="spellStart"/>
      <w:r w:rsidRPr="00F149CE">
        <w:rPr>
          <w:b/>
          <w:i/>
          <w:sz w:val="28"/>
        </w:rPr>
        <w:t>Unique</w:t>
      </w:r>
      <w:proofErr w:type="spellEnd"/>
      <w:r w:rsidRPr="00F149CE">
        <w:rPr>
          <w:b/>
          <w:i/>
          <w:sz w:val="28"/>
        </w:rPr>
        <w:t xml:space="preserve"> Local </w:t>
      </w:r>
      <w:proofErr w:type="spellStart"/>
      <w:r w:rsidRPr="00F149CE">
        <w:rPr>
          <w:b/>
          <w:i/>
          <w:sz w:val="28"/>
        </w:rPr>
        <w:t>Address</w:t>
      </w:r>
      <w:proofErr w:type="spellEnd"/>
    </w:p>
    <w:p w:rsidR="00F149CE" w:rsidRPr="00F149CE" w:rsidRDefault="00F149CE" w:rsidP="00F149CE">
      <w:r w:rsidRPr="00F149CE">
        <w:t xml:space="preserve">Endereços locais exclusivos (intervalo fc00:/7 a </w:t>
      </w:r>
      <w:proofErr w:type="spellStart"/>
      <w:proofErr w:type="gramStart"/>
      <w:r w:rsidRPr="00F149CE">
        <w:t>fdff</w:t>
      </w:r>
      <w:proofErr w:type="spellEnd"/>
      <w:r w:rsidRPr="00F149CE">
        <w:t>::/</w:t>
      </w:r>
      <w:proofErr w:type="gramEnd"/>
      <w:r w:rsidRPr="00F149CE">
        <w:t>7) ainda não são comumente implementados. Endereços locais exclusivos podem eventualmente ser usados ​​para endereçar dispositivos que não devem ser acessíveis de fora, como servidores internos e impressoras. Os endereços locais exclusivos IPv6 têm semelhanças com os endereços privados RFC 1918 para IPv4, mas existem diferenças significativas:</w:t>
      </w:r>
    </w:p>
    <w:p w:rsidR="00F149CE" w:rsidRPr="00F149CE" w:rsidRDefault="00F149CE" w:rsidP="00F149CE">
      <w:pPr>
        <w:pStyle w:val="PargrafodaLista"/>
        <w:numPr>
          <w:ilvl w:val="0"/>
          <w:numId w:val="18"/>
        </w:numPr>
      </w:pPr>
      <w:r w:rsidRPr="00F149CE">
        <w:t>São usados ​​para endereçamento local dentro de um site ou entre um número limitado de sites.</w:t>
      </w:r>
    </w:p>
    <w:p w:rsidR="00F149CE" w:rsidRPr="00F149CE" w:rsidRDefault="00F149CE" w:rsidP="00F149CE">
      <w:pPr>
        <w:pStyle w:val="PargrafodaLista"/>
        <w:numPr>
          <w:ilvl w:val="0"/>
          <w:numId w:val="18"/>
        </w:numPr>
      </w:pPr>
      <w:r w:rsidRPr="00F149CE">
        <w:t>Podem ser usados ​​para dispositivos que nunca precisarão acessar outra rede.</w:t>
      </w:r>
    </w:p>
    <w:p w:rsidR="00F149CE" w:rsidRPr="00F149CE" w:rsidRDefault="00F149CE" w:rsidP="00F149CE">
      <w:pPr>
        <w:pStyle w:val="PargrafodaLista"/>
        <w:numPr>
          <w:ilvl w:val="0"/>
          <w:numId w:val="18"/>
        </w:numPr>
      </w:pPr>
      <w:r w:rsidRPr="00F149CE">
        <w:t>Não são roteados globalmente ou traduzidos para um endereço IPv6 global.</w:t>
      </w:r>
    </w:p>
    <w:p w:rsidR="00F149CE" w:rsidRDefault="00F149CE" w:rsidP="00F149CE">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F149CE" w:rsidRPr="00F149CE" w:rsidRDefault="00F149CE" w:rsidP="00F149CE">
      <w:pPr>
        <w:pStyle w:val="PargrafodaLista"/>
        <w:numPr>
          <w:ilvl w:val="0"/>
          <w:numId w:val="10"/>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F149CE">
        <w:rPr>
          <w:rFonts w:ascii="InterUI" w:eastAsia="Times New Roman" w:hAnsi="InterUI" w:cs="Times New Roman"/>
          <w:b/>
          <w:bCs/>
          <w:color w:val="000000"/>
          <w:spacing w:val="-12"/>
          <w:sz w:val="30"/>
          <w:szCs w:val="30"/>
          <w:lang w:eastAsia="pt-BR"/>
        </w:rPr>
        <w:t xml:space="preserve">Configurações e Endereçamento </w:t>
      </w:r>
      <w:proofErr w:type="spellStart"/>
      <w:r w:rsidRPr="00F149CE">
        <w:rPr>
          <w:rFonts w:ascii="InterUI" w:eastAsia="Times New Roman" w:hAnsi="InterUI" w:cs="Times New Roman"/>
          <w:b/>
          <w:bCs/>
          <w:color w:val="000000"/>
          <w:spacing w:val="-12"/>
          <w:sz w:val="30"/>
          <w:szCs w:val="30"/>
          <w:lang w:eastAsia="pt-BR"/>
        </w:rPr>
        <w:t>GUAs</w:t>
      </w:r>
      <w:proofErr w:type="spellEnd"/>
      <w:r w:rsidRPr="00F149CE">
        <w:rPr>
          <w:rFonts w:ascii="InterUI" w:eastAsia="Times New Roman" w:hAnsi="InterUI" w:cs="Times New Roman"/>
          <w:b/>
          <w:bCs/>
          <w:color w:val="000000"/>
          <w:spacing w:val="-12"/>
          <w:sz w:val="30"/>
          <w:szCs w:val="30"/>
          <w:lang w:eastAsia="pt-BR"/>
        </w:rPr>
        <w:t xml:space="preserve"> e </w:t>
      </w:r>
      <w:proofErr w:type="spellStart"/>
      <w:r w:rsidRPr="00F149CE">
        <w:rPr>
          <w:rFonts w:ascii="InterUI" w:eastAsia="Times New Roman" w:hAnsi="InterUI" w:cs="Times New Roman"/>
          <w:b/>
          <w:bCs/>
          <w:color w:val="000000"/>
          <w:spacing w:val="-12"/>
          <w:sz w:val="30"/>
          <w:szCs w:val="30"/>
          <w:lang w:eastAsia="pt-BR"/>
        </w:rPr>
        <w:t>LLAs</w:t>
      </w:r>
      <w:proofErr w:type="spellEnd"/>
    </w:p>
    <w:p w:rsidR="00F149CE" w:rsidRPr="00F149CE" w:rsidRDefault="00F149CE" w:rsidP="00F149CE">
      <w:r>
        <w:tab/>
      </w:r>
      <w:r w:rsidRPr="00F149CE">
        <w:t>Os endereços globais </w:t>
      </w:r>
      <w:proofErr w:type="spellStart"/>
      <w:r w:rsidRPr="00F149CE">
        <w:t>unicast</w:t>
      </w:r>
      <w:proofErr w:type="spellEnd"/>
      <w:r w:rsidRPr="00F149CE">
        <w:t> (</w:t>
      </w:r>
      <w:proofErr w:type="spellStart"/>
      <w:r w:rsidRPr="00F149CE">
        <w:t>GUAs</w:t>
      </w:r>
      <w:proofErr w:type="spellEnd"/>
      <w:r w:rsidRPr="00F149CE">
        <w:t>) IPv6 são globalmente únicos e roteáveis na Internet IPv6. Esses endereços são equivalentes aos endereços IPv4 públicos.</w:t>
      </w:r>
    </w:p>
    <w:p w:rsidR="00F149CE" w:rsidRPr="00F149CE" w:rsidRDefault="00F149CE" w:rsidP="00F149CE">
      <w:r w:rsidRPr="00F149CE">
        <w:t xml:space="preserve">Atualmente, apenas </w:t>
      </w:r>
      <w:proofErr w:type="spellStart"/>
      <w:r w:rsidRPr="00F149CE">
        <w:t>GUAs</w:t>
      </w:r>
      <w:proofErr w:type="spellEnd"/>
      <w:r w:rsidRPr="00F149CE">
        <w:t xml:space="preserve"> com os três primeiros bits de 001 ou </w:t>
      </w:r>
      <w:proofErr w:type="gramStart"/>
      <w:r w:rsidRPr="00F149CE">
        <w:t>2000::/</w:t>
      </w:r>
      <w:proofErr w:type="gramEnd"/>
      <w:r w:rsidRPr="00F149CE">
        <w:t xml:space="preserve"> 3 são atribuídos. Para o primeiro </w:t>
      </w:r>
      <w:proofErr w:type="spellStart"/>
      <w:r w:rsidRPr="00F149CE">
        <w:t>hexteto</w:t>
      </w:r>
      <w:proofErr w:type="spellEnd"/>
      <w:r w:rsidRPr="00F149CE">
        <w:t xml:space="preserve">, o primeiro dígito hexadecimal para </w:t>
      </w:r>
      <w:proofErr w:type="spellStart"/>
      <w:r w:rsidRPr="00F149CE">
        <w:t>GUAs</w:t>
      </w:r>
      <w:proofErr w:type="spellEnd"/>
      <w:r w:rsidRPr="00F149CE">
        <w:t xml:space="preserve"> atualmente disponíveis começa com 2 ou 3. Significa apenas um oitavo do espaço de endereços IPv6 disponível total, excluindo uma parte muito pequena para outros tipos de endereços </w:t>
      </w:r>
      <w:proofErr w:type="spellStart"/>
      <w:r w:rsidRPr="00F149CE">
        <w:t>unicast</w:t>
      </w:r>
      <w:proofErr w:type="spellEnd"/>
      <w:r w:rsidRPr="00F149CE">
        <w:t> e </w:t>
      </w:r>
      <w:proofErr w:type="spellStart"/>
      <w:r w:rsidRPr="00F149CE">
        <w:t>multicast</w:t>
      </w:r>
      <w:proofErr w:type="spellEnd"/>
      <w:r>
        <w:t xml:space="preserve">. A Figura </w:t>
      </w:r>
      <w:r w:rsidRPr="00F149CE">
        <w:t>a seguir ilustra a estrutura e o alcance de um endereço global </w:t>
      </w:r>
      <w:proofErr w:type="spellStart"/>
      <w:r w:rsidRPr="00F149CE">
        <w:t>unicast</w:t>
      </w:r>
      <w:proofErr w:type="spellEnd"/>
      <w:r w:rsidRPr="00F149CE">
        <w:t>.</w:t>
      </w:r>
    </w:p>
    <w:p w:rsidR="00F149CE" w:rsidRDefault="00F149CE" w:rsidP="00F149CE">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drawing>
          <wp:inline distT="0" distB="0" distL="0" distR="0">
            <wp:extent cx="3629025" cy="742950"/>
            <wp:effectExtent l="0" t="0" r="9525" b="0"/>
            <wp:docPr id="10" name="Imagem 10" descr="https://paperx-dex-assets.s3.sa-east-1.amazonaws.com/images/1626797082695-aFdP2JQ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perx-dex-assets.s3.sa-east-1.amazonaws.com/images/1626797082695-aFdP2JQoW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742950"/>
                    </a:xfrm>
                    <a:prstGeom prst="rect">
                      <a:avLst/>
                    </a:prstGeom>
                    <a:noFill/>
                    <a:ln>
                      <a:noFill/>
                    </a:ln>
                  </pic:spPr>
                </pic:pic>
              </a:graphicData>
            </a:graphic>
          </wp:inline>
        </w:drawing>
      </w:r>
    </w:p>
    <w:p w:rsidR="00F149CE" w:rsidRDefault="00F149CE" w:rsidP="00F149CE">
      <w:pPr>
        <w:spacing w:before="0" w:after="0"/>
        <w:jc w:val="center"/>
        <w:rPr>
          <w:rFonts w:ascii="Times New Roman" w:eastAsia="Times New Roman" w:hAnsi="Times New Roman" w:cs="Times New Roman"/>
          <w:color w:val="auto"/>
          <w:szCs w:val="24"/>
          <w:lang w:eastAsia="pt-BR"/>
        </w:rPr>
      </w:pPr>
    </w:p>
    <w:p w:rsidR="00F149CE" w:rsidRPr="00F149CE" w:rsidRDefault="00F149CE" w:rsidP="00F149CE">
      <w:pPr>
        <w:spacing w:before="0" w:after="0"/>
        <w:jc w:val="center"/>
        <w:rPr>
          <w:rFonts w:ascii="Times New Roman" w:eastAsia="Times New Roman" w:hAnsi="Times New Roman" w:cs="Times New Roman"/>
          <w:color w:val="auto"/>
          <w:szCs w:val="24"/>
          <w:lang w:eastAsia="pt-BR"/>
        </w:rPr>
      </w:pPr>
    </w:p>
    <w:p w:rsidR="00F149CE" w:rsidRPr="00F149CE" w:rsidRDefault="00F149CE" w:rsidP="00F149CE">
      <w:pPr>
        <w:pStyle w:val="SemEspaamento"/>
      </w:pPr>
      <w:r w:rsidRPr="00F149CE">
        <w:rPr>
          <w:rFonts w:ascii="InterUI" w:eastAsia="Times New Roman" w:hAnsi="InterUI" w:cs="Times New Roman"/>
          <w:color w:val="666666"/>
          <w:spacing w:val="-12"/>
          <w:sz w:val="30"/>
          <w:szCs w:val="30"/>
          <w:lang w:eastAsia="pt-BR"/>
        </w:rPr>
        <w:t>​</w:t>
      </w:r>
      <w:r w:rsidRPr="00F149CE">
        <w:rPr>
          <w:i/>
        </w:rPr>
        <w:t xml:space="preserve">Global </w:t>
      </w:r>
      <w:proofErr w:type="spellStart"/>
      <w:r w:rsidRPr="00F149CE">
        <w:rPr>
          <w:i/>
        </w:rPr>
        <w:t>Routing</w:t>
      </w:r>
      <w:proofErr w:type="spellEnd"/>
      <w:r w:rsidRPr="00F149CE">
        <w:rPr>
          <w:i/>
        </w:rPr>
        <w:t xml:space="preserve"> </w:t>
      </w:r>
      <w:proofErr w:type="spellStart"/>
      <w:r w:rsidRPr="00F149CE">
        <w:rPr>
          <w:i/>
        </w:rPr>
        <w:t>Prefix</w:t>
      </w:r>
      <w:proofErr w:type="spellEnd"/>
      <w:r w:rsidRPr="00F149CE">
        <w:t xml:space="preserve">: é parte do endereço que é atribuído pelo provedor, como um ISP, a um cliente ou site. Por exemplo, é comum que os </w:t>
      </w:r>
      <w:proofErr w:type="spellStart"/>
      <w:r w:rsidRPr="00F149CE">
        <w:t>ISPs</w:t>
      </w:r>
      <w:proofErr w:type="spellEnd"/>
      <w:r w:rsidRPr="00F149CE">
        <w:t xml:space="preserve"> atribuam um prefixo de roteamento global /48 a seus clientes. Por exemplo, o endereço 2001:db</w:t>
      </w:r>
      <w:proofErr w:type="gramStart"/>
      <w:r w:rsidRPr="00F149CE">
        <w:t>8:acad</w:t>
      </w:r>
      <w:proofErr w:type="gramEnd"/>
      <w:r w:rsidRPr="00F149CE">
        <w:t xml:space="preserve">::/48 tem um prefixo de roteamento global que indica que os primeiros 48 bits (3 </w:t>
      </w:r>
      <w:proofErr w:type="spellStart"/>
      <w:r w:rsidRPr="00F149CE">
        <w:t>hextetos</w:t>
      </w:r>
      <w:proofErr w:type="spellEnd"/>
      <w:r w:rsidRPr="00F149CE">
        <w:t xml:space="preserve">) (2001: db8: </w:t>
      </w:r>
      <w:proofErr w:type="spellStart"/>
      <w:r w:rsidRPr="00F149CE">
        <w:t>acad</w:t>
      </w:r>
      <w:proofErr w:type="spellEnd"/>
      <w:r w:rsidRPr="00F149CE">
        <w:t>) é como o ISP conhece esse prefixo (rede). O tamanho do prefixo de roteamento global determina o tamanh</w:t>
      </w:r>
      <w:r>
        <w:t xml:space="preserve">o do ID da </w:t>
      </w:r>
      <w:proofErr w:type="spellStart"/>
      <w:r>
        <w:t>sub-rede</w:t>
      </w:r>
      <w:proofErr w:type="spellEnd"/>
      <w:r>
        <w:t xml:space="preserve">. A Figura </w:t>
      </w:r>
      <w:r w:rsidRPr="00F149CE">
        <w:t>mostra a estrutura de um endereço </w:t>
      </w:r>
      <w:proofErr w:type="spellStart"/>
      <w:r w:rsidRPr="00F149CE">
        <w:t>unicast</w:t>
      </w:r>
      <w:proofErr w:type="spellEnd"/>
      <w:r w:rsidRPr="00F149CE">
        <w:t> global com prefixo global de roteamento de /</w:t>
      </w:r>
      <w:proofErr w:type="gramStart"/>
      <w:r w:rsidRPr="00F149CE">
        <w:t>48.​</w:t>
      </w:r>
      <w:proofErr w:type="gramEnd"/>
    </w:p>
    <w:p w:rsidR="00F149CE" w:rsidRDefault="00F149CE" w:rsidP="00F149CE">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lastRenderedPageBreak/>
        <w:drawing>
          <wp:inline distT="0" distB="0" distL="0" distR="0">
            <wp:extent cx="4524375" cy="752475"/>
            <wp:effectExtent l="0" t="0" r="9525" b="9525"/>
            <wp:docPr id="9" name="Imagem 9" descr="https://paperx-dex-assets.s3.sa-east-1.amazonaws.com/images/1626797314525-lPAPbIk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perx-dex-assets.s3.sa-east-1.amazonaws.com/images/1626797314525-lPAPbIkic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752475"/>
                    </a:xfrm>
                    <a:prstGeom prst="rect">
                      <a:avLst/>
                    </a:prstGeom>
                    <a:noFill/>
                    <a:ln>
                      <a:noFill/>
                    </a:ln>
                  </pic:spPr>
                </pic:pic>
              </a:graphicData>
            </a:graphic>
          </wp:inline>
        </w:drawing>
      </w:r>
    </w:p>
    <w:p w:rsidR="00F149CE" w:rsidRDefault="00F149CE" w:rsidP="00F149CE">
      <w:pPr>
        <w:spacing w:before="0" w:after="0"/>
        <w:jc w:val="center"/>
        <w:rPr>
          <w:rFonts w:ascii="Times New Roman" w:eastAsia="Times New Roman" w:hAnsi="Times New Roman" w:cs="Times New Roman"/>
          <w:color w:val="auto"/>
          <w:szCs w:val="24"/>
          <w:lang w:eastAsia="pt-BR"/>
        </w:rPr>
      </w:pPr>
    </w:p>
    <w:p w:rsidR="00F149CE" w:rsidRPr="00F149CE" w:rsidRDefault="00F149CE" w:rsidP="00F149CE">
      <w:pPr>
        <w:spacing w:before="0" w:after="0"/>
        <w:jc w:val="center"/>
        <w:rPr>
          <w:rFonts w:ascii="Times New Roman" w:eastAsia="Times New Roman" w:hAnsi="Times New Roman" w:cs="Times New Roman"/>
          <w:i/>
          <w:color w:val="auto"/>
          <w:szCs w:val="24"/>
          <w:lang w:eastAsia="pt-BR"/>
        </w:rPr>
      </w:pPr>
    </w:p>
    <w:p w:rsidR="00F149CE" w:rsidRPr="00F149CE" w:rsidRDefault="00F149CE" w:rsidP="00F149CE">
      <w:pPr>
        <w:pStyle w:val="SemEspaamento"/>
      </w:pPr>
      <w:r w:rsidRPr="00F149CE">
        <w:rPr>
          <w:rFonts w:ascii="InterUI" w:eastAsia="Times New Roman" w:hAnsi="InterUI" w:cs="Times New Roman"/>
          <w:i/>
          <w:color w:val="666666"/>
          <w:spacing w:val="-12"/>
          <w:sz w:val="30"/>
          <w:szCs w:val="30"/>
          <w:lang w:eastAsia="pt-BR"/>
        </w:rPr>
        <w:t>​</w:t>
      </w:r>
      <w:proofErr w:type="spellStart"/>
      <w:r w:rsidRPr="00F149CE">
        <w:rPr>
          <w:i/>
        </w:rPr>
        <w:t>Subnet</w:t>
      </w:r>
      <w:proofErr w:type="spellEnd"/>
      <w:r w:rsidRPr="00F149CE">
        <w:rPr>
          <w:i/>
        </w:rPr>
        <w:t xml:space="preserve"> ID</w:t>
      </w:r>
      <w:r w:rsidRPr="00F149CE">
        <w:t xml:space="preserve">: o IPv6 foi projetado com </w:t>
      </w:r>
      <w:proofErr w:type="spellStart"/>
      <w:r w:rsidRPr="00F149CE">
        <w:t>sub-redes</w:t>
      </w:r>
      <w:proofErr w:type="spellEnd"/>
      <w:r w:rsidRPr="00F149CE">
        <w:t xml:space="preserve">. O ID de </w:t>
      </w:r>
      <w:proofErr w:type="spellStart"/>
      <w:r w:rsidRPr="00F149CE">
        <w:t>sub-rede</w:t>
      </w:r>
      <w:proofErr w:type="spellEnd"/>
      <w:r w:rsidRPr="00F149CE">
        <w:t xml:space="preserve"> é usado por uma organização para identificar </w:t>
      </w:r>
      <w:proofErr w:type="spellStart"/>
      <w:r w:rsidRPr="00F149CE">
        <w:t>sub-redes</w:t>
      </w:r>
      <w:proofErr w:type="spellEnd"/>
      <w:r w:rsidRPr="00F149CE">
        <w:t xml:space="preserve"> em seu site. Quanto maior o ID da </w:t>
      </w:r>
      <w:proofErr w:type="spellStart"/>
      <w:r w:rsidRPr="00F149CE">
        <w:t>sub-rede</w:t>
      </w:r>
      <w:proofErr w:type="spellEnd"/>
      <w:r w:rsidRPr="00F149CE">
        <w:t xml:space="preserve">, mais </w:t>
      </w:r>
      <w:proofErr w:type="spellStart"/>
      <w:r w:rsidRPr="00F149CE">
        <w:t>sub-redes</w:t>
      </w:r>
      <w:proofErr w:type="spellEnd"/>
      <w:r w:rsidRPr="00F149CE">
        <w:t xml:space="preserve"> disponíveis. Com o prefixo /64, tem-se um ID de </w:t>
      </w:r>
      <w:proofErr w:type="spellStart"/>
      <w:r w:rsidRPr="00F149CE">
        <w:t>sub-rede</w:t>
      </w:r>
      <w:proofErr w:type="spellEnd"/>
      <w:r w:rsidRPr="00F149CE">
        <w:t xml:space="preserve"> de 32 bits. Isso significa que uma organização com um prefixo de roteamento global /32 e uma ID de </w:t>
      </w:r>
      <w:proofErr w:type="spellStart"/>
      <w:r w:rsidRPr="00F149CE">
        <w:t>sub-rede</w:t>
      </w:r>
      <w:proofErr w:type="spellEnd"/>
      <w:r w:rsidRPr="00F149CE">
        <w:t xml:space="preserve"> de 32 bits terá 4,3 bilhões de </w:t>
      </w:r>
      <w:proofErr w:type="spellStart"/>
      <w:r w:rsidRPr="00F149CE">
        <w:t>sub-redes</w:t>
      </w:r>
      <w:proofErr w:type="spellEnd"/>
      <w:r w:rsidRPr="00F149CE">
        <w:t xml:space="preserve">, cada uma com 18 quintilhões de dispositivos por </w:t>
      </w:r>
      <w:proofErr w:type="spellStart"/>
      <w:r w:rsidRPr="00F149CE">
        <w:t>sub-rede</w:t>
      </w:r>
      <w:proofErr w:type="spellEnd"/>
      <w:r w:rsidRPr="00F149CE">
        <w:t xml:space="preserve">. Com o comprimento de prefixo /64 típico, os primeiros quatro </w:t>
      </w:r>
      <w:proofErr w:type="spellStart"/>
      <w:r w:rsidRPr="00F149CE">
        <w:t>hextetos</w:t>
      </w:r>
      <w:proofErr w:type="spellEnd"/>
      <w:r w:rsidRPr="00F149CE">
        <w:t xml:space="preserve"> são para a parte da rede do endereço, o quarto </w:t>
      </w:r>
      <w:proofErr w:type="spellStart"/>
      <w:r w:rsidRPr="00F149CE">
        <w:t>hexteto</w:t>
      </w:r>
      <w:proofErr w:type="spellEnd"/>
      <w:r w:rsidRPr="00F149CE">
        <w:t xml:space="preserve"> in</w:t>
      </w:r>
      <w:r>
        <w:t xml:space="preserve">dica o ID da </w:t>
      </w:r>
      <w:proofErr w:type="spellStart"/>
      <w:r>
        <w:t>sub-rede</w:t>
      </w:r>
      <w:proofErr w:type="spellEnd"/>
      <w:r w:rsidRPr="00F149CE">
        <w:t xml:space="preserve">. Os quatro </w:t>
      </w:r>
      <w:proofErr w:type="spellStart"/>
      <w:r w:rsidRPr="00F149CE">
        <w:t>hextetos</w:t>
      </w:r>
      <w:proofErr w:type="spellEnd"/>
      <w:r w:rsidRPr="00F149CE">
        <w:t xml:space="preserve"> restantes são para o ID da </w:t>
      </w:r>
      <w:proofErr w:type="gramStart"/>
      <w:r w:rsidRPr="00F149CE">
        <w:t>interface.​</w:t>
      </w:r>
      <w:proofErr w:type="gramEnd"/>
    </w:p>
    <w:p w:rsidR="00F149CE" w:rsidRDefault="00F149CE" w:rsidP="00F149CE">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drawing>
          <wp:inline distT="0" distB="0" distL="0" distR="0">
            <wp:extent cx="4019550" cy="438150"/>
            <wp:effectExtent l="0" t="0" r="0" b="0"/>
            <wp:docPr id="8" name="Imagem 8" descr="https://paperx-dex-assets.s3.sa-east-1.amazonaws.com/images/1626797352995-TpmCT8O0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perx-dex-assets.s3.sa-east-1.amazonaws.com/images/1626797352995-TpmCT8O0U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438150"/>
                    </a:xfrm>
                    <a:prstGeom prst="rect">
                      <a:avLst/>
                    </a:prstGeom>
                    <a:noFill/>
                    <a:ln>
                      <a:noFill/>
                    </a:ln>
                  </pic:spPr>
                </pic:pic>
              </a:graphicData>
            </a:graphic>
          </wp:inline>
        </w:drawing>
      </w:r>
    </w:p>
    <w:p w:rsidR="00F149CE" w:rsidRPr="00F149CE" w:rsidRDefault="00F149CE" w:rsidP="00F149CE">
      <w:pPr>
        <w:spacing w:before="0" w:after="0"/>
        <w:jc w:val="center"/>
        <w:rPr>
          <w:rFonts w:ascii="Times New Roman" w:eastAsia="Times New Roman" w:hAnsi="Times New Roman" w:cs="Times New Roman"/>
          <w:color w:val="auto"/>
          <w:szCs w:val="24"/>
          <w:lang w:eastAsia="pt-BR"/>
        </w:rPr>
      </w:pPr>
    </w:p>
    <w:p w:rsidR="00F149CE" w:rsidRPr="00F149CE" w:rsidRDefault="00F149CE" w:rsidP="00F149CE">
      <w:r w:rsidRPr="00F149CE">
        <w:t>​</w:t>
      </w:r>
      <w:r w:rsidRPr="00F149CE">
        <w:rPr>
          <w:i/>
        </w:rPr>
        <w:t>Interface ID:</w:t>
      </w:r>
      <w:r w:rsidRPr="00F149CE">
        <w:t xml:space="preserve"> o ID da interface IPv6 é equivalente à parte do host de um endereço IPv4. O termo ID de interface é usado porque um único host pode ter várias interfaces, cada uma com um ou mais endereços IPv6.  Um ID de interface de 64 bits (Figura 7) permite 18 quintilhões de dispositivos ou hosts por </w:t>
      </w:r>
      <w:proofErr w:type="spellStart"/>
      <w:r w:rsidRPr="00F149CE">
        <w:t>sub-rede</w:t>
      </w:r>
      <w:proofErr w:type="spellEnd"/>
      <w:r w:rsidRPr="00F149CE">
        <w:t xml:space="preserve">. Uma </w:t>
      </w:r>
      <w:proofErr w:type="spellStart"/>
      <w:r w:rsidRPr="00F149CE">
        <w:t>sub-rede</w:t>
      </w:r>
      <w:proofErr w:type="spellEnd"/>
      <w:r w:rsidRPr="00F149CE">
        <w:t xml:space="preserve"> ou prefixo /64 (prefixo de roteamento global + ID da </w:t>
      </w:r>
      <w:proofErr w:type="spellStart"/>
      <w:r w:rsidRPr="00F149CE">
        <w:t>sub-rede</w:t>
      </w:r>
      <w:proofErr w:type="spellEnd"/>
      <w:r w:rsidRPr="00F149CE">
        <w:t xml:space="preserve">) deixa 64 bits para a ID da interface. Isso é recomendado para permitir que dispositivos habilitados criem seus próprios </w:t>
      </w:r>
      <w:proofErr w:type="spellStart"/>
      <w:r w:rsidRPr="00F149CE">
        <w:t>IDs</w:t>
      </w:r>
      <w:proofErr w:type="spellEnd"/>
      <w:r w:rsidRPr="00F149CE">
        <w:t xml:space="preserve"> de interface de 64 bits. No IPv6 os endereços de host all-0s (tudo 0) e all-1s (tudo 1) podem ser atribuídos a um dispositivo. O endereço all-1s pode ser usado porque os endereços de broadcast não são usados ​​no IPv6. O endereço all-0s também pode ser usado, mas é reservado como um endereço </w:t>
      </w:r>
      <w:proofErr w:type="spellStart"/>
      <w:r w:rsidRPr="00F149CE">
        <w:t>anycast</w:t>
      </w:r>
      <w:proofErr w:type="spellEnd"/>
      <w:r w:rsidRPr="00F149CE">
        <w:t xml:space="preserve"> de roteador de </w:t>
      </w:r>
      <w:proofErr w:type="spellStart"/>
      <w:r w:rsidRPr="00F149CE">
        <w:t>sub-</w:t>
      </w:r>
      <w:proofErr w:type="gramStart"/>
      <w:r w:rsidRPr="00F149CE">
        <w:t>rede</w:t>
      </w:r>
      <w:proofErr w:type="spellEnd"/>
      <w:r w:rsidRPr="00F149CE">
        <w:t>.​</w:t>
      </w:r>
      <w:proofErr w:type="gramEnd"/>
    </w:p>
    <w:p w:rsidR="00F149CE" w:rsidRDefault="00F149CE" w:rsidP="00315F6B">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drawing>
          <wp:inline distT="0" distB="0" distL="0" distR="0">
            <wp:extent cx="3876675" cy="419100"/>
            <wp:effectExtent l="0" t="0" r="9525" b="0"/>
            <wp:docPr id="7" name="Imagem 7" descr="https://paperx-dex-assets.s3.sa-east-1.amazonaws.com/images/1626797392829-Fq57hvZZ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perx-dex-assets.s3.sa-east-1.amazonaws.com/images/1626797392829-Fq57hvZZN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419100"/>
                    </a:xfrm>
                    <a:prstGeom prst="rect">
                      <a:avLst/>
                    </a:prstGeom>
                    <a:noFill/>
                    <a:ln>
                      <a:noFill/>
                    </a:ln>
                  </pic:spPr>
                </pic:pic>
              </a:graphicData>
            </a:graphic>
          </wp:inline>
        </w:drawing>
      </w:r>
    </w:p>
    <w:p w:rsidR="00315F6B" w:rsidRDefault="00315F6B" w:rsidP="00315F6B">
      <w:pPr>
        <w:spacing w:before="0" w:after="0"/>
        <w:jc w:val="center"/>
        <w:rPr>
          <w:rFonts w:ascii="Times New Roman" w:eastAsia="Times New Roman" w:hAnsi="Times New Roman" w:cs="Times New Roman"/>
          <w:color w:val="auto"/>
          <w:szCs w:val="24"/>
          <w:lang w:eastAsia="pt-BR"/>
        </w:rPr>
      </w:pPr>
    </w:p>
    <w:p w:rsidR="00315F6B" w:rsidRPr="00F149CE" w:rsidRDefault="00315F6B" w:rsidP="00315F6B">
      <w:pPr>
        <w:spacing w:before="0" w:after="0"/>
        <w:jc w:val="center"/>
        <w:rPr>
          <w:rFonts w:ascii="Times New Roman" w:eastAsia="Times New Roman" w:hAnsi="Times New Roman" w:cs="Times New Roman"/>
          <w:color w:val="auto"/>
          <w:szCs w:val="24"/>
          <w:lang w:eastAsia="pt-BR"/>
        </w:rPr>
      </w:pPr>
    </w:p>
    <w:p w:rsidR="00F149CE" w:rsidRPr="00315F6B" w:rsidRDefault="00F149CE" w:rsidP="00315F6B">
      <w:pPr>
        <w:pStyle w:val="PargrafodaLista"/>
        <w:numPr>
          <w:ilvl w:val="0"/>
          <w:numId w:val="10"/>
        </w:numPr>
        <w:shd w:val="clear" w:color="auto" w:fill="FFFFFF"/>
        <w:spacing w:before="0" w:after="480" w:line="480" w:lineRule="atLeast"/>
        <w:rPr>
          <w:rFonts w:ascii="InterUI" w:eastAsia="Times New Roman" w:hAnsi="InterUI" w:cs="Times New Roman"/>
          <w:b/>
          <w:color w:val="666666"/>
          <w:spacing w:val="-12"/>
          <w:sz w:val="32"/>
          <w:szCs w:val="30"/>
          <w:lang w:eastAsia="pt-BR"/>
        </w:rPr>
      </w:pPr>
      <w:r w:rsidRPr="00315F6B">
        <w:rPr>
          <w:rFonts w:ascii="InterUI" w:eastAsia="Times New Roman" w:hAnsi="InterUI" w:cs="Times New Roman"/>
          <w:b/>
          <w:color w:val="000000"/>
          <w:spacing w:val="-12"/>
          <w:sz w:val="32"/>
          <w:szCs w:val="30"/>
          <w:lang w:eastAsia="pt-BR"/>
        </w:rPr>
        <w:t>LLA</w:t>
      </w:r>
    </w:p>
    <w:p w:rsidR="00F149CE" w:rsidRPr="00315F6B" w:rsidRDefault="00315F6B" w:rsidP="00315F6B">
      <w:r>
        <w:tab/>
      </w:r>
      <w:r w:rsidR="00F149CE" w:rsidRPr="00315F6B">
        <w:t>Um endereço de link local IPv6 (LLA) permite que um dispositivo se comunique diretamente com outros dispositivos habilitados para IPv6 no mesmo link e apenas nesse link (</w:t>
      </w:r>
      <w:proofErr w:type="spellStart"/>
      <w:r w:rsidR="00F149CE" w:rsidRPr="00315F6B">
        <w:t>sub-rede</w:t>
      </w:r>
      <w:proofErr w:type="spellEnd"/>
      <w:r w:rsidR="00F149CE" w:rsidRPr="00315F6B">
        <w:t>). Os pacotes com uma origem ou destino LLA não podem ser roteados além do link do qual o pacote se originou. O GUA não é um requisito. No entanto, toda interface de rede habilitada para IPv6 deve ter um LLA. Se um LLA não for configurado manualmente em uma interface, o dispositivo cria automaticamente o seu próprio sem se comunicar com um servidor DHCP. Os hosts habilitados para IPv6 criam um LLA IPv6 mesmo se o dispositivo não tenha recebido um endereço IPv6 </w:t>
      </w:r>
      <w:proofErr w:type="spellStart"/>
      <w:r w:rsidR="00F149CE" w:rsidRPr="00315F6B">
        <w:t>unicast</w:t>
      </w:r>
      <w:proofErr w:type="spellEnd"/>
      <w:r w:rsidR="00F149CE" w:rsidRPr="00315F6B">
        <w:t xml:space="preserve"> global. Isso permite que dispositivos habilitados para IPv6 se comuniquem com outros dispositivos habilitados para IPv6 na mesma </w:t>
      </w:r>
      <w:proofErr w:type="spellStart"/>
      <w:r w:rsidR="00F149CE" w:rsidRPr="00315F6B">
        <w:t>sub-rede</w:t>
      </w:r>
      <w:proofErr w:type="spellEnd"/>
      <w:r w:rsidR="00F149CE" w:rsidRPr="00315F6B">
        <w:t>. Isso inclui a comunicação com o gateway padrão (roteador).</w:t>
      </w:r>
    </w:p>
    <w:p w:rsidR="00F149CE" w:rsidRPr="00315F6B" w:rsidRDefault="00F149CE" w:rsidP="00315F6B">
      <w:r w:rsidRPr="00315F6B">
        <w:lastRenderedPageBreak/>
        <w:t> </w:t>
      </w:r>
    </w:p>
    <w:p w:rsidR="00F149CE" w:rsidRPr="00315F6B" w:rsidRDefault="00F149CE" w:rsidP="00315F6B">
      <w:pPr>
        <w:pStyle w:val="PargrafodaLista"/>
        <w:numPr>
          <w:ilvl w:val="0"/>
          <w:numId w:val="10"/>
        </w:numPr>
        <w:shd w:val="clear" w:color="auto" w:fill="FFFFFF"/>
        <w:spacing w:before="0" w:after="480" w:line="480" w:lineRule="atLeast"/>
        <w:rPr>
          <w:rFonts w:ascii="InterUI" w:eastAsia="Times New Roman" w:hAnsi="InterUI" w:cs="Times New Roman"/>
          <w:color w:val="666666"/>
          <w:spacing w:val="-12"/>
          <w:sz w:val="30"/>
          <w:szCs w:val="30"/>
          <w:lang w:eastAsia="pt-BR"/>
        </w:rPr>
      </w:pPr>
      <w:proofErr w:type="spellStart"/>
      <w:r w:rsidRPr="00315F6B">
        <w:rPr>
          <w:rFonts w:ascii="InterUI" w:eastAsia="Times New Roman" w:hAnsi="InterUI" w:cs="Times New Roman"/>
          <w:b/>
          <w:bCs/>
          <w:color w:val="000000"/>
          <w:spacing w:val="-12"/>
          <w:sz w:val="30"/>
          <w:szCs w:val="30"/>
          <w:lang w:eastAsia="pt-BR"/>
        </w:rPr>
        <w:t>Sub-redes</w:t>
      </w:r>
      <w:proofErr w:type="spellEnd"/>
      <w:r w:rsidRPr="00315F6B">
        <w:rPr>
          <w:rFonts w:ascii="InterUI" w:eastAsia="Times New Roman" w:hAnsi="InterUI" w:cs="Times New Roman"/>
          <w:b/>
          <w:bCs/>
          <w:color w:val="000000"/>
          <w:spacing w:val="-12"/>
          <w:sz w:val="30"/>
          <w:szCs w:val="30"/>
          <w:lang w:eastAsia="pt-BR"/>
        </w:rPr>
        <w:t xml:space="preserve"> e Endereços </w:t>
      </w:r>
      <w:proofErr w:type="spellStart"/>
      <w:r w:rsidRPr="00315F6B">
        <w:rPr>
          <w:rFonts w:ascii="InterUI" w:eastAsia="Times New Roman" w:hAnsi="InterUI" w:cs="Times New Roman"/>
          <w:b/>
          <w:bCs/>
          <w:i/>
          <w:iCs/>
          <w:color w:val="000000"/>
          <w:spacing w:val="-12"/>
          <w:sz w:val="30"/>
          <w:szCs w:val="30"/>
          <w:lang w:eastAsia="pt-BR"/>
        </w:rPr>
        <w:t>Multicast</w:t>
      </w:r>
      <w:proofErr w:type="spellEnd"/>
    </w:p>
    <w:p w:rsidR="00F149CE" w:rsidRPr="00315F6B" w:rsidRDefault="00315F6B" w:rsidP="00315F6B">
      <w:r>
        <w:tab/>
      </w:r>
      <w:r w:rsidR="00F149CE" w:rsidRPr="00315F6B">
        <w:t>Os endereços </w:t>
      </w:r>
      <w:proofErr w:type="spellStart"/>
      <w:r w:rsidR="00F149CE" w:rsidRPr="00315F6B">
        <w:t>multicast</w:t>
      </w:r>
      <w:proofErr w:type="spellEnd"/>
      <w:r w:rsidR="00F149CE" w:rsidRPr="00315F6B">
        <w:t> IPv6 são semelhantes aos endereços </w:t>
      </w:r>
      <w:proofErr w:type="spellStart"/>
      <w:r w:rsidR="00F149CE" w:rsidRPr="00315F6B">
        <w:t>multicast</w:t>
      </w:r>
      <w:proofErr w:type="spellEnd"/>
      <w:r w:rsidR="00F149CE" w:rsidRPr="00315F6B">
        <w:t> IPv4. Lembrar que um endereço </w:t>
      </w:r>
      <w:proofErr w:type="spellStart"/>
      <w:r w:rsidR="00F149CE" w:rsidRPr="00315F6B">
        <w:t>multicast</w:t>
      </w:r>
      <w:proofErr w:type="spellEnd"/>
      <w:r w:rsidR="00F149CE" w:rsidRPr="00315F6B">
        <w:t> é usado para enviar um único pacote a um ou mais destinos (grupo </w:t>
      </w:r>
      <w:proofErr w:type="spellStart"/>
      <w:r w:rsidR="00F149CE" w:rsidRPr="00315F6B">
        <w:t>multicast</w:t>
      </w:r>
      <w:proofErr w:type="spellEnd"/>
      <w:r w:rsidR="00F149CE" w:rsidRPr="00315F6B">
        <w:t>). Os endereços </w:t>
      </w:r>
      <w:proofErr w:type="spellStart"/>
      <w:r w:rsidR="00F149CE" w:rsidRPr="00315F6B">
        <w:t>multicast</w:t>
      </w:r>
      <w:proofErr w:type="spellEnd"/>
      <w:r w:rsidR="00F149CE" w:rsidRPr="00315F6B">
        <w:t> IPv6 têm o prefixo ff</w:t>
      </w:r>
      <w:proofErr w:type="gramStart"/>
      <w:r w:rsidR="00F149CE" w:rsidRPr="00315F6B">
        <w:t>00::/</w:t>
      </w:r>
      <w:proofErr w:type="gramEnd"/>
      <w:r w:rsidR="00F149CE" w:rsidRPr="00315F6B">
        <w:t>8. Os endereços </w:t>
      </w:r>
      <w:proofErr w:type="spellStart"/>
      <w:r w:rsidR="00F149CE" w:rsidRPr="00315F6B">
        <w:t>multicast</w:t>
      </w:r>
      <w:proofErr w:type="spellEnd"/>
      <w:r w:rsidR="00F149CE" w:rsidRPr="00315F6B">
        <w:t> só podem ser endereços de destino e não endereços de origem.</w:t>
      </w:r>
    </w:p>
    <w:p w:rsidR="00F149CE" w:rsidRPr="00315F6B" w:rsidRDefault="00F149CE" w:rsidP="00315F6B">
      <w:pPr>
        <w:pStyle w:val="PargrafodaLista"/>
        <w:numPr>
          <w:ilvl w:val="0"/>
          <w:numId w:val="19"/>
        </w:numPr>
      </w:pPr>
      <w:r w:rsidRPr="00315F6B">
        <w:t>Existem dois tipos de endereços </w:t>
      </w:r>
      <w:proofErr w:type="spellStart"/>
      <w:r w:rsidRPr="00315F6B">
        <w:t>multicast</w:t>
      </w:r>
      <w:proofErr w:type="spellEnd"/>
      <w:r w:rsidRPr="00315F6B">
        <w:t> IPv6:</w:t>
      </w:r>
    </w:p>
    <w:p w:rsidR="00F149CE" w:rsidRPr="00315F6B" w:rsidRDefault="00F149CE" w:rsidP="00315F6B">
      <w:pPr>
        <w:pStyle w:val="PargrafodaLista"/>
        <w:numPr>
          <w:ilvl w:val="0"/>
          <w:numId w:val="19"/>
        </w:numPr>
      </w:pPr>
      <w:r w:rsidRPr="00315F6B">
        <w:t>Endereços </w:t>
      </w:r>
      <w:proofErr w:type="spellStart"/>
      <w:r w:rsidRPr="00315F6B">
        <w:t>multicast</w:t>
      </w:r>
      <w:proofErr w:type="spellEnd"/>
      <w:r w:rsidRPr="00315F6B">
        <w:t> conhecidos</w:t>
      </w:r>
    </w:p>
    <w:p w:rsidR="00F149CE" w:rsidRPr="00315F6B" w:rsidRDefault="00F149CE" w:rsidP="00315F6B">
      <w:pPr>
        <w:pStyle w:val="PargrafodaLista"/>
        <w:numPr>
          <w:ilvl w:val="0"/>
          <w:numId w:val="19"/>
        </w:numPr>
      </w:pPr>
      <w:r w:rsidRPr="00315F6B">
        <w:t>Endereços de </w:t>
      </w:r>
      <w:proofErr w:type="spellStart"/>
      <w:r w:rsidRPr="00315F6B">
        <w:t>multicast</w:t>
      </w:r>
      <w:proofErr w:type="spellEnd"/>
      <w:r w:rsidRPr="00315F6B">
        <w:t> de nó solicitados</w:t>
      </w:r>
    </w:p>
    <w:p w:rsidR="00F149CE" w:rsidRPr="00315F6B" w:rsidRDefault="00F149CE" w:rsidP="00315F6B">
      <w:pPr>
        <w:pStyle w:val="PargrafodaLista"/>
        <w:numPr>
          <w:ilvl w:val="0"/>
          <w:numId w:val="19"/>
        </w:numPr>
      </w:pPr>
      <w:r w:rsidRPr="00315F6B">
        <w:t>Endereços </w:t>
      </w:r>
      <w:proofErr w:type="spellStart"/>
      <w:r w:rsidRPr="00315F6B">
        <w:t>Multicast</w:t>
      </w:r>
      <w:proofErr w:type="spellEnd"/>
      <w:r w:rsidRPr="00315F6B">
        <w:t> Conhecidos</w:t>
      </w:r>
    </w:p>
    <w:p w:rsidR="00F149CE" w:rsidRPr="00315F6B" w:rsidRDefault="00F149CE" w:rsidP="00315F6B">
      <w:r w:rsidRPr="00315F6B">
        <w:t>Os endereços </w:t>
      </w:r>
      <w:proofErr w:type="spellStart"/>
      <w:r w:rsidRPr="00315F6B">
        <w:t>multicast</w:t>
      </w:r>
      <w:proofErr w:type="spellEnd"/>
      <w:r w:rsidRPr="00315F6B">
        <w:t> atribuídos são endereços </w:t>
      </w:r>
      <w:proofErr w:type="spellStart"/>
      <w:r w:rsidRPr="00315F6B">
        <w:t>multicast</w:t>
      </w:r>
      <w:proofErr w:type="spellEnd"/>
      <w:r w:rsidRPr="00315F6B">
        <w:t> reservados para grupos predefinidos de dispositivos. Estes são dois grupos </w:t>
      </w:r>
      <w:proofErr w:type="spellStart"/>
      <w:r w:rsidRPr="00315F6B">
        <w:t>multicast</w:t>
      </w:r>
      <w:proofErr w:type="spellEnd"/>
      <w:r w:rsidRPr="00315F6B">
        <w:t> atribuídos a IPv6 comuns:</w:t>
      </w:r>
    </w:p>
    <w:p w:rsidR="00F149CE" w:rsidRPr="00315F6B" w:rsidRDefault="00F149CE" w:rsidP="00315F6B">
      <w:pPr>
        <w:pStyle w:val="PargrafodaLista"/>
        <w:numPr>
          <w:ilvl w:val="0"/>
          <w:numId w:val="20"/>
        </w:numPr>
      </w:pPr>
      <w:proofErr w:type="gramStart"/>
      <w:r w:rsidRPr="00315F6B">
        <w:t>ff</w:t>
      </w:r>
      <w:proofErr w:type="gramEnd"/>
      <w:r w:rsidRPr="00315F6B">
        <w:t>02::1 Grupo </w:t>
      </w:r>
      <w:proofErr w:type="spellStart"/>
      <w:r w:rsidRPr="00315F6B">
        <w:t>multicast</w:t>
      </w:r>
      <w:proofErr w:type="spellEnd"/>
      <w:r w:rsidRPr="00315F6B">
        <w:t> de todos os nós: este é um grupo </w:t>
      </w:r>
      <w:proofErr w:type="spellStart"/>
      <w:r w:rsidRPr="00315F6B">
        <w:t>multicast</w:t>
      </w:r>
      <w:proofErr w:type="spellEnd"/>
      <w:r w:rsidRPr="00315F6B">
        <w:t> ao qual todos os dispositivos habilitados para IPv6 ingressam. Um pacote enviado a este grupo é recebido e processado por todas as interfaces IPv6 no link ou rede. Isso tem o mesmo efeito que um endereço de broadcast no IPv4.</w:t>
      </w:r>
    </w:p>
    <w:p w:rsidR="00F149CE" w:rsidRPr="00315F6B" w:rsidRDefault="00F149CE" w:rsidP="00315F6B">
      <w:pPr>
        <w:pStyle w:val="PargrafodaLista"/>
        <w:numPr>
          <w:ilvl w:val="0"/>
          <w:numId w:val="20"/>
        </w:numPr>
      </w:pPr>
      <w:proofErr w:type="gramStart"/>
      <w:r w:rsidRPr="00315F6B">
        <w:t>ff</w:t>
      </w:r>
      <w:proofErr w:type="gramEnd"/>
      <w:r w:rsidRPr="00315F6B">
        <w:t>02 :: 2 Grupo </w:t>
      </w:r>
      <w:proofErr w:type="spellStart"/>
      <w:r w:rsidRPr="00315F6B">
        <w:t>multicast</w:t>
      </w:r>
      <w:proofErr w:type="spellEnd"/>
      <w:r w:rsidRPr="00315F6B">
        <w:t> de todos os roteadores: este é um grupo </w:t>
      </w:r>
      <w:proofErr w:type="spellStart"/>
      <w:r w:rsidRPr="00315F6B">
        <w:t>multicast</w:t>
      </w:r>
      <w:proofErr w:type="spellEnd"/>
      <w:r w:rsidRPr="00315F6B">
        <w:t> ao qual todos os roteadores IPv6 ingressam. Um roteador torna-se membro deste grupo quando é habilitado como um roteador IPv6 com o comando de configuração global ipv6 </w:t>
      </w:r>
      <w:proofErr w:type="spellStart"/>
      <w:r w:rsidRPr="00315F6B">
        <w:t>unicast-routing</w:t>
      </w:r>
      <w:proofErr w:type="spellEnd"/>
      <w:r w:rsidRPr="00315F6B">
        <w:t>. Um pacote enviado a este grupo é recebido e processado por todos os roteadores IPv6 no link ou rede.</w:t>
      </w:r>
    </w:p>
    <w:p w:rsidR="00F149CE" w:rsidRPr="00315F6B" w:rsidRDefault="00F149CE" w:rsidP="00315F6B">
      <w:r w:rsidRPr="00315F6B">
        <w:t> </w:t>
      </w:r>
    </w:p>
    <w:p w:rsidR="00F149CE" w:rsidRPr="00315F6B" w:rsidRDefault="00F149CE" w:rsidP="00315F6B">
      <w:pPr>
        <w:rPr>
          <w:i/>
          <w:sz w:val="28"/>
        </w:rPr>
      </w:pPr>
      <w:r w:rsidRPr="00315F6B">
        <w:rPr>
          <w:i/>
          <w:sz w:val="28"/>
        </w:rPr>
        <w:t>Endereços </w:t>
      </w:r>
      <w:proofErr w:type="spellStart"/>
      <w:r w:rsidRPr="00315F6B">
        <w:rPr>
          <w:i/>
          <w:sz w:val="28"/>
        </w:rPr>
        <w:t>Multicast</w:t>
      </w:r>
      <w:proofErr w:type="spellEnd"/>
      <w:r w:rsidRPr="00315F6B">
        <w:rPr>
          <w:i/>
          <w:sz w:val="28"/>
        </w:rPr>
        <w:t> Solicitados</w:t>
      </w:r>
      <w:r w:rsidR="00315F6B" w:rsidRPr="00315F6B">
        <w:rPr>
          <w:i/>
          <w:sz w:val="28"/>
        </w:rPr>
        <w:t>:</w:t>
      </w:r>
    </w:p>
    <w:p w:rsidR="00F149CE" w:rsidRPr="00315F6B" w:rsidRDefault="00F149CE" w:rsidP="00315F6B">
      <w:r w:rsidRPr="00315F6B">
        <w:t>Um endereço </w:t>
      </w:r>
      <w:proofErr w:type="spellStart"/>
      <w:r w:rsidRPr="00315F6B">
        <w:t>multicast</w:t>
      </w:r>
      <w:proofErr w:type="spellEnd"/>
      <w:r w:rsidRPr="00315F6B">
        <w:t> de nó solicitado é semelhante ao endereço </w:t>
      </w:r>
      <w:proofErr w:type="spellStart"/>
      <w:r w:rsidRPr="00315F6B">
        <w:t>multicast</w:t>
      </w:r>
      <w:proofErr w:type="spellEnd"/>
      <w:r w:rsidRPr="00315F6B">
        <w:t> de todos os nós. A vantagem de um endereço </w:t>
      </w:r>
      <w:proofErr w:type="spellStart"/>
      <w:r w:rsidRPr="00315F6B">
        <w:t>multicast</w:t>
      </w:r>
      <w:proofErr w:type="spellEnd"/>
      <w:r w:rsidRPr="00315F6B">
        <w:t> de nó solicitado é que é mapeado para um endereço </w:t>
      </w:r>
      <w:proofErr w:type="spellStart"/>
      <w:r w:rsidRPr="00315F6B">
        <w:t>multicast</w:t>
      </w:r>
      <w:proofErr w:type="spellEnd"/>
      <w:r w:rsidRPr="00315F6B">
        <w:t> Ethernet especial. Isso permite que a placa de rede Ethernet filtre o quadro ao examinar o endereço MAC de destino sem enviá-lo ao processo IPv6 para ver se o dispositivo é o destino pretendido do pacote IPv6.</w:t>
      </w:r>
    </w:p>
    <w:p w:rsidR="00F149CE" w:rsidRPr="00315F6B" w:rsidRDefault="00F149CE" w:rsidP="00315F6B">
      <w:r w:rsidRPr="00315F6B">
        <w:t> </w:t>
      </w:r>
    </w:p>
    <w:p w:rsidR="00F149CE" w:rsidRPr="00315F6B" w:rsidRDefault="00F149CE" w:rsidP="00315F6B">
      <w:pPr>
        <w:rPr>
          <w:i/>
          <w:sz w:val="28"/>
        </w:rPr>
      </w:pPr>
      <w:proofErr w:type="spellStart"/>
      <w:r w:rsidRPr="00315F6B">
        <w:rPr>
          <w:i/>
          <w:sz w:val="28"/>
        </w:rPr>
        <w:t>Subredes</w:t>
      </w:r>
      <w:proofErr w:type="spellEnd"/>
      <w:r w:rsidRPr="00315F6B">
        <w:rPr>
          <w:i/>
          <w:sz w:val="28"/>
        </w:rPr>
        <w:t xml:space="preserve"> usando </w:t>
      </w:r>
      <w:proofErr w:type="spellStart"/>
      <w:r w:rsidRPr="00315F6B">
        <w:rPr>
          <w:i/>
          <w:sz w:val="28"/>
        </w:rPr>
        <w:t>Subnet</w:t>
      </w:r>
      <w:proofErr w:type="spellEnd"/>
      <w:r w:rsidRPr="00315F6B">
        <w:rPr>
          <w:i/>
          <w:sz w:val="28"/>
        </w:rPr>
        <w:t xml:space="preserve"> ID</w:t>
      </w:r>
      <w:r w:rsidR="00315F6B" w:rsidRPr="00315F6B">
        <w:rPr>
          <w:i/>
          <w:sz w:val="28"/>
        </w:rPr>
        <w:t>:</w:t>
      </w:r>
    </w:p>
    <w:p w:rsidR="00F149CE" w:rsidRPr="00315F6B" w:rsidRDefault="00F149CE" w:rsidP="00315F6B">
      <w:r w:rsidRPr="00315F6B">
        <w:t xml:space="preserve">A vantagem de um endereço de 128 bits é que pode suportar mais do que o suficiente de </w:t>
      </w:r>
      <w:proofErr w:type="spellStart"/>
      <w:r w:rsidRPr="00315F6B">
        <w:t>sub-redes</w:t>
      </w:r>
      <w:proofErr w:type="spellEnd"/>
      <w:r w:rsidRPr="00315F6B">
        <w:t xml:space="preserve"> e hosts por </w:t>
      </w:r>
      <w:proofErr w:type="spellStart"/>
      <w:r w:rsidRPr="00315F6B">
        <w:t>sub-rede</w:t>
      </w:r>
      <w:proofErr w:type="spellEnd"/>
      <w:r w:rsidRPr="00315F6B">
        <w:t xml:space="preserve">, para cada rede. Por exemplo, se o prefixo de roteamento global for /48 e usando 64 bits típicos para o ID da interface, isso cria um ID de </w:t>
      </w:r>
      <w:proofErr w:type="spellStart"/>
      <w:r w:rsidRPr="00315F6B">
        <w:t>sub-rede</w:t>
      </w:r>
      <w:proofErr w:type="spellEnd"/>
      <w:r w:rsidRPr="00315F6B">
        <w:t xml:space="preserve"> de 16 bits:</w:t>
      </w:r>
    </w:p>
    <w:p w:rsidR="00F149CE" w:rsidRPr="00315F6B" w:rsidRDefault="00F149CE" w:rsidP="00315F6B">
      <w:pPr>
        <w:pStyle w:val="PargrafodaLista"/>
        <w:numPr>
          <w:ilvl w:val="0"/>
          <w:numId w:val="21"/>
        </w:numPr>
      </w:pPr>
      <w:r w:rsidRPr="00315F6B">
        <w:t xml:space="preserve">ID de </w:t>
      </w:r>
      <w:proofErr w:type="spellStart"/>
      <w:r w:rsidRPr="00315F6B">
        <w:t>sub-rede</w:t>
      </w:r>
      <w:proofErr w:type="spellEnd"/>
      <w:r w:rsidRPr="00315F6B">
        <w:t xml:space="preserve"> de 16 bits - Cria até 65.536 </w:t>
      </w:r>
      <w:proofErr w:type="spellStart"/>
      <w:r w:rsidRPr="00315F6B">
        <w:t>sub-redes</w:t>
      </w:r>
      <w:proofErr w:type="spellEnd"/>
      <w:r w:rsidRPr="00315F6B">
        <w:t>.</w:t>
      </w:r>
    </w:p>
    <w:p w:rsidR="00F149CE" w:rsidRPr="00315F6B" w:rsidRDefault="00F149CE" w:rsidP="00315F6B">
      <w:pPr>
        <w:pStyle w:val="PargrafodaLista"/>
        <w:numPr>
          <w:ilvl w:val="0"/>
          <w:numId w:val="21"/>
        </w:numPr>
      </w:pPr>
      <w:r w:rsidRPr="00315F6B">
        <w:t xml:space="preserve">ID de interface de 64 bits - suporta até 18 quintilhões de endereços IPv6 de host por </w:t>
      </w:r>
      <w:proofErr w:type="spellStart"/>
      <w:r w:rsidRPr="00315F6B">
        <w:t>sub-rede</w:t>
      </w:r>
      <w:proofErr w:type="spellEnd"/>
      <w:r w:rsidRPr="00315F6B">
        <w:t xml:space="preserve"> (ou seja, 18.000.000.000.000.000.000).</w:t>
      </w:r>
    </w:p>
    <w:p w:rsidR="00F149CE" w:rsidRPr="00F149CE" w:rsidRDefault="00F149CE" w:rsidP="00315F6B">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lastRenderedPageBreak/>
        <w:drawing>
          <wp:inline distT="0" distB="0" distL="0" distR="0">
            <wp:extent cx="4552950" cy="504825"/>
            <wp:effectExtent l="0" t="0" r="0" b="9525"/>
            <wp:docPr id="6" name="Imagem 6" descr="https://paperx-dex-assets.s3.sa-east-1.amazonaws.com/images/1626797450729-Vn1EpN0O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perx-dex-assets.s3.sa-east-1.amazonaws.com/images/1626797450729-Vn1EpN0Oa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504825"/>
                    </a:xfrm>
                    <a:prstGeom prst="rect">
                      <a:avLst/>
                    </a:prstGeom>
                    <a:noFill/>
                    <a:ln>
                      <a:noFill/>
                    </a:ln>
                  </pic:spPr>
                </pic:pic>
              </a:graphicData>
            </a:graphic>
          </wp:inline>
        </w:drawing>
      </w:r>
    </w:p>
    <w:p w:rsidR="00F149CE" w:rsidRDefault="00F149CE" w:rsidP="00315F6B">
      <w:pPr>
        <w:pStyle w:val="SemEspaamento"/>
      </w:pPr>
      <w:r w:rsidRPr="00F149CE">
        <w:rPr>
          <w:rFonts w:ascii="InterUI" w:eastAsia="Times New Roman" w:hAnsi="InterUI" w:cs="Times New Roman"/>
          <w:color w:val="666666"/>
          <w:spacing w:val="-12"/>
          <w:sz w:val="30"/>
          <w:szCs w:val="30"/>
          <w:lang w:eastAsia="pt-BR"/>
        </w:rPr>
        <w:t>​</w:t>
      </w:r>
      <w:r w:rsidRPr="00315F6B">
        <w:t xml:space="preserve">Por exemplo, uma organização recebe o prefixo de roteamento global 2001: db8: </w:t>
      </w:r>
      <w:proofErr w:type="spellStart"/>
      <w:proofErr w:type="gramStart"/>
      <w:r w:rsidRPr="00315F6B">
        <w:t>acad</w:t>
      </w:r>
      <w:proofErr w:type="spellEnd"/>
      <w:r w:rsidRPr="00315F6B">
        <w:t xml:space="preserve"> :</w:t>
      </w:r>
      <w:proofErr w:type="gramEnd"/>
      <w:r w:rsidRPr="00315F6B">
        <w:t xml:space="preserve">:/48 com um ID de </w:t>
      </w:r>
      <w:proofErr w:type="spellStart"/>
      <w:r w:rsidRPr="00315F6B">
        <w:t>sub-rede</w:t>
      </w:r>
      <w:proofErr w:type="spellEnd"/>
      <w:r w:rsidRPr="00315F6B">
        <w:t xml:space="preserve"> de 16 bits. Isso permite à organização cria</w:t>
      </w:r>
      <w:r w:rsidR="00315F6B">
        <w:t xml:space="preserve">r 65.536 </w:t>
      </w:r>
      <w:proofErr w:type="spellStart"/>
      <w:r w:rsidR="00315F6B">
        <w:t>subredes</w:t>
      </w:r>
      <w:proofErr w:type="spellEnd"/>
      <w:r w:rsidR="00315F6B">
        <w:t xml:space="preserve"> /64</w:t>
      </w:r>
      <w:r w:rsidRPr="00315F6B">
        <w:t xml:space="preserve">. O prefixo de roteamento global fica o mesmo para todas as </w:t>
      </w:r>
      <w:proofErr w:type="spellStart"/>
      <w:r w:rsidRPr="00315F6B">
        <w:t>sub-redes</w:t>
      </w:r>
      <w:proofErr w:type="spellEnd"/>
      <w:r w:rsidRPr="00315F6B">
        <w:t xml:space="preserve">; apenas o </w:t>
      </w:r>
      <w:proofErr w:type="spellStart"/>
      <w:r w:rsidRPr="00315F6B">
        <w:t>hexteto</w:t>
      </w:r>
      <w:proofErr w:type="spellEnd"/>
      <w:r w:rsidRPr="00315F6B">
        <w:t xml:space="preserve"> de ID da </w:t>
      </w:r>
      <w:proofErr w:type="spellStart"/>
      <w:r w:rsidRPr="00315F6B">
        <w:t>sub-rede</w:t>
      </w:r>
      <w:proofErr w:type="spellEnd"/>
      <w:r w:rsidRPr="00315F6B">
        <w:t xml:space="preserve"> é incrementado em hexadecimal para cada </w:t>
      </w:r>
      <w:proofErr w:type="spellStart"/>
      <w:r w:rsidRPr="00315F6B">
        <w:t>sub-</w:t>
      </w:r>
      <w:proofErr w:type="gramStart"/>
      <w:r w:rsidRPr="00315F6B">
        <w:t>rede</w:t>
      </w:r>
      <w:proofErr w:type="spellEnd"/>
      <w:r w:rsidRPr="00315F6B">
        <w:t>.​</w:t>
      </w:r>
      <w:proofErr w:type="gramEnd"/>
    </w:p>
    <w:p w:rsidR="00315F6B" w:rsidRPr="00315F6B" w:rsidRDefault="00315F6B" w:rsidP="00315F6B">
      <w:pPr>
        <w:pStyle w:val="SemEspaamento"/>
      </w:pPr>
    </w:p>
    <w:p w:rsidR="00F149CE" w:rsidRDefault="00F149CE" w:rsidP="00315F6B">
      <w:pPr>
        <w:spacing w:before="0" w:after="0"/>
        <w:jc w:val="center"/>
        <w:rPr>
          <w:rFonts w:ascii="Times New Roman" w:eastAsia="Times New Roman" w:hAnsi="Times New Roman" w:cs="Times New Roman"/>
          <w:color w:val="auto"/>
          <w:szCs w:val="24"/>
          <w:lang w:eastAsia="pt-BR"/>
        </w:rPr>
      </w:pPr>
      <w:r w:rsidRPr="00F149CE">
        <w:rPr>
          <w:rFonts w:ascii="Times New Roman" w:eastAsia="Times New Roman" w:hAnsi="Times New Roman" w:cs="Times New Roman"/>
          <w:noProof/>
          <w:color w:val="auto"/>
          <w:szCs w:val="24"/>
          <w:lang w:eastAsia="pt-BR"/>
        </w:rPr>
        <w:drawing>
          <wp:inline distT="0" distB="0" distL="0" distR="0">
            <wp:extent cx="3971925" cy="1714500"/>
            <wp:effectExtent l="0" t="0" r="9525" b="0"/>
            <wp:docPr id="5" name="Imagem 5" descr="https://paperx-dex-assets.s3.sa-east-1.amazonaws.com/images/1626797696050-ZjNwhQaP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perx-dex-assets.s3.sa-east-1.amazonaws.com/images/1626797696050-ZjNwhQaPn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1714500"/>
                    </a:xfrm>
                    <a:prstGeom prst="rect">
                      <a:avLst/>
                    </a:prstGeom>
                    <a:noFill/>
                    <a:ln>
                      <a:noFill/>
                    </a:ln>
                  </pic:spPr>
                </pic:pic>
              </a:graphicData>
            </a:graphic>
          </wp:inline>
        </w:drawing>
      </w:r>
    </w:p>
    <w:p w:rsidR="00315F6B" w:rsidRDefault="00315F6B" w:rsidP="00315F6B">
      <w:pPr>
        <w:spacing w:before="0" w:after="0"/>
        <w:jc w:val="center"/>
        <w:rPr>
          <w:rFonts w:ascii="Times New Roman" w:eastAsia="Times New Roman" w:hAnsi="Times New Roman" w:cs="Times New Roman"/>
          <w:color w:val="auto"/>
          <w:szCs w:val="24"/>
          <w:lang w:eastAsia="pt-BR"/>
        </w:rPr>
      </w:pPr>
    </w:p>
    <w:p w:rsidR="00315F6B" w:rsidRPr="00F149CE" w:rsidRDefault="00315F6B" w:rsidP="00315F6B">
      <w:pPr>
        <w:spacing w:before="0" w:after="0"/>
        <w:jc w:val="center"/>
        <w:rPr>
          <w:rFonts w:ascii="Times New Roman" w:eastAsia="Times New Roman" w:hAnsi="Times New Roman" w:cs="Times New Roman"/>
          <w:color w:val="auto"/>
          <w:szCs w:val="24"/>
          <w:lang w:eastAsia="pt-BR"/>
        </w:rPr>
      </w:pPr>
    </w:p>
    <w:p w:rsidR="00F149CE" w:rsidRPr="00F149CE" w:rsidRDefault="00F149CE" w:rsidP="00315F6B">
      <w:pPr>
        <w:shd w:val="clear" w:color="auto" w:fill="FFFFFF"/>
        <w:spacing w:before="0" w:after="0" w:line="480" w:lineRule="atLeast"/>
        <w:rPr>
          <w:rFonts w:ascii="InterUI" w:eastAsia="Times New Roman" w:hAnsi="InterUI" w:cs="Times New Roman"/>
          <w:i/>
          <w:color w:val="666666"/>
          <w:spacing w:val="-12"/>
          <w:sz w:val="28"/>
          <w:szCs w:val="30"/>
          <w:lang w:eastAsia="pt-BR"/>
        </w:rPr>
      </w:pPr>
      <w:r w:rsidRPr="00F149CE">
        <w:rPr>
          <w:rFonts w:ascii="InterUI" w:eastAsia="Times New Roman" w:hAnsi="InterUI" w:cs="Times New Roman"/>
          <w:i/>
          <w:color w:val="000000"/>
          <w:spacing w:val="-12"/>
          <w:sz w:val="28"/>
          <w:szCs w:val="30"/>
          <w:lang w:eastAsia="pt-BR"/>
        </w:rPr>
        <w:t xml:space="preserve">Alocação de </w:t>
      </w:r>
      <w:proofErr w:type="spellStart"/>
      <w:r w:rsidRPr="00F149CE">
        <w:rPr>
          <w:rFonts w:ascii="InterUI" w:eastAsia="Times New Roman" w:hAnsi="InterUI" w:cs="Times New Roman"/>
          <w:i/>
          <w:color w:val="000000"/>
          <w:spacing w:val="-12"/>
          <w:sz w:val="28"/>
          <w:szCs w:val="30"/>
          <w:lang w:eastAsia="pt-BR"/>
        </w:rPr>
        <w:t>Sub-redes</w:t>
      </w:r>
      <w:proofErr w:type="spellEnd"/>
      <w:r w:rsidR="00315F6B">
        <w:rPr>
          <w:rFonts w:ascii="InterUI" w:eastAsia="Times New Roman" w:hAnsi="InterUI" w:cs="Times New Roman"/>
          <w:i/>
          <w:color w:val="000000"/>
          <w:spacing w:val="-12"/>
          <w:sz w:val="28"/>
          <w:szCs w:val="30"/>
          <w:lang w:eastAsia="pt-BR"/>
        </w:rPr>
        <w:t xml:space="preserve">: </w:t>
      </w:r>
    </w:p>
    <w:p w:rsidR="00F149CE" w:rsidRPr="00315F6B" w:rsidRDefault="00F149CE" w:rsidP="00315F6B">
      <w:r w:rsidRPr="00315F6B">
        <w:t xml:space="preserve">Com 65.536 </w:t>
      </w:r>
      <w:proofErr w:type="spellStart"/>
      <w:r w:rsidRPr="00315F6B">
        <w:t>sub-redes</w:t>
      </w:r>
      <w:proofErr w:type="spellEnd"/>
      <w:r w:rsidRPr="00315F6B">
        <w:t xml:space="preserve"> para escolher, o trabalho do administrador da rede é projetar um esquema lógico para o endereçamento d</w:t>
      </w:r>
      <w:r w:rsidR="00315F6B">
        <w:t xml:space="preserve">a rede. A topologia do exemplo, </w:t>
      </w:r>
      <w:bookmarkStart w:id="0" w:name="_GoBack"/>
      <w:bookmarkEnd w:id="0"/>
      <w:r w:rsidRPr="00315F6B">
        <w:t xml:space="preserve">requer cinco </w:t>
      </w:r>
      <w:proofErr w:type="spellStart"/>
      <w:r w:rsidRPr="00315F6B">
        <w:t>sub-redes</w:t>
      </w:r>
      <w:proofErr w:type="spellEnd"/>
      <w:r w:rsidRPr="00315F6B">
        <w:t xml:space="preserve">, uma para cada LAN e para o link serial entre R1 e R2.  Diferente do IPv4, no IPv6 a </w:t>
      </w:r>
      <w:proofErr w:type="spellStart"/>
      <w:r w:rsidRPr="00315F6B">
        <w:t>sub-rede</w:t>
      </w:r>
      <w:proofErr w:type="spellEnd"/>
      <w:r w:rsidRPr="00315F6B">
        <w:t xml:space="preserve"> do link serial tem o mesmo comprimento de prefixo que as </w:t>
      </w:r>
      <w:proofErr w:type="spellStart"/>
      <w:r w:rsidRPr="00315F6B">
        <w:t>LANs</w:t>
      </w:r>
      <w:proofErr w:type="spellEnd"/>
      <w:r w:rsidRPr="00315F6B">
        <w:t xml:space="preserve">.  Embora isso possa parecer um “desperdício” de endereços, a conservação de endereços não é uma preocupação ao usar o IPv6. Cinco </w:t>
      </w:r>
      <w:proofErr w:type="spellStart"/>
      <w:r w:rsidRPr="00315F6B">
        <w:t>sub-redes</w:t>
      </w:r>
      <w:proofErr w:type="spellEnd"/>
      <w:r w:rsidRPr="00315F6B">
        <w:t xml:space="preserve"> IPv6 são alocadas, com o campo ID de </w:t>
      </w:r>
      <w:proofErr w:type="spellStart"/>
      <w:r w:rsidRPr="00315F6B">
        <w:t>sub-rede</w:t>
      </w:r>
      <w:proofErr w:type="spellEnd"/>
      <w:r w:rsidRPr="00315F6B">
        <w:t xml:space="preserve"> 0001 a 0005 no exemplo. Cada </w:t>
      </w:r>
      <w:proofErr w:type="spellStart"/>
      <w:r w:rsidRPr="00315F6B">
        <w:t>sub-rede</w:t>
      </w:r>
      <w:proofErr w:type="spellEnd"/>
      <w:r w:rsidRPr="00315F6B">
        <w:t xml:space="preserve"> /64 fornece muito mais endereços que o necessário.</w:t>
      </w:r>
    </w:p>
    <w:p w:rsidR="00F149CE" w:rsidRDefault="00F149CE" w:rsidP="00315F6B">
      <w:pPr>
        <w:jc w:val="center"/>
      </w:pPr>
      <w:r w:rsidRPr="00F149CE">
        <w:rPr>
          <w:rFonts w:ascii="Times New Roman" w:eastAsia="Times New Roman" w:hAnsi="Times New Roman" w:cs="Times New Roman"/>
          <w:noProof/>
          <w:color w:val="auto"/>
          <w:szCs w:val="24"/>
          <w:lang w:eastAsia="pt-BR"/>
        </w:rPr>
        <w:drawing>
          <wp:inline distT="0" distB="0" distL="0" distR="0">
            <wp:extent cx="2771775" cy="2105025"/>
            <wp:effectExtent l="0" t="0" r="9525" b="9525"/>
            <wp:docPr id="4" name="Imagem 4" descr="https://paperx-dex-assets.s3.sa-east-1.amazonaws.com/images/1626797730344-MzgyLUen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perx-dex-assets.s3.sa-east-1.amazonaws.com/images/1626797730344-MzgyLUent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2105025"/>
                    </a:xfrm>
                    <a:prstGeom prst="rect">
                      <a:avLst/>
                    </a:prstGeom>
                    <a:noFill/>
                    <a:ln>
                      <a:noFill/>
                    </a:ln>
                  </pic:spPr>
                </pic:pic>
              </a:graphicData>
            </a:graphic>
          </wp:inline>
        </w:drawing>
      </w:r>
    </w:p>
    <w:sectPr w:rsidR="00F149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05E93"/>
    <w:multiLevelType w:val="hybridMultilevel"/>
    <w:tmpl w:val="D6B0D4CE"/>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9C6FC5"/>
    <w:multiLevelType w:val="multilevel"/>
    <w:tmpl w:val="56A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82B45"/>
    <w:multiLevelType w:val="multilevel"/>
    <w:tmpl w:val="711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63CDA"/>
    <w:multiLevelType w:val="multilevel"/>
    <w:tmpl w:val="942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B7398"/>
    <w:multiLevelType w:val="multilevel"/>
    <w:tmpl w:val="A104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134F5"/>
    <w:multiLevelType w:val="multilevel"/>
    <w:tmpl w:val="BDF8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0083A"/>
    <w:multiLevelType w:val="multilevel"/>
    <w:tmpl w:val="946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E1B7C"/>
    <w:multiLevelType w:val="hybridMultilevel"/>
    <w:tmpl w:val="D8E8FFA4"/>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E9D430D"/>
    <w:multiLevelType w:val="hybridMultilevel"/>
    <w:tmpl w:val="03286A06"/>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09967A7"/>
    <w:multiLevelType w:val="hybridMultilevel"/>
    <w:tmpl w:val="9D2C089C"/>
    <w:lvl w:ilvl="0" w:tplc="21EEEF24">
      <w:numFmt w:val="bullet"/>
      <w:lvlText w:val=""/>
      <w:lvlJc w:val="left"/>
      <w:pPr>
        <w:ind w:left="720" w:hanging="360"/>
      </w:pPr>
      <w:rPr>
        <w:rFonts w:ascii="Symbol" w:eastAsiaTheme="minorHAnsi" w:hAnsi="Symbol" w:cstheme="minorBidi"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8F329C"/>
    <w:multiLevelType w:val="hybridMultilevel"/>
    <w:tmpl w:val="0770C09C"/>
    <w:lvl w:ilvl="0" w:tplc="8C08B100">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600FB0"/>
    <w:multiLevelType w:val="hybridMultilevel"/>
    <w:tmpl w:val="294EDF78"/>
    <w:lvl w:ilvl="0" w:tplc="21EEEF24">
      <w:numFmt w:val="bullet"/>
      <w:lvlText w:val=""/>
      <w:lvlJc w:val="left"/>
      <w:pPr>
        <w:ind w:left="720" w:hanging="360"/>
      </w:pPr>
      <w:rPr>
        <w:rFonts w:ascii="Symbol" w:eastAsiaTheme="minorHAnsi" w:hAnsi="Symbol" w:cstheme="minorBidi"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6C3624F"/>
    <w:multiLevelType w:val="hybridMultilevel"/>
    <w:tmpl w:val="8FCE4132"/>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AB3677E"/>
    <w:multiLevelType w:val="hybridMultilevel"/>
    <w:tmpl w:val="17BCED5C"/>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BB098A"/>
    <w:multiLevelType w:val="hybridMultilevel"/>
    <w:tmpl w:val="5D643804"/>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5665D1"/>
    <w:multiLevelType w:val="hybridMultilevel"/>
    <w:tmpl w:val="C32630BA"/>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581857"/>
    <w:multiLevelType w:val="hybridMultilevel"/>
    <w:tmpl w:val="D8F82FC6"/>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A52201D"/>
    <w:multiLevelType w:val="multilevel"/>
    <w:tmpl w:val="734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A129D"/>
    <w:multiLevelType w:val="multilevel"/>
    <w:tmpl w:val="94D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B63B8"/>
    <w:multiLevelType w:val="multilevel"/>
    <w:tmpl w:val="A62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00FB0"/>
    <w:multiLevelType w:val="hybridMultilevel"/>
    <w:tmpl w:val="AC7EDD74"/>
    <w:lvl w:ilvl="0" w:tplc="21EEEF2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6"/>
  </w:num>
  <w:num w:numId="4">
    <w:abstractNumId w:val="4"/>
  </w:num>
  <w:num w:numId="5">
    <w:abstractNumId w:val="2"/>
  </w:num>
  <w:num w:numId="6">
    <w:abstractNumId w:val="18"/>
  </w:num>
  <w:num w:numId="7">
    <w:abstractNumId w:val="19"/>
  </w:num>
  <w:num w:numId="8">
    <w:abstractNumId w:val="5"/>
  </w:num>
  <w:num w:numId="9">
    <w:abstractNumId w:val="3"/>
  </w:num>
  <w:num w:numId="10">
    <w:abstractNumId w:val="10"/>
  </w:num>
  <w:num w:numId="11">
    <w:abstractNumId w:val="7"/>
  </w:num>
  <w:num w:numId="12">
    <w:abstractNumId w:val="11"/>
  </w:num>
  <w:num w:numId="13">
    <w:abstractNumId w:val="13"/>
  </w:num>
  <w:num w:numId="14">
    <w:abstractNumId w:val="20"/>
  </w:num>
  <w:num w:numId="15">
    <w:abstractNumId w:val="0"/>
  </w:num>
  <w:num w:numId="16">
    <w:abstractNumId w:val="15"/>
  </w:num>
  <w:num w:numId="17">
    <w:abstractNumId w:val="14"/>
  </w:num>
  <w:num w:numId="18">
    <w:abstractNumId w:val="12"/>
  </w:num>
  <w:num w:numId="19">
    <w:abstractNumId w:val="9"/>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6F"/>
    <w:rsid w:val="000C7AFA"/>
    <w:rsid w:val="0014116F"/>
    <w:rsid w:val="00315F6B"/>
    <w:rsid w:val="006920B5"/>
    <w:rsid w:val="00883F89"/>
    <w:rsid w:val="00A44D17"/>
    <w:rsid w:val="00F149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3C8E"/>
  <w15:chartTrackingRefBased/>
  <w15:docId w15:val="{6480B1FC-85B1-4FE0-AEE2-79A84B6A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F149CE"/>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149C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149CE"/>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F149CE"/>
    <w:rPr>
      <w:b/>
      <w:bCs/>
    </w:rPr>
  </w:style>
  <w:style w:type="character" w:styleId="nfase">
    <w:name w:val="Emphasis"/>
    <w:basedOn w:val="Fontepargpadro"/>
    <w:uiPriority w:val="20"/>
    <w:qFormat/>
    <w:rsid w:val="00F149CE"/>
    <w:rPr>
      <w:i/>
      <w:iCs/>
    </w:rPr>
  </w:style>
  <w:style w:type="paragraph" w:styleId="PargrafodaLista">
    <w:name w:val="List Paragraph"/>
    <w:basedOn w:val="Normal"/>
    <w:uiPriority w:val="34"/>
    <w:qFormat/>
    <w:rsid w:val="00F149CE"/>
    <w:pPr>
      <w:ind w:left="720"/>
      <w:contextualSpacing/>
    </w:pPr>
  </w:style>
  <w:style w:type="paragraph" w:styleId="SemEspaamento">
    <w:name w:val="No Spacing"/>
    <w:uiPriority w:val="1"/>
    <w:qFormat/>
    <w:rsid w:val="00F149CE"/>
    <w:pPr>
      <w:spacing w:after="0" w:line="240" w:lineRule="auto"/>
      <w:jc w:val="both"/>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24561">
      <w:bodyDiv w:val="1"/>
      <w:marLeft w:val="0"/>
      <w:marRight w:val="0"/>
      <w:marTop w:val="0"/>
      <w:marBottom w:val="0"/>
      <w:divBdr>
        <w:top w:val="none" w:sz="0" w:space="0" w:color="auto"/>
        <w:left w:val="none" w:sz="0" w:space="0" w:color="auto"/>
        <w:bottom w:val="none" w:sz="0" w:space="0" w:color="auto"/>
        <w:right w:val="none" w:sz="0" w:space="0" w:color="auto"/>
      </w:divBdr>
      <w:divsChild>
        <w:div w:id="2075739422">
          <w:marLeft w:val="0"/>
          <w:marRight w:val="0"/>
          <w:marTop w:val="0"/>
          <w:marBottom w:val="0"/>
          <w:divBdr>
            <w:top w:val="none" w:sz="0" w:space="0" w:color="auto"/>
            <w:left w:val="none" w:sz="0" w:space="0" w:color="auto"/>
            <w:bottom w:val="none" w:sz="0" w:space="0" w:color="auto"/>
            <w:right w:val="none" w:sz="0" w:space="0" w:color="auto"/>
          </w:divBdr>
        </w:div>
        <w:div w:id="981347709">
          <w:marLeft w:val="0"/>
          <w:marRight w:val="0"/>
          <w:marTop w:val="0"/>
          <w:marBottom w:val="0"/>
          <w:divBdr>
            <w:top w:val="none" w:sz="0" w:space="0" w:color="auto"/>
            <w:left w:val="none" w:sz="0" w:space="0" w:color="auto"/>
            <w:bottom w:val="none" w:sz="0" w:space="0" w:color="auto"/>
            <w:right w:val="none" w:sz="0" w:space="0" w:color="auto"/>
          </w:divBdr>
          <w:divsChild>
            <w:div w:id="973829543">
              <w:marLeft w:val="0"/>
              <w:marRight w:val="0"/>
              <w:marTop w:val="0"/>
              <w:marBottom w:val="480"/>
              <w:divBdr>
                <w:top w:val="none" w:sz="0" w:space="0" w:color="auto"/>
                <w:left w:val="none" w:sz="0" w:space="0" w:color="auto"/>
                <w:bottom w:val="none" w:sz="0" w:space="0" w:color="auto"/>
                <w:right w:val="none" w:sz="0" w:space="0" w:color="auto"/>
              </w:divBdr>
            </w:div>
            <w:div w:id="641270188">
              <w:marLeft w:val="0"/>
              <w:marRight w:val="0"/>
              <w:marTop w:val="0"/>
              <w:marBottom w:val="480"/>
              <w:divBdr>
                <w:top w:val="none" w:sz="0" w:space="0" w:color="auto"/>
                <w:left w:val="none" w:sz="0" w:space="0" w:color="auto"/>
                <w:bottom w:val="none" w:sz="0" w:space="0" w:color="auto"/>
                <w:right w:val="none" w:sz="0" w:space="0" w:color="auto"/>
              </w:divBdr>
            </w:div>
          </w:divsChild>
        </w:div>
        <w:div w:id="530728186">
          <w:marLeft w:val="0"/>
          <w:marRight w:val="0"/>
          <w:marTop w:val="0"/>
          <w:marBottom w:val="0"/>
          <w:divBdr>
            <w:top w:val="none" w:sz="0" w:space="0" w:color="auto"/>
            <w:left w:val="none" w:sz="0" w:space="0" w:color="auto"/>
            <w:bottom w:val="none" w:sz="0" w:space="0" w:color="auto"/>
            <w:right w:val="none" w:sz="0" w:space="0" w:color="auto"/>
          </w:divBdr>
          <w:divsChild>
            <w:div w:id="184683073">
              <w:marLeft w:val="0"/>
              <w:marRight w:val="0"/>
              <w:marTop w:val="0"/>
              <w:marBottom w:val="480"/>
              <w:divBdr>
                <w:top w:val="none" w:sz="0" w:space="0" w:color="auto"/>
                <w:left w:val="none" w:sz="0" w:space="0" w:color="auto"/>
                <w:bottom w:val="none" w:sz="0" w:space="0" w:color="auto"/>
                <w:right w:val="none" w:sz="0" w:space="0" w:color="auto"/>
              </w:divBdr>
            </w:div>
            <w:div w:id="1775779912">
              <w:marLeft w:val="0"/>
              <w:marRight w:val="0"/>
              <w:marTop w:val="0"/>
              <w:marBottom w:val="480"/>
              <w:divBdr>
                <w:top w:val="none" w:sz="0" w:space="0" w:color="auto"/>
                <w:left w:val="none" w:sz="0" w:space="0" w:color="auto"/>
                <w:bottom w:val="none" w:sz="0" w:space="0" w:color="auto"/>
                <w:right w:val="none" w:sz="0" w:space="0" w:color="auto"/>
              </w:divBdr>
            </w:div>
          </w:divsChild>
        </w:div>
        <w:div w:id="1053387896">
          <w:marLeft w:val="0"/>
          <w:marRight w:val="0"/>
          <w:marTop w:val="0"/>
          <w:marBottom w:val="0"/>
          <w:divBdr>
            <w:top w:val="none" w:sz="0" w:space="0" w:color="auto"/>
            <w:left w:val="none" w:sz="0" w:space="0" w:color="auto"/>
            <w:bottom w:val="none" w:sz="0" w:space="0" w:color="auto"/>
            <w:right w:val="none" w:sz="0" w:space="0" w:color="auto"/>
          </w:divBdr>
        </w:div>
        <w:div w:id="1708480391">
          <w:marLeft w:val="0"/>
          <w:marRight w:val="0"/>
          <w:marTop w:val="0"/>
          <w:marBottom w:val="0"/>
          <w:divBdr>
            <w:top w:val="none" w:sz="0" w:space="0" w:color="auto"/>
            <w:left w:val="none" w:sz="0" w:space="0" w:color="auto"/>
            <w:bottom w:val="none" w:sz="0" w:space="0" w:color="auto"/>
            <w:right w:val="none" w:sz="0" w:space="0" w:color="auto"/>
          </w:divBdr>
        </w:div>
        <w:div w:id="42564723">
          <w:marLeft w:val="0"/>
          <w:marRight w:val="0"/>
          <w:marTop w:val="0"/>
          <w:marBottom w:val="0"/>
          <w:divBdr>
            <w:top w:val="none" w:sz="0" w:space="0" w:color="auto"/>
            <w:left w:val="none" w:sz="0" w:space="0" w:color="auto"/>
            <w:bottom w:val="none" w:sz="0" w:space="0" w:color="auto"/>
            <w:right w:val="none" w:sz="0" w:space="0" w:color="auto"/>
          </w:divBdr>
        </w:div>
        <w:div w:id="2137941947">
          <w:marLeft w:val="0"/>
          <w:marRight w:val="0"/>
          <w:marTop w:val="0"/>
          <w:marBottom w:val="0"/>
          <w:divBdr>
            <w:top w:val="none" w:sz="0" w:space="0" w:color="auto"/>
            <w:left w:val="none" w:sz="0" w:space="0" w:color="auto"/>
            <w:bottom w:val="none" w:sz="0" w:space="0" w:color="auto"/>
            <w:right w:val="none" w:sz="0" w:space="0" w:color="auto"/>
          </w:divBdr>
        </w:div>
        <w:div w:id="1108816073">
          <w:marLeft w:val="0"/>
          <w:marRight w:val="0"/>
          <w:marTop w:val="0"/>
          <w:marBottom w:val="0"/>
          <w:divBdr>
            <w:top w:val="none" w:sz="0" w:space="0" w:color="auto"/>
            <w:left w:val="none" w:sz="0" w:space="0" w:color="auto"/>
            <w:bottom w:val="none" w:sz="0" w:space="0" w:color="auto"/>
            <w:right w:val="none" w:sz="0" w:space="0" w:color="auto"/>
          </w:divBdr>
        </w:div>
        <w:div w:id="760099515">
          <w:marLeft w:val="0"/>
          <w:marRight w:val="0"/>
          <w:marTop w:val="0"/>
          <w:marBottom w:val="0"/>
          <w:divBdr>
            <w:top w:val="none" w:sz="0" w:space="0" w:color="auto"/>
            <w:left w:val="none" w:sz="0" w:space="0" w:color="auto"/>
            <w:bottom w:val="none" w:sz="0" w:space="0" w:color="auto"/>
            <w:right w:val="none" w:sz="0" w:space="0" w:color="auto"/>
          </w:divBdr>
        </w:div>
        <w:div w:id="1478958266">
          <w:marLeft w:val="0"/>
          <w:marRight w:val="0"/>
          <w:marTop w:val="0"/>
          <w:marBottom w:val="0"/>
          <w:divBdr>
            <w:top w:val="none" w:sz="0" w:space="0" w:color="auto"/>
            <w:left w:val="none" w:sz="0" w:space="0" w:color="auto"/>
            <w:bottom w:val="none" w:sz="0" w:space="0" w:color="auto"/>
            <w:right w:val="none" w:sz="0" w:space="0" w:color="auto"/>
          </w:divBdr>
        </w:div>
        <w:div w:id="200899251">
          <w:marLeft w:val="0"/>
          <w:marRight w:val="0"/>
          <w:marTop w:val="0"/>
          <w:marBottom w:val="0"/>
          <w:divBdr>
            <w:top w:val="none" w:sz="0" w:space="0" w:color="auto"/>
            <w:left w:val="none" w:sz="0" w:space="0" w:color="auto"/>
            <w:bottom w:val="none" w:sz="0" w:space="0" w:color="auto"/>
            <w:right w:val="none" w:sz="0" w:space="0" w:color="auto"/>
          </w:divBdr>
        </w:div>
        <w:div w:id="1476870782">
          <w:marLeft w:val="0"/>
          <w:marRight w:val="0"/>
          <w:marTop w:val="0"/>
          <w:marBottom w:val="0"/>
          <w:divBdr>
            <w:top w:val="none" w:sz="0" w:space="0" w:color="auto"/>
            <w:left w:val="none" w:sz="0" w:space="0" w:color="auto"/>
            <w:bottom w:val="none" w:sz="0" w:space="0" w:color="auto"/>
            <w:right w:val="none" w:sz="0" w:space="0" w:color="auto"/>
          </w:divBdr>
        </w:div>
        <w:div w:id="1444570806">
          <w:marLeft w:val="0"/>
          <w:marRight w:val="0"/>
          <w:marTop w:val="0"/>
          <w:marBottom w:val="0"/>
          <w:divBdr>
            <w:top w:val="none" w:sz="0" w:space="0" w:color="auto"/>
            <w:left w:val="none" w:sz="0" w:space="0" w:color="auto"/>
            <w:bottom w:val="none" w:sz="0" w:space="0" w:color="auto"/>
            <w:right w:val="none" w:sz="0" w:space="0" w:color="auto"/>
          </w:divBdr>
        </w:div>
        <w:div w:id="2107652912">
          <w:marLeft w:val="0"/>
          <w:marRight w:val="0"/>
          <w:marTop w:val="0"/>
          <w:marBottom w:val="0"/>
          <w:divBdr>
            <w:top w:val="none" w:sz="0" w:space="0" w:color="auto"/>
            <w:left w:val="none" w:sz="0" w:space="0" w:color="auto"/>
            <w:bottom w:val="none" w:sz="0" w:space="0" w:color="auto"/>
            <w:right w:val="none" w:sz="0" w:space="0" w:color="auto"/>
          </w:divBdr>
        </w:div>
        <w:div w:id="1213080069">
          <w:marLeft w:val="0"/>
          <w:marRight w:val="0"/>
          <w:marTop w:val="0"/>
          <w:marBottom w:val="0"/>
          <w:divBdr>
            <w:top w:val="none" w:sz="0" w:space="0" w:color="auto"/>
            <w:left w:val="none" w:sz="0" w:space="0" w:color="auto"/>
            <w:bottom w:val="none" w:sz="0" w:space="0" w:color="auto"/>
            <w:right w:val="none" w:sz="0" w:space="0" w:color="auto"/>
          </w:divBdr>
        </w:div>
      </w:divsChild>
    </w:div>
    <w:div w:id="887960740">
      <w:bodyDiv w:val="1"/>
      <w:marLeft w:val="0"/>
      <w:marRight w:val="0"/>
      <w:marTop w:val="0"/>
      <w:marBottom w:val="0"/>
      <w:divBdr>
        <w:top w:val="none" w:sz="0" w:space="0" w:color="auto"/>
        <w:left w:val="none" w:sz="0" w:space="0" w:color="auto"/>
        <w:bottom w:val="none" w:sz="0" w:space="0" w:color="auto"/>
        <w:right w:val="none" w:sz="0" w:space="0" w:color="auto"/>
      </w:divBdr>
    </w:div>
    <w:div w:id="1996763109">
      <w:bodyDiv w:val="1"/>
      <w:marLeft w:val="0"/>
      <w:marRight w:val="0"/>
      <w:marTop w:val="0"/>
      <w:marBottom w:val="0"/>
      <w:divBdr>
        <w:top w:val="none" w:sz="0" w:space="0" w:color="auto"/>
        <w:left w:val="none" w:sz="0" w:space="0" w:color="auto"/>
        <w:bottom w:val="none" w:sz="0" w:space="0" w:color="auto"/>
        <w:right w:val="none" w:sz="0" w:space="0" w:color="auto"/>
      </w:divBdr>
      <w:divsChild>
        <w:div w:id="1150176804">
          <w:marLeft w:val="0"/>
          <w:marRight w:val="0"/>
          <w:marTop w:val="0"/>
          <w:marBottom w:val="0"/>
          <w:divBdr>
            <w:top w:val="none" w:sz="0" w:space="0" w:color="auto"/>
            <w:left w:val="none" w:sz="0" w:space="0" w:color="auto"/>
            <w:bottom w:val="none" w:sz="0" w:space="0" w:color="auto"/>
            <w:right w:val="none" w:sz="0" w:space="0" w:color="auto"/>
          </w:divBdr>
        </w:div>
        <w:div w:id="1622615214">
          <w:marLeft w:val="0"/>
          <w:marRight w:val="0"/>
          <w:marTop w:val="0"/>
          <w:marBottom w:val="0"/>
          <w:divBdr>
            <w:top w:val="none" w:sz="0" w:space="0" w:color="auto"/>
            <w:left w:val="none" w:sz="0" w:space="0" w:color="auto"/>
            <w:bottom w:val="none" w:sz="0" w:space="0" w:color="auto"/>
            <w:right w:val="none" w:sz="0" w:space="0" w:color="auto"/>
          </w:divBdr>
        </w:div>
        <w:div w:id="89570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06468-67F0-471E-9398-E34CE087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2038</Words>
  <Characters>11011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2023-11-30T22:04:00Z</dcterms:created>
  <dcterms:modified xsi:type="dcterms:W3CDTF">2023-11-30T22:18:00Z</dcterms:modified>
</cp:coreProperties>
</file>