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1B1" w:rsidRPr="003771B1" w:rsidRDefault="003771B1" w:rsidP="003771B1">
      <w:pPr>
        <w:shd w:val="clear" w:color="auto" w:fill="FFFFFF"/>
        <w:spacing w:after="0" w:line="540" w:lineRule="atLeast"/>
        <w:jc w:val="center"/>
        <w:outlineLvl w:val="0"/>
        <w:rPr>
          <w:rFonts w:ascii="AprovaSans" w:eastAsia="Times New Roman" w:hAnsi="AprovaSans" w:cs="Times New Roman"/>
          <w:b/>
          <w:bCs/>
          <w:color w:val="111111"/>
          <w:spacing w:val="-18"/>
          <w:kern w:val="36"/>
          <w:sz w:val="56"/>
          <w:szCs w:val="56"/>
          <w:lang w:eastAsia="pt-BR"/>
        </w:rPr>
      </w:pPr>
      <w:r w:rsidRPr="003771B1">
        <w:rPr>
          <w:rFonts w:ascii="AprovaSans" w:eastAsia="Times New Roman" w:hAnsi="AprovaSans" w:cs="Times New Roman"/>
          <w:b/>
          <w:bCs/>
          <w:color w:val="111111"/>
          <w:spacing w:val="-18"/>
          <w:kern w:val="36"/>
          <w:sz w:val="56"/>
          <w:szCs w:val="56"/>
          <w:lang w:eastAsia="pt-BR"/>
        </w:rPr>
        <w:t>Modelagem do Processo</w:t>
      </w:r>
    </w:p>
    <w:p w:rsidR="00FD266E" w:rsidRDefault="00FD266E"/>
    <w:p w:rsidR="003771B1" w:rsidRDefault="003771B1"/>
    <w:p w:rsidR="003771B1" w:rsidRDefault="003771B1" w:rsidP="003771B1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Style w:val="Forte"/>
          <w:rFonts w:ascii="InterUI" w:hAnsi="InterUI"/>
          <w:color w:val="0D0D0D"/>
          <w:spacing w:val="-12"/>
          <w:sz w:val="30"/>
          <w:szCs w:val="30"/>
        </w:rPr>
        <w:t xml:space="preserve">BPMN </w:t>
      </w:r>
      <w:r>
        <w:rPr>
          <w:rStyle w:val="Forte"/>
          <w:rFonts w:ascii="InterUI" w:hAnsi="InterUI"/>
          <w:color w:val="0D0D0D"/>
          <w:spacing w:val="-12"/>
          <w:sz w:val="30"/>
          <w:szCs w:val="30"/>
        </w:rPr>
        <w:t>–</w:t>
      </w:r>
      <w:r>
        <w:rPr>
          <w:rStyle w:val="Forte"/>
          <w:rFonts w:ascii="InterUI" w:hAnsi="InterUI"/>
          <w:color w:val="0D0D0D"/>
          <w:spacing w:val="-12"/>
          <w:sz w:val="30"/>
          <w:szCs w:val="30"/>
        </w:rPr>
        <w:t xml:space="preserve"> Notação</w:t>
      </w:r>
    </w:p>
    <w:p w:rsidR="003771B1" w:rsidRDefault="003771B1" w:rsidP="003771B1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t>Um BPD (Business Process Diagram - Diagrama de Processo de Negócio) é constituído de objetos gráficos da BPMN (Business Process Managements Notations) e seus relacionamentos.</w:t>
      </w:r>
    </w:p>
    <w:p w:rsidR="003771B1" w:rsidRDefault="003771B1" w:rsidP="003771B1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t>Tem como objetivo fornecer uma notação para representar os processos para:</w:t>
      </w:r>
    </w:p>
    <w:p w:rsidR="003771B1" w:rsidRDefault="003771B1" w:rsidP="003771B1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t>● </w:t>
      </w:r>
      <w:r>
        <w:rPr>
          <w:rFonts w:ascii="InterUI" w:hAnsi="InterUI"/>
          <w:color w:val="111111"/>
          <w:spacing w:val="-12"/>
          <w:sz w:val="30"/>
          <w:szCs w:val="30"/>
        </w:rPr>
        <w:t> </w:t>
      </w:r>
      <w:r>
        <w:rPr>
          <w:rFonts w:ascii="InterUI" w:hAnsi="InterUI"/>
          <w:color w:val="0D0D0D"/>
          <w:spacing w:val="-12"/>
          <w:sz w:val="30"/>
          <w:szCs w:val="30"/>
        </w:rPr>
        <w:t>Os analistas que irão estudar os processos;</w:t>
      </w:r>
    </w:p>
    <w:p w:rsidR="003771B1" w:rsidRDefault="003771B1" w:rsidP="003771B1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t>● </w:t>
      </w:r>
      <w:r>
        <w:rPr>
          <w:rFonts w:ascii="InterUI" w:hAnsi="InterUI"/>
          <w:color w:val="111111"/>
          <w:spacing w:val="-12"/>
          <w:sz w:val="30"/>
          <w:szCs w:val="30"/>
        </w:rPr>
        <w:t> </w:t>
      </w:r>
      <w:r>
        <w:rPr>
          <w:rFonts w:ascii="InterUI" w:hAnsi="InterUI"/>
          <w:color w:val="0D0D0D"/>
          <w:spacing w:val="-12"/>
          <w:sz w:val="30"/>
          <w:szCs w:val="30"/>
        </w:rPr>
        <w:t>Os desenvolvedores técnicos responsáveis pela aplicação da tecnologia que irão realizar os processos;</w:t>
      </w:r>
    </w:p>
    <w:p w:rsidR="003771B1" w:rsidRDefault="003771B1" w:rsidP="003771B1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0D0D0D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t>● </w:t>
      </w:r>
      <w:r>
        <w:rPr>
          <w:rFonts w:ascii="InterUI" w:hAnsi="InterUI"/>
          <w:color w:val="111111"/>
          <w:spacing w:val="-12"/>
          <w:sz w:val="30"/>
          <w:szCs w:val="30"/>
        </w:rPr>
        <w:t> </w:t>
      </w:r>
      <w:r>
        <w:rPr>
          <w:rFonts w:ascii="InterUI" w:hAnsi="InterUI"/>
          <w:color w:val="0D0D0D"/>
          <w:spacing w:val="-12"/>
          <w:sz w:val="30"/>
          <w:szCs w:val="30"/>
        </w:rPr>
        <w:t>Os empresários que vão gerir e acompanhar os processos.</w:t>
      </w:r>
    </w:p>
    <w:p w:rsidR="003771B1" w:rsidRDefault="003771B1" w:rsidP="003771B1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</w:p>
    <w:p w:rsidR="003771B1" w:rsidRDefault="003771B1" w:rsidP="003771B1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t>Os objetos do BPD são representados em quatro categorias: Objetos de Fluxo, Objetos de Conexão, Raias e Artefatos.</w:t>
      </w:r>
    </w:p>
    <w:p w:rsidR="003771B1" w:rsidRDefault="003771B1"/>
    <w:p w:rsidR="003771B1" w:rsidRDefault="003771B1"/>
    <w:p w:rsidR="003771B1" w:rsidRDefault="003771B1">
      <w:pPr>
        <w:rPr>
          <w:rStyle w:val="Forte"/>
          <w:rFonts w:ascii="InterUI" w:hAnsi="InterUI"/>
          <w:color w:val="0D0D0D"/>
          <w:spacing w:val="-12"/>
          <w:sz w:val="30"/>
          <w:szCs w:val="30"/>
          <w:u w:val="single"/>
          <w:shd w:val="clear" w:color="auto" w:fill="FFFFFF"/>
        </w:rPr>
      </w:pPr>
      <w:r>
        <w:rPr>
          <w:rStyle w:val="Forte"/>
          <w:rFonts w:ascii="InterUI" w:hAnsi="InterUI"/>
          <w:color w:val="0D0D0D"/>
          <w:spacing w:val="-12"/>
          <w:sz w:val="30"/>
          <w:szCs w:val="30"/>
          <w:u w:val="single"/>
          <w:shd w:val="clear" w:color="auto" w:fill="FFFFFF"/>
        </w:rPr>
        <w:t>Objetos de Fluxo</w:t>
      </w:r>
      <w:r>
        <w:rPr>
          <w:rStyle w:val="Forte"/>
          <w:rFonts w:ascii="InterUI" w:hAnsi="InterUI"/>
          <w:color w:val="0D0D0D"/>
          <w:spacing w:val="-12"/>
          <w:sz w:val="30"/>
          <w:szCs w:val="30"/>
          <w:u w:val="single"/>
          <w:shd w:val="clear" w:color="auto" w:fill="FFFFFF"/>
        </w:rPr>
        <w:t>:</w:t>
      </w:r>
    </w:p>
    <w:p w:rsidR="003771B1" w:rsidRDefault="003771B1">
      <w:pPr>
        <w:rPr>
          <w:rFonts w:ascii="InterUI" w:hAnsi="InterUI"/>
          <w:color w:val="0D0D0D"/>
          <w:spacing w:val="-12"/>
          <w:sz w:val="30"/>
          <w:szCs w:val="30"/>
          <w:shd w:val="clear" w:color="auto" w:fill="FFFFFF"/>
        </w:rPr>
      </w:pPr>
      <w:r>
        <w:rPr>
          <w:rFonts w:ascii="InterUI" w:hAnsi="InterUI"/>
          <w:color w:val="0D0D0D"/>
          <w:spacing w:val="-12"/>
          <w:sz w:val="30"/>
          <w:szCs w:val="30"/>
          <w:shd w:val="clear" w:color="auto" w:fill="FFFFFF"/>
        </w:rPr>
        <w:t>D</w:t>
      </w:r>
      <w:r>
        <w:rPr>
          <w:rFonts w:ascii="InterUI" w:hAnsi="InterUI"/>
          <w:color w:val="0D0D0D"/>
          <w:spacing w:val="-12"/>
          <w:sz w:val="30"/>
          <w:szCs w:val="30"/>
          <w:shd w:val="clear" w:color="auto" w:fill="FFFFFF"/>
        </w:rPr>
        <w:t>efinem o início do fluxo, os pontos intermediários, onde serão necessárias paradas em aguardo de alguma informação ou tempo e fim de fluxo para encerramento.</w:t>
      </w:r>
    </w:p>
    <w:p w:rsidR="003771B1" w:rsidRDefault="003771B1" w:rsidP="003771B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025618" cy="1724025"/>
            <wp:effectExtent l="0" t="0" r="0" b="0"/>
            <wp:docPr id="1" name="Imagem 1" descr="Figura 1 - Notação BPD - Objetos de fluxo | Fonte: De autoria própria, 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a 1 - Notação BPD - Objetos de fluxo | Fonte: De autoria própria, 2022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71" cy="17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B1" w:rsidRDefault="003771B1" w:rsidP="003771B1">
      <w:pPr>
        <w:rPr>
          <w:rFonts w:ascii="InterUI" w:hAnsi="InterUI"/>
          <w:color w:val="0D0D0D"/>
          <w:spacing w:val="-12"/>
          <w:sz w:val="30"/>
          <w:szCs w:val="30"/>
          <w:shd w:val="clear" w:color="auto" w:fill="FFFFFF"/>
        </w:rPr>
      </w:pPr>
      <w:r>
        <w:rPr>
          <w:rFonts w:ascii="InterUI" w:hAnsi="InterUI"/>
          <w:color w:val="0D0D0D"/>
          <w:spacing w:val="-12"/>
          <w:sz w:val="30"/>
          <w:szCs w:val="30"/>
          <w:shd w:val="clear" w:color="auto" w:fill="FFFFFF"/>
        </w:rPr>
        <w:lastRenderedPageBreak/>
        <w:t xml:space="preserve">O objeto de fluxo Intermediário pode apresentar diversas representações. Dentre elas, podemos </w:t>
      </w:r>
      <w:r>
        <w:rPr>
          <w:rFonts w:ascii="InterUI" w:hAnsi="InterUI"/>
          <w:color w:val="0D0D0D"/>
          <w:spacing w:val="-12"/>
          <w:sz w:val="30"/>
          <w:szCs w:val="30"/>
          <w:shd w:val="clear" w:color="auto" w:fill="FFFFFF"/>
        </w:rPr>
        <w:t xml:space="preserve">citar o Intermediário de Tempo </w:t>
      </w:r>
      <w:r>
        <w:rPr>
          <w:rFonts w:ascii="InterUI" w:hAnsi="InterUI"/>
          <w:color w:val="0D0D0D"/>
          <w:spacing w:val="-12"/>
          <w:sz w:val="30"/>
          <w:szCs w:val="30"/>
          <w:shd w:val="clear" w:color="auto" w:fill="FFFFFF"/>
        </w:rPr>
        <w:t>quando é necessária uma parada de espera por alguma medida de tempo, ou seja, quando o fluxo não acontece sequencialmente.</w:t>
      </w:r>
    </w:p>
    <w:p w:rsidR="003771B1" w:rsidRDefault="003771B1" w:rsidP="003771B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923925" cy="962025"/>
            <wp:effectExtent l="0" t="0" r="9525" b="9525"/>
            <wp:docPr id="2" name="Imagem 2" descr="Figura 2 - Notação BPD - Objetos de fluxo - Intermediário de Tempo | Fonte: De autoria própria, 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a 2 - Notação BPD - Objetos de fluxo - Intermediário de Tempo | Fonte: De autoria própria, 2022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B1" w:rsidRPr="003771B1" w:rsidRDefault="003771B1" w:rsidP="003771B1">
      <w:pPr>
        <w:rPr>
          <w:rFonts w:ascii="InterUI" w:hAnsi="InterUI"/>
          <w:color w:val="0D0D0D"/>
          <w:spacing w:val="-12"/>
          <w:sz w:val="30"/>
          <w:szCs w:val="30"/>
          <w:shd w:val="clear" w:color="auto" w:fill="FFFFFF"/>
        </w:rPr>
      </w:pPr>
      <w:r>
        <w:rPr>
          <w:rFonts w:ascii="InterUI" w:hAnsi="InterUI"/>
          <w:color w:val="0D0D0D"/>
          <w:spacing w:val="-12"/>
          <w:sz w:val="30"/>
          <w:szCs w:val="30"/>
          <w:shd w:val="clear" w:color="auto" w:fill="FFFFFF"/>
        </w:rPr>
        <w:t xml:space="preserve">E, o Intermediário de Mensagem </w:t>
      </w:r>
      <w:r>
        <w:rPr>
          <w:rFonts w:ascii="InterUI" w:hAnsi="InterUI"/>
          <w:color w:val="0D0D0D"/>
          <w:spacing w:val="-12"/>
          <w:sz w:val="30"/>
          <w:szCs w:val="30"/>
          <w:shd w:val="clear" w:color="auto" w:fill="FFFFFF"/>
        </w:rPr>
        <w:t xml:space="preserve">quando a espera é pelo recebimento de uma </w:t>
      </w:r>
      <w:r w:rsidRPr="003771B1">
        <w:rPr>
          <w:rFonts w:ascii="InterUI" w:hAnsi="InterUI"/>
          <w:color w:val="0D0D0D"/>
          <w:spacing w:val="-12"/>
          <w:sz w:val="30"/>
          <w:szCs w:val="30"/>
          <w:shd w:val="clear" w:color="auto" w:fill="FFFFFF"/>
        </w:rPr>
        <w:t>mensagem.</w:t>
      </w:r>
    </w:p>
    <w:p w:rsidR="003771B1" w:rsidRDefault="003771B1" w:rsidP="003771B1">
      <w:pPr>
        <w:jc w:val="center"/>
      </w:pPr>
      <w:r w:rsidRPr="003771B1">
        <w:rPr>
          <w:noProof/>
          <w:lang w:eastAsia="pt-BR"/>
        </w:rPr>
        <w:drawing>
          <wp:inline distT="0" distB="0" distL="0" distR="0">
            <wp:extent cx="1419225" cy="990600"/>
            <wp:effectExtent l="0" t="0" r="9525" b="0"/>
            <wp:docPr id="3" name="Imagem 3" descr="Figura 3 - Notação BPD - Objetos de fluxo - Intermediário de Mensagem | Fonte: De autoria própria, 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a 3 - Notação BPD - Objetos de fluxo - Intermediário de Mensagem | Fonte: De autoria própria, 2022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B1" w:rsidRDefault="003771B1" w:rsidP="003771B1">
      <w:pPr>
        <w:jc w:val="center"/>
      </w:pPr>
    </w:p>
    <w:p w:rsidR="003771B1" w:rsidRPr="003771B1" w:rsidRDefault="003771B1" w:rsidP="003771B1">
      <w:pPr>
        <w:shd w:val="clear" w:color="auto" w:fill="FFFFFF"/>
        <w:spacing w:line="480" w:lineRule="atLeast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 w:rsidRPr="003771B1">
        <w:rPr>
          <w:rFonts w:ascii="InterUI" w:eastAsia="Times New Roman" w:hAnsi="InterUI" w:cs="Arial"/>
          <w:b/>
          <w:bCs/>
          <w:color w:val="0D0D0D"/>
          <w:spacing w:val="-12"/>
          <w:sz w:val="30"/>
          <w:szCs w:val="30"/>
          <w:lang w:eastAsia="pt-BR"/>
        </w:rPr>
        <w:t>Atividade</w:t>
      </w:r>
      <w:r w:rsidRPr="003771B1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 - termo usado para o trabalho a ser executado. Podem ser tipo:</w:t>
      </w:r>
      <w:r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 xml:space="preserve"> Tarefa e Subprocesso</w:t>
      </w:r>
      <w:r w:rsidRPr="003771B1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. Sendo que um Subprocesso tem um sinal de adição ‘+’ no centro-inferior e expressa a existência de subatividades.</w:t>
      </w:r>
    </w:p>
    <w:p w:rsidR="003771B1" w:rsidRDefault="003771B1" w:rsidP="003771B1">
      <w:r w:rsidRPr="003771B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524250" cy="1076325"/>
            <wp:effectExtent l="0" t="0" r="0" b="9525"/>
            <wp:docPr id="4" name="Imagem 4" descr="Figura 4 - Notação BPD - Atividade | Fonte: De autoria própria, 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a 4 - Notação BPD - Atividade | Fonte: De autoria própria, 2022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B1" w:rsidRDefault="003771B1" w:rsidP="003771B1"/>
    <w:p w:rsidR="003771B1" w:rsidRPr="003771B1" w:rsidRDefault="003771B1" w:rsidP="003771B1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>
        <w:rPr>
          <w:rFonts w:ascii="InterUI" w:eastAsia="Times New Roman" w:hAnsi="InterUI" w:cs="Arial"/>
          <w:b/>
          <w:bCs/>
          <w:color w:val="0D0D0D"/>
          <w:spacing w:val="-12"/>
          <w:sz w:val="30"/>
          <w:szCs w:val="30"/>
          <w:lang w:eastAsia="pt-BR"/>
        </w:rPr>
        <w:t>Gat</w:t>
      </w:r>
      <w:r w:rsidRPr="003771B1">
        <w:rPr>
          <w:rFonts w:ascii="InterUI" w:eastAsia="Times New Roman" w:hAnsi="InterUI" w:cs="Arial"/>
          <w:b/>
          <w:bCs/>
          <w:color w:val="0D0D0D"/>
          <w:spacing w:val="-12"/>
          <w:sz w:val="30"/>
          <w:szCs w:val="30"/>
          <w:lang w:eastAsia="pt-BR"/>
        </w:rPr>
        <w:t>eways</w:t>
      </w:r>
    </w:p>
    <w:p w:rsidR="003771B1" w:rsidRPr="003771B1" w:rsidRDefault="003771B1" w:rsidP="003771B1">
      <w:pPr>
        <w:shd w:val="clear" w:color="auto" w:fill="FFFFFF"/>
        <w:spacing w:line="480" w:lineRule="atLeast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Os gateways</w:t>
      </w:r>
      <w:r w:rsidRPr="003771B1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 xml:space="preserve"> são definidos sempre que se deseja estabelecer uma condição de prosseguimento do fluxo ou execução paralela. </w:t>
      </w:r>
    </w:p>
    <w:p w:rsidR="003771B1" w:rsidRDefault="003771B1" w:rsidP="003771B1">
      <w:pPr>
        <w:jc w:val="center"/>
      </w:pPr>
      <w:r w:rsidRPr="003771B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26401" cy="952500"/>
            <wp:effectExtent l="0" t="0" r="0" b="0"/>
            <wp:docPr id="5" name="Imagem 5" descr="Figura 5 - Notação BPD - Gateways | Fonte: De autoria própria, 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5 - Notação BPD - Gateways | Fonte: De autoria própria, 2022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38" cy="9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B1" w:rsidRDefault="003771B1" w:rsidP="003771B1">
      <w:pPr>
        <w:rPr>
          <w:rStyle w:val="Forte"/>
          <w:rFonts w:ascii="InterUI" w:hAnsi="InterUI"/>
          <w:color w:val="0D0D0D"/>
          <w:spacing w:val="-12"/>
          <w:sz w:val="30"/>
          <w:szCs w:val="30"/>
          <w:u w:val="single"/>
          <w:shd w:val="clear" w:color="auto" w:fill="FFFFFF"/>
        </w:rPr>
      </w:pPr>
      <w:r>
        <w:rPr>
          <w:rStyle w:val="Forte"/>
          <w:rFonts w:ascii="InterUI" w:hAnsi="InterUI"/>
          <w:color w:val="0D0D0D"/>
          <w:spacing w:val="-12"/>
          <w:sz w:val="30"/>
          <w:szCs w:val="30"/>
          <w:u w:val="single"/>
          <w:shd w:val="clear" w:color="auto" w:fill="FFFFFF"/>
        </w:rPr>
        <w:lastRenderedPageBreak/>
        <w:t>Objetos de Conexão</w:t>
      </w:r>
    </w:p>
    <w:p w:rsidR="003771B1" w:rsidRDefault="003771B1" w:rsidP="003771B1">
      <w:pPr>
        <w:rPr>
          <w:rStyle w:val="Forte"/>
          <w:rFonts w:ascii="InterUI" w:hAnsi="InterUI"/>
          <w:color w:val="0D0D0D"/>
          <w:spacing w:val="-12"/>
          <w:sz w:val="30"/>
          <w:szCs w:val="30"/>
          <w:u w:val="single"/>
          <w:shd w:val="clear" w:color="auto" w:fill="FFFFFF"/>
        </w:rPr>
      </w:pPr>
    </w:p>
    <w:p w:rsidR="003771B1" w:rsidRPr="003771B1" w:rsidRDefault="003771B1" w:rsidP="003771B1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 w:rsidRPr="003771B1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Fluxo de Sequência - É usado para mostrar a ordem em que as atividades serão executadas em um processo. Cada fluxo tem uma só origem e um só destino.</w:t>
      </w:r>
    </w:p>
    <w:p w:rsidR="003771B1" w:rsidRPr="003771B1" w:rsidRDefault="003771B1" w:rsidP="003771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1B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19250" cy="190500"/>
            <wp:effectExtent l="0" t="0" r="0" b="0"/>
            <wp:docPr id="8" name="Imagem 8" descr="Figura 6 - Notação BPD - Objetos de conexão - Fluxo de Sequência | Fonte: De autoria própria, 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gura 6 - Notação BPD - Objetos de conexão - Fluxo de Sequência | Fonte: De autoria própria, 2022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B1" w:rsidRDefault="003771B1" w:rsidP="003771B1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</w:p>
    <w:p w:rsidR="003771B1" w:rsidRPr="003771B1" w:rsidRDefault="003771B1" w:rsidP="003771B1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</w:p>
    <w:p w:rsidR="003771B1" w:rsidRPr="003771B1" w:rsidRDefault="003771B1" w:rsidP="003771B1">
      <w:pPr>
        <w:shd w:val="clear" w:color="auto" w:fill="FFFFFF"/>
        <w:spacing w:line="480" w:lineRule="atLeast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 w:rsidRPr="003771B1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 xml:space="preserve">Associação - relacionamento entre informações e </w:t>
      </w:r>
      <w:r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 xml:space="preserve">artefatos com objetos de fluxo. </w:t>
      </w:r>
      <w:r w:rsidRPr="003771B1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Também pode mostrar as atividades usadas para compensar uma atividade (com entradas e saídas).</w:t>
      </w:r>
    </w:p>
    <w:p w:rsidR="003771B1" w:rsidRDefault="003771B1" w:rsidP="003771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1B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57350" cy="190500"/>
            <wp:effectExtent l="0" t="0" r="0" b="0"/>
            <wp:docPr id="7" name="Imagem 7" descr="Figura 7 - Notação BPD - Objetos de conexão - Associação | Fonte: De autoria própria, 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gura 7 - Notação BPD - Objetos de conexão - Associação | Fonte: De autoria própria, 2022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B1" w:rsidRDefault="003771B1" w:rsidP="0037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71B1" w:rsidRPr="003771B1" w:rsidRDefault="003771B1" w:rsidP="00377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71B1" w:rsidRPr="003771B1" w:rsidRDefault="003771B1" w:rsidP="003771B1">
      <w:pPr>
        <w:shd w:val="clear" w:color="auto" w:fill="FFFFFF"/>
        <w:spacing w:line="480" w:lineRule="atLeast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 w:rsidRPr="003771B1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Fluxo de Mensagem - relacionamento entre duas entidades que pod</w:t>
      </w:r>
      <w:r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 xml:space="preserve">em enviar ou receber mensagens. </w:t>
      </w:r>
      <w:r w:rsidRPr="003771B1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Os “pools”, que serão descritos mais adiante, podem ser entidades, por exemplo.</w:t>
      </w:r>
    </w:p>
    <w:p w:rsidR="003771B1" w:rsidRDefault="003771B1" w:rsidP="003771B1">
      <w:pPr>
        <w:jc w:val="center"/>
      </w:pPr>
      <w:r w:rsidRPr="003771B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714500" cy="295275"/>
            <wp:effectExtent l="0" t="0" r="0" b="9525"/>
            <wp:docPr id="6" name="Imagem 6" descr="Figura 8 - Notação BPD - Objetos de conexão - Fluxo de Mensagem | Fonte: De autoria própria, 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gura 8 - Notação BPD - Objetos de conexão - Fluxo de Mensagem | Fonte: De autoria própria, 2022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B1" w:rsidRDefault="003771B1" w:rsidP="003771B1"/>
    <w:p w:rsidR="003771B1" w:rsidRDefault="003771B1" w:rsidP="003771B1"/>
    <w:p w:rsidR="003771B1" w:rsidRPr="003771B1" w:rsidRDefault="003771B1" w:rsidP="003771B1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 w:rsidRPr="003771B1">
        <w:rPr>
          <w:rFonts w:ascii="InterUI" w:eastAsia="Times New Roman" w:hAnsi="InterUI" w:cs="Arial"/>
          <w:b/>
          <w:bCs/>
          <w:color w:val="0D0D0D"/>
          <w:spacing w:val="-12"/>
          <w:sz w:val="30"/>
          <w:szCs w:val="30"/>
          <w:u w:val="single"/>
          <w:lang w:eastAsia="pt-BR"/>
        </w:rPr>
        <w:t>Raias</w:t>
      </w:r>
    </w:p>
    <w:p w:rsidR="003771B1" w:rsidRPr="003771B1" w:rsidRDefault="003771B1" w:rsidP="003771B1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 w:rsidRPr="003771B1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As raias representam os responsáveis por realizar as atividades apresentadas a eles. São dois tipos: Pool e Lane.</w:t>
      </w:r>
    </w:p>
    <w:p w:rsidR="003771B1" w:rsidRPr="003771B1" w:rsidRDefault="003771B1" w:rsidP="003771B1">
      <w:pPr>
        <w:shd w:val="clear" w:color="auto" w:fill="FFFFFF"/>
        <w:spacing w:line="480" w:lineRule="atLeast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 w:rsidRPr="003771B1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Pool - represen</w:t>
      </w:r>
      <w:r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 xml:space="preserve">ta um participante no processo. </w:t>
      </w:r>
      <w:r w:rsidRPr="003771B1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Pode ser uma entidade, como uma empresa, ou uma função de negócio como um vendedor, por exemplo.</w:t>
      </w:r>
    </w:p>
    <w:p w:rsidR="003771B1" w:rsidRPr="003771B1" w:rsidRDefault="003771B1" w:rsidP="003771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1B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00700" cy="923852"/>
            <wp:effectExtent l="0" t="0" r="0" b="0"/>
            <wp:docPr id="10" name="Imagem 10" descr="Figura 9 - Notação BPD - Raias - Pool | Fonte: De autoria própria, 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gura 9 - Notação BPD - Raias - Pool | Fonte: De autoria própria, 2022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776" cy="96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B1" w:rsidRDefault="003771B1" w:rsidP="003771B1">
      <w:pPr>
        <w:shd w:val="clear" w:color="auto" w:fill="FFFFFF"/>
        <w:spacing w:line="480" w:lineRule="atLeast"/>
        <w:jc w:val="both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</w:p>
    <w:p w:rsidR="003771B1" w:rsidRPr="003771B1" w:rsidRDefault="003771B1" w:rsidP="003771B1">
      <w:pPr>
        <w:shd w:val="clear" w:color="auto" w:fill="FFFFFF"/>
        <w:spacing w:line="480" w:lineRule="atLeast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 w:rsidRPr="003771B1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Lane -</w:t>
      </w:r>
      <w:r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 xml:space="preserve"> subpartição dentro de um pool. </w:t>
      </w:r>
      <w:r w:rsidRPr="003771B1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Estende o pool vertical e horizontalmente. Organiza e categoriza atividades.</w:t>
      </w:r>
    </w:p>
    <w:p w:rsidR="003771B1" w:rsidRDefault="003771B1" w:rsidP="003771B1">
      <w:pPr>
        <w:jc w:val="center"/>
      </w:pPr>
      <w:r w:rsidRPr="003771B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76875" cy="1181100"/>
            <wp:effectExtent l="0" t="0" r="9525" b="0"/>
            <wp:docPr id="9" name="Imagem 9" descr="Figura 10 - Notação BPD - Raias - Lane | Fonte: De autoria própria, 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igura 10 - Notação BPD - Raias - Lane | Fonte: De autoria própria, 2022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B1" w:rsidRDefault="003771B1" w:rsidP="003771B1">
      <w:pPr>
        <w:jc w:val="center"/>
      </w:pPr>
    </w:p>
    <w:p w:rsidR="003771B1" w:rsidRDefault="003771B1" w:rsidP="003771B1"/>
    <w:p w:rsidR="003771B1" w:rsidRPr="003771B1" w:rsidRDefault="003771B1" w:rsidP="003771B1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 w:rsidRPr="003771B1">
        <w:rPr>
          <w:rFonts w:ascii="InterUI" w:eastAsia="Times New Roman" w:hAnsi="InterUI" w:cs="Arial"/>
          <w:b/>
          <w:bCs/>
          <w:color w:val="0D0D0D"/>
          <w:spacing w:val="-12"/>
          <w:sz w:val="30"/>
          <w:szCs w:val="30"/>
          <w:u w:val="single"/>
          <w:lang w:eastAsia="pt-BR"/>
        </w:rPr>
        <w:t>Artefatos</w:t>
      </w:r>
    </w:p>
    <w:p w:rsidR="003771B1" w:rsidRPr="003771B1" w:rsidRDefault="003771B1" w:rsidP="003771B1">
      <w:pPr>
        <w:shd w:val="clear" w:color="auto" w:fill="FFFFFF"/>
        <w:spacing w:line="480" w:lineRule="atLeast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 w:rsidRPr="003771B1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 xml:space="preserve">Objeto de Dados - fornecem informações sobre como documentos, dados e outros objetos são usados e </w:t>
      </w:r>
      <w:r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atualizados durante o processo</w:t>
      </w:r>
      <w:r w:rsidRPr="003771B1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.</w:t>
      </w:r>
    </w:p>
    <w:p w:rsidR="003771B1" w:rsidRDefault="003771B1" w:rsidP="003771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1B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857250" cy="1009650"/>
            <wp:effectExtent l="0" t="0" r="0" b="0"/>
            <wp:docPr id="13" name="Imagem 13" descr="Figura 11 - Notação BPD - Artefatos - Objeto de Dados | Fonte: De autoria própria, 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igura 11 - Notação BPD - Artefatos - Objeto de Dados | Fonte: De autoria própria, 2022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B1" w:rsidRPr="003771B1" w:rsidRDefault="003771B1" w:rsidP="003771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71B1" w:rsidRPr="003771B1" w:rsidRDefault="003771B1" w:rsidP="003771B1">
      <w:pPr>
        <w:shd w:val="clear" w:color="auto" w:fill="FFFFFF"/>
        <w:spacing w:line="480" w:lineRule="atLeast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 w:rsidRPr="003771B1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Grupo - artefato que fornece mecanismo visual para agrupar elementos de u</w:t>
      </w:r>
      <w:r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m diagrama informalmente. Não afeta o fluxo de sequ</w:t>
      </w:r>
      <w:r w:rsidRPr="003771B1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ência.</w:t>
      </w:r>
    </w:p>
    <w:p w:rsidR="003771B1" w:rsidRPr="003771B1" w:rsidRDefault="003771B1" w:rsidP="003771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1B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04900" cy="533400"/>
            <wp:effectExtent l="0" t="0" r="0" b="0"/>
            <wp:docPr id="12" name="Imagem 12" descr="Figura 12 - Notação BPD - Artefatos - Grupo | Fonte: De autoria própria, 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igura 12 - Notação BPD - Artefatos - Grupo | Fonte: De autoria própria, 2022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B1" w:rsidRDefault="003771B1" w:rsidP="003771B1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</w:p>
    <w:p w:rsidR="003771B1" w:rsidRPr="003771B1" w:rsidRDefault="003771B1" w:rsidP="003771B1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</w:p>
    <w:p w:rsidR="003771B1" w:rsidRPr="003771B1" w:rsidRDefault="003771B1" w:rsidP="003771B1">
      <w:pPr>
        <w:shd w:val="clear" w:color="auto" w:fill="FFFFFF"/>
        <w:spacing w:line="480" w:lineRule="atLeast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 w:rsidRPr="003771B1"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  <w:t>​</w:t>
      </w:r>
      <w:r w:rsidRPr="003771B1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Anotação - mecanismo através do qual o modelador fornece informações adicionais par</w:t>
      </w:r>
      <w:r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a um leitor de um diagrama BPMN.</w:t>
      </w:r>
    </w:p>
    <w:p w:rsidR="003771B1" w:rsidRDefault="003771B1" w:rsidP="003771B1">
      <w:pPr>
        <w:jc w:val="center"/>
      </w:pPr>
      <w:r w:rsidRPr="003771B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86000" cy="942975"/>
            <wp:effectExtent l="0" t="0" r="0" b="9525"/>
            <wp:docPr id="11" name="Imagem 11" descr="Figura 13 - Notação BPD - Artefatos - Anotação | Fonte: De autoria própria, 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igura 13 - Notação BPD - Artefatos - Anotação | Fonte: De autoria própria, 2022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B1" w:rsidRDefault="003771B1" w:rsidP="003771B1">
      <w:pPr>
        <w:pStyle w:val="NormalWeb"/>
        <w:shd w:val="clear" w:color="auto" w:fill="FFFFFF"/>
        <w:spacing w:before="0" w:beforeAutospacing="0" w:after="0" w:afterAutospacing="0" w:line="480" w:lineRule="atLeast"/>
        <w:rPr>
          <w:rStyle w:val="Forte"/>
          <w:rFonts w:ascii="InterUI" w:hAnsi="InterUI"/>
          <w:color w:val="0D0D0D"/>
          <w:spacing w:val="-12"/>
          <w:sz w:val="30"/>
          <w:szCs w:val="30"/>
        </w:rPr>
      </w:pPr>
      <w:r>
        <w:rPr>
          <w:rStyle w:val="Forte"/>
          <w:rFonts w:ascii="InterUI" w:hAnsi="InterUI"/>
          <w:color w:val="0D0D0D"/>
          <w:spacing w:val="-12"/>
          <w:sz w:val="30"/>
          <w:szCs w:val="30"/>
        </w:rPr>
        <w:lastRenderedPageBreak/>
        <w:t>Passos para construção do Modelo de Processo</w:t>
      </w:r>
      <w:r>
        <w:rPr>
          <w:rStyle w:val="Forte"/>
          <w:rFonts w:ascii="InterUI" w:hAnsi="InterUI"/>
          <w:color w:val="0D0D0D"/>
          <w:spacing w:val="-12"/>
          <w:sz w:val="30"/>
          <w:szCs w:val="30"/>
        </w:rPr>
        <w:t>:</w:t>
      </w:r>
    </w:p>
    <w:p w:rsidR="003771B1" w:rsidRDefault="003771B1" w:rsidP="003771B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InterUI" w:hAnsi="InterUI"/>
          <w:color w:val="111111"/>
          <w:spacing w:val="-12"/>
          <w:sz w:val="30"/>
          <w:szCs w:val="30"/>
        </w:rPr>
      </w:pPr>
    </w:p>
    <w:p w:rsidR="003771B1" w:rsidRDefault="003771B1" w:rsidP="003771B1">
      <w:pPr>
        <w:pStyle w:val="NormalWeb"/>
        <w:shd w:val="clear" w:color="auto" w:fill="FFFFFF"/>
        <w:spacing w:before="0" w:beforeAutospacing="0" w:after="0" w:afterAutospacing="0" w:line="480" w:lineRule="atLeast"/>
        <w:ind w:left="720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t>1.   Identificar as atividades/requisitos do processo de negócio e seus responsáveis/ator;</w:t>
      </w:r>
    </w:p>
    <w:p w:rsidR="003771B1" w:rsidRDefault="003771B1" w:rsidP="003771B1">
      <w:pPr>
        <w:pStyle w:val="NormalWeb"/>
        <w:shd w:val="clear" w:color="auto" w:fill="FFFFFF"/>
        <w:spacing w:before="0" w:beforeAutospacing="0" w:after="0" w:afterAutospacing="0" w:line="480" w:lineRule="atLeast"/>
        <w:ind w:left="720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t>2.   Identificar por onde o processo inicia</w:t>
      </w:r>
      <w:r>
        <w:rPr>
          <w:rFonts w:ascii="InterUI" w:hAnsi="InterUI"/>
          <w:color w:val="0D0D0D"/>
          <w:spacing w:val="-12"/>
          <w:sz w:val="30"/>
          <w:szCs w:val="30"/>
        </w:rPr>
        <w:t>;</w:t>
      </w:r>
    </w:p>
    <w:p w:rsidR="003771B1" w:rsidRDefault="003771B1" w:rsidP="003771B1">
      <w:pPr>
        <w:pStyle w:val="NormalWeb"/>
        <w:shd w:val="clear" w:color="auto" w:fill="FFFFFF"/>
        <w:spacing w:before="0" w:beforeAutospacing="0" w:after="0" w:afterAutospacing="0" w:line="480" w:lineRule="atLeast"/>
        <w:ind w:left="720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t>3.   Na construção lógica verificar</w:t>
      </w:r>
      <w:r w:rsidR="007D77D9">
        <w:rPr>
          <w:rFonts w:ascii="InterUI" w:hAnsi="InterUI"/>
          <w:color w:val="0D0D0D"/>
          <w:spacing w:val="-12"/>
          <w:sz w:val="30"/>
          <w:szCs w:val="30"/>
        </w:rPr>
        <w:t>:</w:t>
      </w:r>
    </w:p>
    <w:p w:rsidR="003771B1" w:rsidRDefault="003771B1" w:rsidP="003771B1">
      <w:pPr>
        <w:pStyle w:val="NormalWeb"/>
        <w:shd w:val="clear" w:color="auto" w:fill="FFFFFF"/>
        <w:spacing w:before="0" w:beforeAutospacing="0" w:after="0" w:afterAutospacing="0" w:line="480" w:lineRule="atLeast"/>
        <w:ind w:left="1440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t>a.   pontos de decisão</w:t>
      </w:r>
      <w:r w:rsidR="007D77D9">
        <w:rPr>
          <w:rFonts w:ascii="InterUI" w:hAnsi="InterUI"/>
          <w:color w:val="0D0D0D"/>
          <w:spacing w:val="-12"/>
          <w:sz w:val="30"/>
          <w:szCs w:val="30"/>
        </w:rPr>
        <w:t>;</w:t>
      </w:r>
    </w:p>
    <w:p w:rsidR="003771B1" w:rsidRDefault="003771B1" w:rsidP="003771B1">
      <w:pPr>
        <w:pStyle w:val="NormalWeb"/>
        <w:shd w:val="clear" w:color="auto" w:fill="FFFFFF"/>
        <w:spacing w:before="0" w:beforeAutospacing="0" w:after="0" w:afterAutospacing="0" w:line="480" w:lineRule="atLeast"/>
        <w:ind w:left="1440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t>b.   pontos de interrupção</w:t>
      </w:r>
      <w:r w:rsidR="007D77D9">
        <w:rPr>
          <w:rFonts w:ascii="InterUI" w:hAnsi="InterUI"/>
          <w:color w:val="0D0D0D"/>
          <w:spacing w:val="-12"/>
          <w:sz w:val="30"/>
          <w:szCs w:val="30"/>
        </w:rPr>
        <w:t>;</w:t>
      </w:r>
    </w:p>
    <w:p w:rsidR="003771B1" w:rsidRDefault="003771B1" w:rsidP="003771B1">
      <w:pPr>
        <w:pStyle w:val="NormalWeb"/>
        <w:shd w:val="clear" w:color="auto" w:fill="FFFFFF"/>
        <w:spacing w:before="0" w:beforeAutospacing="0" w:after="0" w:afterAutospacing="0" w:line="480" w:lineRule="atLeast"/>
        <w:ind w:left="1440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t>c.    atividades paralelas</w:t>
      </w:r>
      <w:r w:rsidR="007D77D9">
        <w:rPr>
          <w:rFonts w:ascii="InterUI" w:hAnsi="InterUI"/>
          <w:color w:val="0D0D0D"/>
          <w:spacing w:val="-12"/>
          <w:sz w:val="30"/>
          <w:szCs w:val="30"/>
        </w:rPr>
        <w:t>;</w:t>
      </w:r>
    </w:p>
    <w:p w:rsidR="003771B1" w:rsidRDefault="003771B1" w:rsidP="003771B1">
      <w:pPr>
        <w:pStyle w:val="NormalWeb"/>
        <w:shd w:val="clear" w:color="auto" w:fill="FFFFFF"/>
        <w:spacing w:before="0" w:beforeAutospacing="0" w:after="0" w:afterAutospacing="0" w:line="480" w:lineRule="atLeast"/>
        <w:ind w:left="720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t>4.   Construir o modelo de processo BPMN</w:t>
      </w:r>
      <w:r>
        <w:rPr>
          <w:rFonts w:ascii="InterUI" w:hAnsi="InterUI"/>
          <w:color w:val="0D0D0D"/>
          <w:spacing w:val="-12"/>
          <w:sz w:val="30"/>
          <w:szCs w:val="30"/>
        </w:rPr>
        <w:t>.</w:t>
      </w:r>
      <w:bookmarkStart w:id="0" w:name="_GoBack"/>
      <w:bookmarkEnd w:id="0"/>
    </w:p>
    <w:p w:rsidR="003771B1" w:rsidRPr="003771B1" w:rsidRDefault="003771B1" w:rsidP="003771B1"/>
    <w:sectPr w:rsidR="003771B1" w:rsidRPr="00377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3A"/>
    <w:rsid w:val="003771B1"/>
    <w:rsid w:val="007D77D9"/>
    <w:rsid w:val="00A3203A"/>
    <w:rsid w:val="00FD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8586F"/>
  <w15:chartTrackingRefBased/>
  <w15:docId w15:val="{6AB0ECDF-BDD7-4A71-9C87-1B4FBC54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77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71B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77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71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03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2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3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7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8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15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3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30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489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2023-06-06T23:29:00Z</dcterms:created>
  <dcterms:modified xsi:type="dcterms:W3CDTF">2023-06-06T23:41:00Z</dcterms:modified>
</cp:coreProperties>
</file>