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UTSC 网站数据对接与验收方案</w:t>
      </w:r>
    </w:p>
    <w:p>
      <w:pPr>
        <w:pStyle w:val="Subtitle"/>
      </w:pPr>
      <w:r>
        <w:t>2026年10月29日  北京时间  |  供网站所有者与 Seraphina 协作执行</w:t>
      </w:r>
    </w:p>
    <w:p>
      <w:r>
        <w:t>建议通过固定版本的公开数据包接入：先冻结合同、离线校验和交叉验收，再把同一份数据随网站版本整体发布。任何必要检查失败都停止升级；线上继续使用上一份已验收版本，首次接入失败则保持当前合成演示。</w:t>
      </w:r>
    </w:p>
    <w:p>
      <w:r>
        <w:t>本方案通过拒绝坏包、隔离候选数据和可回退发布降低故障风险，不承诺绝对零故障。本次已完成只读审查和一个合成边界探测；接入代码、真实数据发布及后续验收均未实施。</w:t>
      </w:r>
    </w:p>
    <w:p>
      <w:pPr>
        <w:pStyle w:val="Heading1"/>
      </w:pPr>
      <w:r>
        <w:t>一 当前基线与接入范围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240"/>
        <w:gridCol w:w="540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核实状态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对方案的约束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上游 main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b828553f  合同 1.0.0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网站所用15份合同与规则文件哈希一致。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上游 D7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60bcba33  PR 8仍开放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候选合同1.1.0，未成为正式接入基线。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公开网站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演示版本 2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市场、课程为SYNTHETIC，账户服务未连接。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当前真实包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D7文档记录市场采集为partial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可内部联调，不能按D7发布门槛上线。</w:t>
            </w:r>
          </w:p>
        </w:tc>
      </w:tr>
    </w:tbl>
    <w:p>
      <w:pPr>
        <w:spacing w:after="0"/>
      </w:pPr>
    </w:p>
    <w:p>
      <w:r>
        <w:t>首轮接入市场、课程及共同技能目录，并校验完整包中的组织、资源和活动。活动展示、推荐、日历导出仍按后续功能阶段另行实现，不能因数据存在就宣称功能可用。</w:t>
      </w:r>
    </w:p>
    <w:p>
      <w:pPr>
        <w:pStyle w:val="Heading2"/>
      </w:pPr>
      <w:r>
        <w:t>建议采用的交付方式</w:t>
      </w:r>
    </w:p>
    <w:p>
      <w:r>
        <w:t>Seraphina 生成候选包并完成数据发布审核；网站在构建环境取得固定版本、核对摘要与校验和，经内部预览验收后，将批准的公开内容嵌入现有只读投递层。浏览器只读本站同源资源。</w:t>
      </w:r>
    </w:p>
    <w:p>
      <w:r>
        <w:t>避免让浏览器直接读取对方 main 分支、私有仓库或采集接口。这样可固定版本，避免上游临时变动、跨域请求、访问令牌和网络波动直接影响访客。</w:t>
      </w:r>
    </w:p>
    <w:p>
      <w:pPr>
        <w:pStyle w:val="Heading1"/>
      </w:pPr>
      <w:r>
        <w:t>二 冻结合同并固定交付包</w:t>
      </w:r>
    </w:p>
    <w:p>
      <w:r>
        <w:t>建议把D7的1.1.0作为下一轮联调目标，但先由双方确认正式版本、发布来源和回滚PR的处理。候选分支可按固定提交在隔离环境验证，正式发布不得把未审定版本自动提升为正式基线。</w:t>
      </w:r>
    </w:p>
    <w:p>
      <w:r>
        <w:t>1.1.0新增了必填结构，对当前1.0.0消费者并不兼容。必须在独立变更中同步Schema引用闭包、TypeScript类型、标签、运行时检查和测试；不能只改版本号、删除新增字段，或放宽additionalProperties来让数据勉强通过。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变化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网站必须处理的内容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organizers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加载组织Schema及类型；活动的organizer_id必须能解析到同包组织。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活动新增字段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接收responsibilities、time_commitment、compensation_status和ccr_status；保留null及not_stated语义。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资源映射证据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识别可选mapping_evidence；缺失不能伪造成已经核验的技能证据。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审核来源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approved不等于人工核验；展示来源需结合经清理的provenance摘要。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统计与日期规则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固定统计规则提交，保留日期精度、UTC时刻和原始IANA时区。</w:t>
            </w:r>
          </w:p>
        </w:tc>
      </w:tr>
    </w:tbl>
    <w:p>
      <w:pPr>
        <w:spacing w:after="0"/>
      </w:pPr>
    </w:p>
    <w:p>
      <w:pPr>
        <w:pStyle w:val="Heading2"/>
      </w:pPr>
      <w:r>
        <w:t>交付目录</w:t>
      </w:r>
    </w:p>
    <w:p>
      <w:r>
        <w:t>每次交付保留bundle.json、manifest.json、market_jobs.json、skills.json、courses.json、learning_resources.json、organizers.json、opportunities.json，以及reference_statistics.json、dataset_provenance.json、SHA256SUMS.txt和正式发布确认记录。</w:t>
      </w:r>
    </w:p>
    <w:p>
      <w:r>
        <w:t>网站优先只加载bundle.json。learning_resources.json对应包内resources；活动是普通opportunity记录，不能直接把D6的{opportunity, eligibility}包装对象当成活动。旁文件仅用于受控校验，避免页面各自加载不同批次。</w:t>
      </w:r>
    </w:p>
    <w:p>
      <w:pPr>
        <w:pStyle w:val="Heading2"/>
      </w:pPr>
      <w:r>
        <w:t>网站侧版本锁定记录</w:t>
      </w:r>
    </w:p>
    <w:p>
      <w:r>
        <w:t>新增独立的发布锁定文件，记录上游合同与导出器提交、dataset_version、bundle及Schema的SHA-256、来源记录摘要的哈希、人工确认记录的哈希、数据模式、统计规则版本和验收报告位置。这些是网站发布元数据，不擅自塞入共享manifest。</w:t>
      </w:r>
    </w:p>
    <w:p>
      <w:r>
        <w:t>SHA-256只证明字节一致，不能独立证明来源可信或已获批准。摘要必须从双方认可的提交或交付渠道固定到网站评审中；确认记录还应绑定实际包哈希，避免同版本号换包后继续沿用旧确认。每版只写新目录，禁止覆盖旧版。</w:t>
      </w:r>
    </w:p>
    <w:p>
      <w:pPr>
        <w:pStyle w:val="Heading1"/>
      </w:pPr>
      <w:r>
        <w:t>三 在发布前执行硬性数据检查</w:t>
      </w:r>
    </w:p>
    <w:p>
      <w:r>
        <w:t>以下均是拟实施的发布门槛。全部由构建流程自动执行并生成报告；业务核验保留真实人工证据，不能由代理代填通过。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6768"/>
        <w:gridCol w:w="16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FFFFFF"/>
                <w:sz w:val="21"/>
              </w:rPr>
              <w:t>检查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必须满足的条件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失败处理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来源与完整性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固定提交、可信交付摘要、包版本及全部必要文件哈希一致；拒绝路径穿越、压缩炸弹和超限文件。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拒收候选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正式发布资格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D7的for-publication检查通过，run_status为complete，确认记录匹配本包。partial/failed不进公开发布。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仅留内部联调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合同结构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JSON可解析、Schema版本受支持；必填、枚举、格式及额外字段限制全部满足。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整包拒收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关联与语义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各类ID唯一；技能和组织引用存在；源岗位及帖子无错误复用；sample_count等于岗位数组长度。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整包拒收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时间与审核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来源时段合理；活动未过期、组织已核实；change_pending不发布；遵守日期精度和时区。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停止发布并回查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公开边界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只允许合同公开字段；无用户记录、管理密钥、会话、原始招聘描述或内部审核记录。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停止发布并清理</w:t>
            </w:r>
          </w:p>
        </w:tc>
      </w:tr>
    </w:tbl>
    <w:p>
      <w:pPr>
        <w:spacing w:after="0"/>
      </w:pPr>
    </w:p>
    <w:p>
      <w:pPr>
        <w:pStyle w:val="Heading2"/>
      </w:pPr>
      <w:r>
        <w:t>区分自动候选与人工核验</w:t>
      </w:r>
    </w:p>
    <w:p>
      <w:r>
        <w:t>D7明确说明：导出记录的review_status=approved表示“可进入该数据包”，可能来自auto_candidate，也可能来自human_approved。网站不能统一显示为“已人工核实”。按opportunity_id连接provenance，先验证ID与修订号，再生成公开可展示的审核来源摘要。</w:t>
      </w:r>
    </w:p>
    <w:p>
      <w:r>
        <w:t>完整provenance、人工确认文件和审核人信息应留在受控交付区；公开网站只发布必要且经确认可公开的摘要。未知来源显示“审核来源待确认”，不得自动补成人工核验。未获正式发布资格的数据也不能因为加上“测试”字样就在公开站点展示。</w:t>
      </w:r>
    </w:p>
    <w:p>
      <w:pPr>
        <w:pStyle w:val="Heading2"/>
      </w:pPr>
      <w:r>
        <w:t>防止自由文本和链接泄露</w:t>
      </w:r>
    </w:p>
    <w:p>
      <w:r>
        <w:t>字段白名单之外，还要检查合法文本字段中的邮箱、电话、学生信息和令牌等敏感内容。检测命中交给人工判断；不要静默删改证据后继续沿用原哈希。链接限制为批准的安全协议；javascript链接、带凭据URL和可执行HTML不得进入页面。Schema校验不能替代内容审核。</w:t>
      </w:r>
    </w:p>
    <w:p>
      <w:r>
        <w:t>数据公开资格须覆盖来源使用权限。采集成功、文件能够访问、或拥有API额度，都不自动等于允许将原始内容公开再分发。</w:t>
      </w:r>
    </w:p>
    <w:p>
      <w:pPr>
        <w:pStyle w:val="Heading1"/>
      </w:pPr>
      <w:r>
        <w:t>四 统一统计口径并补齐边界测试</w:t>
      </w:r>
    </w:p>
    <w:p>
      <w:pPr>
        <w:pStyle w:val="Heading2"/>
      </w:pPr>
      <w:r>
        <w:t>本次复现的接入风险</w:t>
      </w:r>
    </w:p>
    <w:p>
      <w:r>
        <w:t>用现有有效合成样例构造边界输入：SQL只出现在soft_skill_ids，技术技能目录仍把SQL归为technical。当前Schema校验通过，跨记录问题数为0，但网页统计sql的N为0、比率为0。D7共享规则要求任一数组出现均计入，因此该输入应为N=1、比率为1。这个探测不代表线上真实数据已经算错。</w:t>
      </w:r>
    </w:p>
    <w:p>
      <w:r>
        <w:t>修正建议：每个岗位先对technical_skill_ids与soft_skill_ids取并集，按规范skill_id计算一次提及；展示分类再使用共同技能目录。不能靠只检查一个数组或改源数据来规避。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必须覆盖的案例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验收预期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共同统计样例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逐项复验3组固定案例；整数F、D、N精确一致，原始比率按约定精度比较。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跨数组及重复技能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同岗位同技能最多计1次；仅出现在任一数组时仍正确计入。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缺描述与零分母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不可分析岗位不进入N或D；D=0返回null，不能显示为0%。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筛选与统计范围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维度内OR、跨维AND；日期边界含当天；未知日期不匹配生效日期条件；待复核与范围外岗位排除。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真实交付包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同一包、同一筛选条件与Python参考实现逐项比对，不能复用演示包F22/D18作为预期。</w:t>
            </w:r>
          </w:p>
        </w:tc>
      </w:tr>
    </w:tbl>
    <w:p>
      <w:pPr>
        <w:spacing w:after="0"/>
      </w:pPr>
    </w:p>
    <w:p>
      <w:r>
        <w:t>manifest.sample_count是输入岗位总量，不等于正式统计F。D7记录的419条岗位和历史可分析描述数量，也不是未来包的固定验收答案。新增、移除或分类变化需有差异报告及原因，不能为凑数量修改统计。</w:t>
      </w:r>
    </w:p>
    <w:p>
      <w:pPr>
        <w:pStyle w:val="Heading2"/>
      </w:pPr>
      <w:r>
        <w:t>日期与课程证据</w:t>
      </w:r>
    </w:p>
    <w:p>
      <w:r>
        <w:t>活动按start/end/deadline各自精度处理：date保留日历日，datetime保留精确时刻及原始时区，unknown不制造时间。覆盖Toronto夏令时切换、仅日期截止当日、多日活动和报名早于活动结束的场景。每次发布重新判定过期，不复用旧结论。</w:t>
      </w:r>
    </w:p>
    <w:p>
      <w:r>
        <w:t>课程保留官方来源、原始verified_at及映射证据；核实日期不等于采集日期，更不等于当前开课、名额或个人资格。课程映射继续只产生候选，不自动写入用户已确认技能。</w:t>
      </w:r>
    </w:p>
    <w:p>
      <w:pPr>
        <w:pStyle w:val="Heading1"/>
      </w:pPr>
      <w:r>
        <w:t>五 网站实现改动与故障处理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6552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建议改动位置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要完成的工作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src/data/types.ts及合同目录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按批准版本同步类型、Schema、来源与哈希；新增组织依赖，不改写上游约束。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src/data/validation.ts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将交付检查用于构建和浏览器加载；补齐组织引用、审核、时间及内容边界；保留整包拒收。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src/data/sources.ts及加载Hook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新增共享版本上下文；市场、比较、课程与个人技能目录消费同一版本，移除分散硬编码数据入口。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features/market/stats.ts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按两类技能数组并集计数；与固定版本Python参考结果作自动对照。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deployment/public-files.json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仅纳入批准的版本路径、公开包和必要摘要；不能为方便接入而改成任意文件通配。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scripts及发布工作流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实现下载与校验、版本锁定、差异报告、预算检查及回退；继续执行Worker安全头和产物检查。</w:t>
            </w:r>
          </w:p>
        </w:tc>
      </w:tr>
    </w:tbl>
    <w:p>
      <w:pPr>
        <w:spacing w:after="0"/>
      </w:pPr>
    </w:p>
    <w:p>
      <w:pPr>
        <w:pStyle w:val="Heading2"/>
      </w:pPr>
      <w:r>
        <w:t>分开管理数据状态与账户状态</w:t>
      </w:r>
    </w:p>
    <w:p>
      <w:r>
        <w:t>数据模式建议采用demo、integration、published三种明确状态，放在受版本控制的发布配置中。现有环境变量只允许两项公开Supabase值，不应绕过白名单新增任意VITE变量。接入真实公开数据不要求开启账户服务，也不向公共包写入个人资料。</w:t>
      </w:r>
    </w:p>
    <w:p>
      <w:r>
        <w:t>接入发布后，合成fixture仍标SYNTHETIC；真实快照显示版本、原始采集区间和更新时间，不宣称实时或完整覆盖市场。不能只把全站SYNTHETIC文案删除而不校验实际数据模式。</w:t>
      </w:r>
    </w:p>
    <w:p>
      <w:pPr>
        <w:pStyle w:val="Heading2"/>
      </w:pPr>
      <w:r>
        <w:t>异常时保留明确可解释的状态</w:t>
      </w:r>
    </w:p>
    <w:p>
      <w:r>
        <w:t>构建失败时不生成可发布版本，不替换现有站点。访客加载失败时显示错误与重试；若显示已验收旧快照，必须标出旧版本、时间和状态。校验失败不能悄悄替换成演示数据或把空白解释成“市场没有岗位”。</w:t>
      </w:r>
    </w:p>
    <w:p>
      <w:r>
        <w:t>页面与数据包按同一个部署版本整体发布，带版本和哈希的资源路径不被原地覆盖。新加载请求返回时核对当前数据版本，旧请求不能覆盖新选择。筛选URL要能识别失效ID，清除或提示时说明原因，不静默选到另一个方向。</w:t>
      </w:r>
    </w:p>
    <w:p>
      <w:r>
        <w:t>公共目录更新不得自动删除或重写用户已完成课程、经历及确认技能。旧课程或技能ID保留并提示来源不可用；确需改ID，另做经核对的映射及增量迁移，保留回退证据，禁止数据库重置。</w:t>
      </w:r>
    </w:p>
    <w:p>
      <w:pPr>
        <w:pStyle w:val="Heading1"/>
      </w:pPr>
      <w:r>
        <w:t>六 分阶段执行与上线放行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5976"/>
        <w:gridCol w:w="2736"/>
      </w:tblGrid>
      <w:tr>
        <w:trPr>
          <w:cantSplit/>
          <w:tblHeader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执行内容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3B53"/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1"/>
              </w:rPr>
              <w:t>放行证据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 准备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双方冻结正式合同与交付来源；网站建立独立接入分支，修复统计边界。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版本锁定、字段差异与代码测试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2 内部联调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按固定D7提交验证候选包；只在授权的私有预览环境测试，不进入公开仓库或公开站点。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Schema、引用、隐私和参考统计报告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3 正式交付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Seraphina准备complete数据并完成发布校验、角色分类、课程证据及活动日期的人工确认。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6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实际字节哈希、匹配的确认记录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4 公网切换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网站所有者审核差异，构建并保存新站点版本；切换后进行匿名实际访问和回退演练。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公网验收及回退恢复记录</w:t>
            </w:r>
          </w:p>
        </w:tc>
      </w:tr>
    </w:tbl>
    <w:p>
      <w:pPr>
        <w:spacing w:after="0"/>
      </w:pPr>
    </w:p>
    <w:p>
      <w:r>
        <w:t>分工建议：Seraphina负责数据来源、采集完整性、分类与证据及导出；网站侧负责消费者兼容、隐私边界、统计对照、页面与部署；双方共同确认正式版本和公开资格。此分工是方案建议，不代表对方已承诺执行。</w:t>
      </w:r>
    </w:p>
    <w:p>
      <w:pPr>
        <w:pStyle w:val="Heading2"/>
      </w:pPr>
      <w:r>
        <w:t>公开切换前必须全部满足</w:t>
      </w:r>
    </w:p>
    <w:p>
      <w:pPr>
        <w:pStyle w:val="ListBullet"/>
      </w:pPr>
      <w:r>
        <w:t>正式包版本、合同提交和全部必要文件哈希固定；不存在未解决的破坏性字段变化。</w:t>
      </w:r>
    </w:p>
    <w:p>
      <w:pPr>
        <w:pStyle w:val="ListBullet"/>
      </w:pPr>
      <w:r>
        <w:t>发布校验通过，complete状态、真实人工确认、过期复核及来源可公开条件均有证据。</w:t>
      </w:r>
    </w:p>
    <w:p>
      <w:pPr>
        <w:pStyle w:val="ListBullet"/>
      </w:pPr>
      <w:r>
        <w:t>结构、跨记录、内容隐私和参考统计差异为零；不把缺失信息补成已核实。</w:t>
      </w:r>
    </w:p>
    <w:p>
      <w:pPr>
        <w:pStyle w:val="ListBullet"/>
      </w:pPr>
      <w:r>
        <w:t>真实包在中英文、390px、键盘、筛选、空结果、损坏包和断网场景均完成验收。</w:t>
      </w:r>
    </w:p>
    <w:p>
      <w:pPr>
        <w:pStyle w:val="ListBullet"/>
      </w:pPr>
      <w:r>
        <w:t>量测JSON、最终Worker压缩体积、解析内存和移动端加载耗时；按事前固定的预算验收，超限停止发布并调整承载方式。</w:t>
      </w:r>
    </w:p>
    <w:p>
      <w:pPr>
        <w:pStyle w:val="ListBullet"/>
      </w:pPr>
      <w:r>
        <w:t>匿名公网文件哈希匹配，安全响应头生效；密钥、源码、迁移、个人记录和内部确认记录路径不可访问。</w:t>
      </w:r>
    </w:p>
    <w:p>
      <w:pPr>
        <w:pStyle w:val="ListBullet"/>
      </w:pPr>
      <w:r>
        <w:t>新旧版本可整体切换，回退后页面、Schema、数据及公开元数据一致；不回滚或重置用户数据库。</w:t>
      </w:r>
    </w:p>
    <w:p>
      <w:r>
        <w:t>首版采用受控人工发布，自动化先只负责生成候选和检查报告。账户Auth/RLS与认证后的A3流程，待启用账户时另行验收；数据接入成功不等于完整生产验收或A4至A8完成。</w:t>
      </w:r>
    </w:p>
    <w:p>
      <w:pPr>
        <w:pStyle w:val="Heading2"/>
      </w:pPr>
      <w:r>
        <w:t>核对依据</w:t>
      </w:r>
    </w:p>
    <w:p>
      <w:pPr>
        <w:spacing w:after="60"/>
      </w:pPr>
      <w:hyperlink r:id="rId9">
        <w:r>
          <w:rPr>
            <w:color w:val="1F3B53"/>
          </w:rPr>
          <w:t>上游 D7 候选 PR 8 及其当前状态</w:t>
        </w:r>
      </w:hyperlink>
    </w:p>
    <w:p>
      <w:pPr>
        <w:spacing w:after="60"/>
      </w:pPr>
      <w:hyperlink r:id="rId10">
        <w:r>
          <w:rPr>
            <w:color w:val="1F3B53"/>
          </w:rPr>
          <w:t>固定 D7 提交的数据交付 发布门槛与审核来源约定</w:t>
        </w:r>
      </w:hyperlink>
    </w:p>
    <w:p>
      <w:pPr>
        <w:spacing w:after="60"/>
      </w:pPr>
      <w:hyperlink r:id="rId11">
        <w:r>
          <w:rPr>
            <w:color w:val="1F3B53"/>
          </w:rPr>
          <w:t>固定 D7 提交的合同与统计规则</w:t>
        </w:r>
      </w:hyperlink>
    </w:p>
    <w:p>
      <w:pPr>
        <w:spacing w:after="60"/>
      </w:pPr>
      <w:hyperlink r:id="rId12">
        <w:r>
          <w:rPr>
            <w:color w:val="1F3B53"/>
          </w:rPr>
          <w:t>网站正式基线的数据协作边界</w:t>
        </w:r>
      </w:hyperlink>
    </w:p>
    <w:sectPr w:rsidR="00FC693F" w:rsidRPr="0006063C" w:rsidSect="00034616">
      <w:footerReference w:type="default" r:id="rId13"/>
      <w:pgSz w:w="12240" w:h="15840"/>
      <w:pgMar w:top="1008" w:right="1080" w:bottom="1008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UTSC 数据对接方案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3" w:lineRule="auto"/>
      <w:contextualSpacing/>
    </w:pPr>
    <w:rPr>
      <w:rFonts w:ascii="Noto Sans CJK SC" w:hAnsi="Noto Sans CJK SC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wangzhuxirou-svg/Canadian-Early-Career-Data-Analytics-Job-Market/pull/8" TargetMode="External"/><Relationship Id="rId10" Type="http://schemas.openxmlformats.org/officeDocument/2006/relationships/hyperlink" Target="https://github.com/wangzhuxirou-svg/Canadian-Early-Career-Data-Analytics-Job-Market/blob/60bcba337faec3f66dce38e2e963dfa93dcb1f22/docs/data_operations.md" TargetMode="External"/><Relationship Id="rId11" Type="http://schemas.openxmlformats.org/officeDocument/2006/relationships/hyperlink" Target="https://github.com/wangzhuxirou-svg/Canadian-Early-Career-Data-Analytics-Job-Market/blob/60bcba337faec3f66dce38e2e963dfa93dcb1f22/contracts/README.md" TargetMode="External"/><Relationship Id="rId12" Type="http://schemas.openxmlformats.org/officeDocument/2006/relationships/hyperlink" Target="https://github.com/glh5835/UTSC/blob/aa04d5ae373d945abf07ae10c7790bbcdcac74b7/docs/data-integration.md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UTSC 网站数据对接与验收方案</dc:title>
  <dc:subject>固定版本数据包接入 版本兼容 发布验收与回退</dc:subject>
  <dc:creator/>
  <cp:keywords>UTSC, Seraphina, 数据对接,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