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9.png" ContentType="image/png"/>
  <Override PartName="/word/media/rId17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4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C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tools. The board, its adapter, its tool frame and the run-out</w:t>
      </w:r>
      <w:r>
        <w:t xml:space="preserve"> </w:t>
      </w:r>
      <w:r>
        <w:t xml:space="preserve">fixture are the stage-1 ones, reused; section 1 lists them, and carries their</w:t>
      </w:r>
      <w:r>
        <w:t xml:space="preserve"> </w:t>
      </w:r>
      <w:r>
        <w:t xml:space="preserve">specification, drawing and suppliers so that they can be made if the stage-1 session</w:t>
      </w:r>
      <w:r>
        <w:t xml:space="preserve"> </w:t>
      </w:r>
      <w:r>
        <w:t xml:space="preserve">has not been run. The spheres and the three-ball nest are not needed here. You do</w:t>
      </w:r>
      <w:r>
        <w:t xml:space="preserve"> </w:t>
      </w:r>
      <w:r>
        <w:t xml:space="preserve">not need to have read the stage-1 procedure; where this document points to it, it is</w:t>
      </w:r>
      <w:r>
        <w:t xml:space="preserve"> </w:t>
      </w:r>
      <w:r>
        <w:t xml:space="preserve">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15" w:name="scope-of-work-and-equipment"/>
    <w:p>
      <w:pPr>
        <w:pStyle w:val="Heading2"/>
      </w:pPr>
      <w:r>
        <w:t xml:space="preserve">1. Scope of work and equipment</w:t>
      </w:r>
    </w:p>
    <w:p>
      <w:pPr>
        <w:pStyle w:val="FirstParagraph"/>
      </w:pPr>
      <w:r>
        <w:t xml:space="preserve">This section is the complete list of what must exist before the first session: what</w:t>
      </w:r>
      <w:r>
        <w:t xml:space="preserve"> </w:t>
      </w:r>
      <w:r>
        <w:t xml:space="preserve">is already in hand, what must be built, what must be bought, and what must be</w:t>
      </w:r>
      <w:r>
        <w:t xml:space="preserve"> </w:t>
      </w:r>
      <w:r>
        <w:t xml:space="preserve">prepared. Nothing outside this list is needed. The board, its adapter and the run-out</w:t>
      </w:r>
      <w:r>
        <w:t xml:space="preserve"> </w:t>
      </w:r>
      <w:r>
        <w:t xml:space="preserve">fixture come from the stage-1 session; 1b to 1e say what they are, so that they can</w:t>
      </w:r>
      <w:r>
        <w:t xml:space="preserve"> </w:t>
      </w:r>
      <w:r>
        <w:t xml:space="preserve">be made for this procedure alone if stage 1 has not been run. Appendix D holds the</w:t>
      </w:r>
      <w:r>
        <w:t xml:space="preserve"> </w:t>
      </w:r>
      <w:r>
        <w:t xml:space="preserve">shop drawing; appendix A lists suppliers.</w:t>
      </w:r>
    </w:p>
    <w:bookmarkStart w:id="9" w:name="a.-already-in-hand"/>
    <w:p>
      <w:pPr>
        <w:pStyle w:val="Heading3"/>
      </w:pPr>
      <w:r>
        <w:t xml:space="preserve">1a. Already in hand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registered: the same depth sensor as in stage 1, with the same processing settings (1f)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 with an ISO 9409-1-50-4-M6 tool flange; its documented absolute positioning accuracy must be 0.1 mm or better over the working volume (check the maker’s specification sheet; repeatability alone is not enough)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 and software</w:t>
            </w:r>
          </w:p>
        </w:tc>
        <w:tc>
          <w:tcPr/>
          <w:p>
            <w:pPr>
              <w:pStyle w:val="Compact"/>
            </w:pPr>
            <w:r>
              <w:t xml:space="preserve">Runs the sensor’s capture and communication software, which accepts the capture trigger from the robot program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capture, named by pose id (section 2); at least 10 GB free per 1,000 frames, about 25 GB for the default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computer</w:t>
            </w:r>
          </w:p>
        </w:tc>
        <w:tc>
          <w:tcPr/>
          <w:p>
            <w:pPr>
              <w:pStyle w:val="Compact"/>
            </w:pPr>
            <w:r>
              <w:t xml:space="preserve">Any computer with Python 3.10 or later and the two software packages installed, their self-test passed (appendix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From stage 1: 200 x 150 mm plate, at least 6 mm thick, matte light-gray front face flat to 0.05 mm; specification in 1d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From stage 1: plate on the ISO flange with three support pads, three edge pins and three clamp fingers, holding the board square to the flange axis and centered on it; drawing SC1-05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From stage 1: dial indicator on a magnetic base on a steel plate bolted to the cell table; section 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sensor mount</w:t>
            </w:r>
          </w:p>
        </w:tc>
        <w:tc>
          <w:tcPr/>
          <w:p>
            <w:pPr>
              <w:pStyle w:val="Compact"/>
            </w:pPr>
            <w:r>
              <w:t xml:space="preserve">From stage 1, built from the existing drawing from previous work: a stiff bracket, not a tripod, with the sensor’s position marked so a bump is noticed</w:t>
            </w:r>
          </w:p>
        </w:tc>
      </w:tr>
    </w:tbl>
    <w:bookmarkEnd w:id="9"/>
    <w:bookmarkStart w:id="10" w:name="b.-what-must-be-built"/>
    <w:p>
      <w:pPr>
        <w:pStyle w:val="Heading3"/>
      </w:pPr>
      <w:r>
        <w:t xml:space="preserve">1b. What must be built</w:t>
      </w:r>
    </w:p>
    <w:p>
      <w:pPr>
        <w:pStyle w:val="FirstParagraph"/>
      </w:pPr>
      <w:r>
        <w:t xml:space="preserve">Nothing, if the stage-1 session has been run: the three items below exist. Otherwise</w:t>
      </w:r>
      <w:r>
        <w:t xml:space="preserve"> </w:t>
      </w:r>
      <w:r>
        <w:t xml:space="preserve">they are built as in the stage-1 procedure, to the same drawing and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 (outline)</w:t>
            </w:r>
          </w:p>
        </w:tc>
        <w:tc>
          <w:tcPr/>
          <w:p>
            <w:pPr>
              <w:pStyle w:val="Compact"/>
            </w:pPr>
            <w:r>
              <w:t xml:space="preserve">$50 to $400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$250 to $600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none needed</w:t>
            </w:r>
          </w:p>
        </w:tc>
        <w:tc>
          <w:tcPr/>
          <w:p>
            <w:pPr>
              <w:pStyle w:val="Compact"/>
            </w:pPr>
            <w:r>
              <w:t xml:space="preserve">$240 to $570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rigid sensor mount is built from the existing drawing from previous work and is</w:t>
      </w:r>
      <w:r>
        <w:t xml:space="preserve"> </w:t>
      </w:r>
      <w:r>
        <w:t xml:space="preserve">not estimated here.</w:t>
      </w:r>
    </w:p>
    <w:bookmarkEnd w:id="10"/>
    <w:bookmarkStart w:id="11" w:name="c.-what-must-be-bought"/>
    <w:p>
      <w:pPr>
        <w:pStyle w:val="Heading3"/>
      </w:pPr>
      <w:r>
        <w:t xml:space="preserve">1c. What must be bought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Calipers with depth rod, 150 mm</w:t>
            </w:r>
          </w:p>
        </w:tc>
        <w:tc>
          <w:tcPr/>
          <w:p>
            <w:pPr>
              <w:pStyle w:val="Compact"/>
            </w:pPr>
            <w:r>
              <w:t xml:space="preserve">Board distance D; board size</w:t>
            </w:r>
          </w:p>
        </w:tc>
        <w:tc>
          <w:tcPr/>
          <w:p>
            <w:pPr>
              <w:pStyle w:val="Compact"/>
            </w:pPr>
            <w:r>
              <w:t xml:space="preserve">$30 to $150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straightedge, 300 mm, and feeler gauges</w:t>
            </w:r>
          </w:p>
        </w:tc>
        <w:tc>
          <w:tcPr/>
          <w:p>
            <w:pPr>
              <w:pStyle w:val="Compact"/>
            </w:pPr>
            <w:r>
              <w:t xml:space="preserve">Board flatness after painting and mounting</w:t>
            </w:r>
          </w:p>
        </w:tc>
        <w:tc>
          <w:tcPr/>
          <w:p>
            <w:pPr>
              <w:pStyle w:val="Compact"/>
            </w:pPr>
            <w:r>
              <w:t xml:space="preserve">$75 to $240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Thermometer</w:t>
            </w:r>
          </w:p>
        </w:tc>
        <w:tc>
          <w:tcPr/>
          <w:p>
            <w:pPr>
              <w:pStyle w:val="Compact"/>
            </w:pPr>
            <w:r>
              <w:t xml:space="preserve">Room temperature in the session notes</w:t>
            </w:r>
          </w:p>
        </w:tc>
        <w:tc>
          <w:tcPr/>
          <w:p>
            <w:pPr>
              <w:pStyle w:val="Compact"/>
            </w:pPr>
            <w:r>
              <w:t xml:space="preserve">$15 to $40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Machinist’s square</w:t>
            </w:r>
          </w:p>
        </w:tc>
        <w:tc>
          <w:tcPr/>
          <w:p>
            <w:pPr>
              <w:pStyle w:val="Compact"/>
            </w:pPr>
            <w:r>
              <w:t xml:space="preserve">Board x axis against the adapter when the tool frame is set</w:t>
            </w:r>
          </w:p>
        </w:tc>
        <w:tc>
          <w:tcPr/>
          <w:p>
            <w:pPr>
              <w:pStyle w:val="Compact"/>
            </w:pPr>
            <w:r>
              <w:t xml:space="preserve">$30 to $80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Consumables</w:t>
            </w:r>
          </w:p>
        </w:tc>
        <w:tc>
          <w:tcPr/>
          <w:p>
            <w:pPr>
              <w:pStyle w:val="Compact"/>
            </w:pPr>
            <w:r>
              <w:t xml:space="preserve">Isopropyl alcohol and wipes, shim stock for the adapter</w:t>
            </w:r>
          </w:p>
        </w:tc>
        <w:tc>
          <w:tcPr/>
          <w:p>
            <w:pPr>
              <w:pStyle w:val="Compact"/>
            </w:pPr>
            <w:r>
              <w:t xml:space="preserve">$20 to $60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camera</w:t>
            </w:r>
          </w:p>
        </w:tc>
        <w:tc>
          <w:tcPr/>
          <w:p>
            <w:pPr>
              <w:pStyle w:val="Compact"/>
            </w:pPr>
            <w:r>
              <w:t xml:space="preserve">Setup photos for the deliverables (section 9)</w:t>
            </w:r>
          </w:p>
        </w:tc>
        <w:tc>
          <w:tcPr/>
          <w:p>
            <w:pPr>
              <w:pStyle w:val="Compact"/>
            </w:pPr>
            <w:r>
              <w:t xml:space="preserve">in hand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Cost estimates (October 2026): if the stage-1 session has been run, everything above is in hand and the new spending is $20 to $60 for consumables. Built from nothing, the items come to $540 to $1,570 to build and $170 to $570 to buy, $710 to $2,140 in all. The figures are the stage-1 procedure’s, from suppliers’ list prices where these exist (appendix A) and otherwise from typical United States job-shop rates of about $80 to $150 per hour. Treat them as plus or minus 50 percent and get quotes; the board adapter is the least certain figure.</w:t>
      </w:r>
    </w:p>
    <w:bookmarkEnd w:id="11"/>
    <w:bookmarkStart w:id="12" w:name="X019e8fbd185fb056ebd01e57421e0fb1812dcb4"/>
    <w:p>
      <w:pPr>
        <w:pStyle w:val="Heading3"/>
      </w:pPr>
      <w:r>
        <w:t xml:space="preserve">1d. Purchase specification for the flat 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Flat plate (board)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200 x 150 mm, at least 6 mm thick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(for example MIC-6, finish-ground) or float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Flatness</w:t>
            </w:r>
          </w:p>
        </w:tc>
        <w:tc>
          <w:tcPr/>
          <w:p>
            <w:pPr>
              <w:pStyle w:val="Compact"/>
            </w:pPr>
            <w:r>
              <w:t xml:space="preserve">0.05 mm over the front face, checked with the straightedge and a 0.05 mm feeler leaf after painting and after mounting on the board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face</w:t>
            </w:r>
          </w:p>
        </w:tc>
        <w:tc>
          <w:tcPr/>
          <w:p>
            <w:pPr>
              <w:pStyle w:val="Compact"/>
            </w:pPr>
            <w:r>
              <w:t xml:space="preserve">Matte light-gray paint, thin and even; do not bead-blast a plate thinner than about 10 mm, since peening one face bows it. Thickness is not a stiffness matter (a 6 mm plate sags about 0.002 mm under its own weight); it only has to survive the finish and the mounting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Square and clean on the bottom long edge and the left short edge, which rest against the board adapter’s edge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Supplier’s flatness report, kept with the session notes</w:t>
            </w:r>
          </w:p>
        </w:tc>
      </w:tr>
    </w:tbl>
    <w:bookmarkEnd w:id="12"/>
    <w:bookmarkStart w:id="13" w:name="X26fbebb3a0176b944eeefc2cd1106ade37b86a0"/>
    <w:p>
      <w:pPr>
        <w:pStyle w:val="Heading3"/>
      </w:pPr>
      <w:r>
        <w:t xml:space="preserve">1e. Run-out fixture: dial indicator and its mounting</w:t>
      </w:r>
    </w:p>
    <w:p>
      <w:pPr>
        <w:pStyle w:val="FirstParagraph"/>
      </w:pPr>
      <w:r>
        <w:t xml:space="preserve">The run-out check of section 3 needs the dial indicator held still while the robot</w:t>
      </w:r>
      <w:r>
        <w:t xml:space="preserve"> </w:t>
      </w:r>
      <w:r>
        <w:t xml:space="preserve">turns the board (figure 1). Use a dial indicator with 0.01 mm graduation and about</w:t>
      </w:r>
      <w:r>
        <w:t xml:space="preserve"> </w:t>
      </w:r>
      <w:r>
        <w:t xml:space="preserve">10 mm travel (for example Mitutoyo 2046 series, about $50 to $150) on an articulating</w:t>
      </w:r>
      <w:r>
        <w:t xml:space="preserve"> </w:t>
      </w:r>
      <w:r>
        <w:t xml:space="preserve">magnetic base with fine adjustment (for example Noga MG71003 or DG-61003, about $140</w:t>
      </w:r>
      <w:r>
        <w:t xml:space="preserve"> </w:t>
      </w:r>
      <w:r>
        <w:t xml:space="preserve">to $320). Stand the magnetic base on a steel base plate about 150 x 100 x 12 mm bolted</w:t>
      </w:r>
      <w:r>
        <w:t xml:space="preserve"> </w:t>
      </w:r>
      <w:r>
        <w:t xml:space="preserve">to the cell table with two M8 screws, so the base holds on a non-magnetic table and</w:t>
      </w:r>
      <w:r>
        <w:t xml:space="preserve"> </w:t>
      </w:r>
      <w:r>
        <w:t xml:space="preserve">does not creep. Place the plate where the indicator tip reaches the board’s front</w:t>
      </w:r>
      <w:r>
        <w:t xml:space="preserve"> </w:t>
      </w:r>
      <w:r>
        <w:t xml:space="preserve">face about 20 mm from an edge with the robot in its run-out pose. McMaster-Carr and</w:t>
      </w:r>
      <w:r>
        <w:t xml:space="preserve"> </w:t>
      </w:r>
      <w:r>
        <w:t xml:space="preserve">the usual tool suppliers stock all three items. The stage-1 fixture serves as it is.</w:t>
      </w:r>
    </w:p>
    <w:bookmarkEnd w:id="13"/>
    <w:bookmarkStart w:id="14" w:name="f.-preparation-before-the-first-session"/>
    <w:p>
      <w:pPr>
        <w:pStyle w:val="Heading3"/>
      </w:pPr>
      <w:r>
        <w:t xml:space="preserve">1f. Preparation before the first session</w:t>
      </w:r>
    </w:p>
    <w:p>
      <w:pPr>
        <w:pStyle w:val="FirstParagraph"/>
      </w:pPr>
      <w:r>
        <w:t xml:space="preserve">Robot:</w:t>
      </w:r>
    </w:p>
    <w:p>
      <w:pPr>
        <w:pStyle w:val="Compact"/>
        <w:numPr>
          <w:ilvl w:val="0"/>
          <w:numId w:val="1001"/>
        </w:numPr>
      </w:pPr>
      <w:r>
        <w:t xml:space="preserve">Check the robot’s documented absolute-accuracy specification: 0.1 mm or better</w:t>
      </w:r>
      <w:r>
        <w:t xml:space="preserve"> </w:t>
      </w:r>
      <w:r>
        <w:t xml:space="preserve">over the working volume.</w:t>
      </w:r>
    </w:p>
    <w:p>
      <w:pPr>
        <w:pStyle w:val="Compact"/>
        <w:numPr>
          <w:ilvl w:val="0"/>
          <w:numId w:val="1001"/>
        </w:numPr>
      </w:pPr>
      <w:r>
        <w:t xml:space="preserve">Weigh the board with its adapter and enter its tool load data (mass and center of</w:t>
      </w:r>
      <w:r>
        <w:t xml:space="preserve"> </w:t>
      </w:r>
      <w:r>
        <w:t xml:space="preserve">gravity) in the controller; wrong load data shifts every pose.</w:t>
      </w:r>
    </w:p>
    <w:p>
      <w:pPr>
        <w:pStyle w:val="Compact"/>
        <w:numPr>
          <w:ilvl w:val="0"/>
          <w:numId w:val="1001"/>
        </w:numPr>
      </w:pPr>
      <w:r>
        <w:t xml:space="preserve">Write the robot program to the interface of sections 6 and 7: it reads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, drives each pose in the way its sub-procedure requires, triggers</w:t>
      </w:r>
      <w:r>
        <w:t xml:space="preserve"> </w:t>
      </w:r>
      <w:r>
        <w:t xml:space="preserve">the captures through the capture computer’s communication software, and writes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. Note where the program writes the pose logs</w:t>
      </w:r>
      <w:r>
        <w:t xml:space="preserve"> </w:t>
      </w:r>
      <w:r>
        <w:t xml:space="preserve">(controller storage or a network location) so they can be collected after the</w:t>
      </w:r>
      <w:r>
        <w:t xml:space="preserve"> </w:t>
      </w:r>
      <w:r>
        <w:t xml:space="preserve">session. Once the robot model and controller are settled, the program can be</w:t>
      </w:r>
      <w:r>
        <w:t xml:space="preserve"> </w:t>
      </w:r>
      <w:r>
        <w:t xml:space="preserve">written with Claude Code.</w:t>
      </w:r>
    </w:p>
    <w:p>
      <w:pPr>
        <w:pStyle w:val="Compact"/>
        <w:numPr>
          <w:ilvl w:val="0"/>
          <w:numId w:val="1001"/>
        </w:numPr>
      </w:pPr>
      <w:r>
        <w:t xml:space="preserve">Dry-run every planned pose at reduced speed, without capturing, in both</w:t>
      </w:r>
      <w:r>
        <w:t xml:space="preserve"> </w:t>
      </w:r>
      <w:r>
        <w:t xml:space="preserve">sub-procedures: the straight moves of A and the approach-then-final moves of B. Each</w:t>
      </w:r>
      <w:r>
        <w:t xml:space="preserve"> </w:t>
      </w:r>
      <w:r>
        <w:t xml:space="preserve">pose must be reachable and must clear the sensor, its mount and its cables.</w:t>
      </w:r>
    </w:p>
    <w:p>
      <w:pPr>
        <w:pStyle w:val="Compact"/>
        <w:numPr>
          <w:ilvl w:val="0"/>
          <w:numId w:val="1001"/>
        </w:numPr>
      </w:pPr>
      <w:r>
        <w:t xml:space="preserve">Review the new program under the cell’s safety rules.</w:t>
      </w:r>
    </w:p>
    <w:p>
      <w:pPr>
        <w:pStyle w:val="FirstParagraph"/>
      </w:pPr>
      <w:r>
        <w:t xml:space="preserve">Sensor and computers:</w:t>
      </w:r>
    </w:p>
    <w:p>
      <w:pPr>
        <w:pStyle w:val="Compact"/>
        <w:numPr>
          <w:ilvl w:val="0"/>
          <w:numId w:val="1002"/>
        </w:numPr>
      </w:pPr>
      <w:r>
        <w:t xml:space="preserve">Set up the capture software for the robot’s trigger and the</w:t>
      </w:r>
      <w:r>
        <w:t xml:space="preserve"> </w:t>
      </w:r>
      <w:r>
        <w:rPr>
          <w:rStyle w:val="VerbatimChar"/>
        </w:rPr>
        <w:t xml:space="preserve">&lt;pose_id&gt;_Index&lt;nn&gt;</w:t>
      </w:r>
      <w:r>
        <w:t xml:space="preserve"> </w:t>
      </w:r>
      <w:r>
        <w:t xml:space="preserve">file names (section 2); writing the robot pose into the file header is optional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2"/>
        </w:numPr>
      </w:pPr>
      <w:r>
        <w:t xml:space="preserve">Choose and record the production exposure and gain, and the SGM (semi-global</w:t>
      </w:r>
      <w:r>
        <w:t xml:space="preserve"> </w:t>
      </w:r>
      <w:r>
        <w:t xml:space="preserve">matching) parameters: all smoothing filters off, and the patch size the same as in</w:t>
      </w:r>
      <w:r>
        <w:t xml:space="preserve"> </w:t>
      </w:r>
      <w:r>
        <w:t xml:space="preserve">installations. These are the stage-1 settings.</w:t>
      </w:r>
    </w:p>
    <w:p>
      <w:pPr>
        <w:pStyle w:val="Compact"/>
        <w:numPr>
          <w:ilvl w:val="0"/>
          <w:numId w:val="1002"/>
        </w:numPr>
      </w:pPr>
      <w:r>
        <w:t xml:space="preserve">Free at least 25 GB on the capture computer: the default plan is about 2,350</w:t>
      </w:r>
      <w:r>
        <w:t xml:space="preserve"> </w:t>
      </w:r>
      <w:r>
        <w:t xml:space="preserve">frames, at 10 GB per 1,000 frames.</w:t>
      </w:r>
    </w:p>
    <w:p>
      <w:pPr>
        <w:pStyle w:val="Compact"/>
        <w:numPr>
          <w:ilvl w:val="0"/>
          <w:numId w:val="1002"/>
        </w:numPr>
      </w:pPr>
      <w:r>
        <w:t xml:space="preserve">Install the two software packages on the analysis computer and pass the self-test</w:t>
      </w:r>
      <w:r>
        <w:t xml:space="preserve"> </w:t>
      </w:r>
      <w:r>
        <w:t xml:space="preserve">(appendix C).</w:t>
      </w:r>
    </w:p>
    <w:p>
      <w:pPr>
        <w:pStyle w:val="FirstParagraph"/>
      </w:pPr>
      <w:r>
        <w:t xml:space="preserve">Cell:</w:t>
      </w:r>
    </w:p>
    <w:p>
      <w:pPr>
        <w:pStyle w:val="Compact"/>
        <w:numPr>
          <w:ilvl w:val="0"/>
          <w:numId w:val="1003"/>
        </w:numPr>
      </w:pPr>
      <w:r>
        <w:t xml:space="preserve">Layout study: place the sensor so that board centers at 550 to 950 mm from it, over</w:t>
      </w:r>
      <w:r>
        <w:t xml:space="preserve"> </w:t>
      </w:r>
      <w:r>
        <w:t xml:space="preserve">half of its field of view and tilted up to 30 degrees in four directions (section</w:t>
      </w:r>
      <w:r>
        <w:t xml:space="preserve"> </w:t>
      </w:r>
      <w:r>
        <w:t xml:space="preserve">5), lie inside the robot’s reach, and so that the 40 mm approach retreat of</w:t>
      </w:r>
      <w:r>
        <w:t xml:space="preserve"> </w:t>
      </w:r>
      <w:r>
        <w:t xml:space="preserve">sub-procedure B stays clear of the sensor; do this before the sensor mount is</w:t>
      </w:r>
      <w:r>
        <w:t xml:space="preserve"> </w:t>
      </w:r>
      <w:r>
        <w:t xml:space="preserve">fixed.</w:t>
      </w:r>
    </w:p>
    <w:p>
      <w:pPr>
        <w:pStyle w:val="Compact"/>
        <w:numPr>
          <w:ilvl w:val="0"/>
          <w:numId w:val="1003"/>
        </w:numPr>
      </w:pPr>
      <w:r>
        <w:t xml:space="preserve">Bolt the run-out base plate to the cell table (two M8) where section 1e says.</w:t>
      </w:r>
    </w:p>
    <w:p>
      <w:pPr>
        <w:pStyle w:val="Compact"/>
        <w:numPr>
          <w:ilvl w:val="0"/>
          <w:numId w:val="1003"/>
        </w:numPr>
      </w:pPr>
      <w:r>
        <w:t xml:space="preserve">Identify and record the robot base frame used for the session.</w:t>
      </w:r>
    </w:p>
    <w:p>
      <w:pPr>
        <w:pStyle w:val="FirstParagraph"/>
      </w:pPr>
      <w:r>
        <w:t xml:space="preserve">Appendix B lists the software tools used in sections 4 to 8 and their options;</w:t>
      </w:r>
      <w:r>
        <w:t xml:space="preserve"> </w:t>
      </w:r>
      <w:r>
        <w:t xml:space="preserve">appendix C says how to install them.</w:t>
      </w:r>
    </w:p>
    <w:bookmarkEnd w:id="14"/>
    <w:bookmarkEnd w:id="15"/>
    <w:bookmarkStart w:id="16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production,</w:t>
      </w:r>
      <w:r>
        <w:t xml:space="preserve"> </w:t>
      </w:r>
      <w:r>
        <w:t xml:space="preserve">and set the SGM (semi-global matching) parameters as in stage 1: all smoothing filters</w:t>
      </w:r>
      <w:r>
        <w:t xml:space="preserve"> </w:t>
      </w:r>
      <w:r>
        <w:t xml:space="preserve">off, and the patch size the same as in installations. Write them down. Do not use</w:t>
      </w:r>
      <w:r>
        <w:t xml:space="preserve"> </w:t>
      </w:r>
      <w:r>
        <w:t xml:space="preserve">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exposure, gain and SGM parameters, robot model and controller software</w:t>
      </w:r>
      <w:r>
        <w:t xml:space="preserve"> </w:t>
      </w:r>
      <w:r>
        <w:t xml:space="preserve">version, the active base frame name, where the robot program writes the pose logs,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Before the first command of section 4, do appendix C once on the</w:t>
      </w:r>
      <w:r>
        <w:t xml:space="preserve"> </w:t>
      </w:r>
      <w:r>
        <w:t xml:space="preserve">computer that will run the tools: install the two packages and run the self-test.</w:t>
      </w:r>
      <w:r>
        <w:t xml:space="preserve"> </w:t>
      </w:r>
      <w:r>
        <w:t xml:space="preserve">Every command in this document is then typed in a terminal opened in the session</w:t>
      </w:r>
      <w:r>
        <w:t xml:space="preserve"> </w:t>
      </w:r>
      <w:r>
        <w:t xml:space="preserve">folder, with the environment of appendix C.4 active (the prompt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). The table below is the whole of what gets run, in order; each row points</w:t>
      </w:r>
      <w:r>
        <w:t xml:space="preserve"> </w:t>
      </w:r>
      <w:r>
        <w:t xml:space="preserve">to the section that gives the full command and explains its output. Any row can be</w:t>
      </w:r>
      <w:r>
        <w:t xml:space="preserve"> </w:t>
      </w:r>
      <w:r>
        <w:t xml:space="preserve">run by the engineer instead, if you send the files it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Once, before section 4</w:t>
            </w:r>
          </w:p>
        </w:tc>
        <w:tc>
          <w:tcPr/>
          <w:p>
            <w:pPr>
              <w:pStyle w:val="Compact"/>
            </w:pPr>
            <w:r>
              <w:t xml:space="preserve">install and self-test</w:t>
            </w:r>
          </w:p>
        </w:tc>
        <w:tc>
          <w:tcPr/>
          <w:p>
            <w:pPr>
              <w:pStyle w:val="Compact"/>
            </w:pPr>
            <w:r>
              <w:t xml:space="preserve">the two repositories</w:t>
            </w:r>
          </w:p>
        </w:tc>
        <w:tc>
          <w:tcPr/>
          <w:p>
            <w:pPr>
              <w:pStyle w:val="Compact"/>
            </w:pPr>
            <w:r>
              <w:t xml:space="preserve">the environment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  <w:tc>
          <w:tcPr/>
          <w:p>
            <w:pPr>
              <w:pStyle w:val="Compact"/>
            </w:pPr>
            <w:r>
              <w:t xml:space="preserve">appendix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six boot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boot_pose_log.csv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 </w:t>
            </w:r>
            <w:r>
              <w:t xml:space="preserve">(rough sensor position)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programming the robot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planereg.capture.plan_poses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, one boot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plan/poses.csv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plan_summary.txt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each sub-procedure (A, then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pose_log_A.csv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captures_A/</w:t>
            </w:r>
            <w:r>
              <w:t xml:space="preserve"> </w:t>
            </w:r>
            <w:r>
              <w:t xml:space="preserve">(same for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captures_A/manifest.csv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that, board still mounted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planereg.capture.check_captures</w:t>
            </w:r>
          </w:p>
        </w:tc>
        <w:tc>
          <w:tcPr/>
          <w:p>
            <w:pPr>
              <w:pStyle w:val="Compact"/>
            </w:pPr>
            <w:r>
              <w:t xml:space="preserve">the manifest,</w:t>
            </w:r>
            <w:r>
              <w:t xml:space="preserve"> </w:t>
            </w:r>
            <w:r>
              <w:rPr>
                <w:rStyle w:val="VerbatimChar"/>
              </w:rPr>
              <w:t xml:space="preserve">boot.json</w:t>
            </w:r>
            <w:r>
              <w:t xml:space="preserve">, the pose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captures_A/check.json</w:t>
            </w:r>
            <w:r>
              <w:t xml:space="preserve"> </w:t>
            </w:r>
            <w:r>
              <w:t xml:space="preserve">and a verdict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Each command is run as</w:t>
      </w:r>
      <w:r>
        <w:t xml:space="preserve"> </w:t>
      </w:r>
      <w:r>
        <w:rPr>
          <w:rStyle w:val="VerbatimChar"/>
        </w:rPr>
        <w:t xml:space="preserve">python3 -m &lt;command&gt; &lt;options&gt;</w:t>
      </w:r>
      <w:r>
        <w:t xml:space="preserve">; the sections give the</w:t>
      </w:r>
      <w:r>
        <w:t xml:space="preserve"> </w:t>
      </w:r>
      <w:r>
        <w:t xml:space="preserve">options.</w:t>
      </w:r>
    </w:p>
    <w:bookmarkEnd w:id="16"/>
    <w:bookmarkStart w:id="20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8" name="Picture"/>
            <a:graphic>
              <a:graphicData uri="http://schemas.openxmlformats.org/drawingml/2006/picture">
                <pic:pic>
                  <pic:nvPicPr>
                    <pic:cNvPr descr="figures/fig_mount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5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5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5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5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5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5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bookmarkEnd w:id="20"/>
    <w:bookmarkStart w:id="24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22" name="Picture"/>
            <a:graphic>
              <a:graphicData uri="http://schemas.openxmlformats.org/drawingml/2006/picture">
                <pic:pic>
                  <pic:nvPicPr>
                    <pic:cNvPr descr="figures/fig_residual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6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6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</w:t>
      </w:r>
    </w:p>
    <w:p>
      <w:pPr>
        <w:pStyle w:val="Compact"/>
        <w:numPr>
          <w:ilvl w:val="0"/>
          <w:numId w:val="1006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6"/>
        </w:numPr>
      </w:pPr>
      <w:r>
        <w:t xml:space="preserve">Build the manifest and run the bootstrap (section 2 says where to type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0.15).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24"/>
    <w:bookmarkStart w:id="28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others; the</w:t>
      </w:r>
      <w:r>
        <w:t xml:space="preserve"> </w:t>
      </w:r>
      <w:r>
        <w:t xml:space="preserve">software keeps them aside for checking the result instead of fitting with them.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8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8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6" name="Picture"/>
            <a:graphic>
              <a:graphicData uri="http://schemas.openxmlformats.org/drawingml/2006/picture">
                <pic:pic>
                  <pic:nvPicPr>
                    <pic:cNvPr descr="figures/fig_plan_examp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8"/>
    <w:bookmarkStart w:id="32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The robot program sends that trigger through the capture</w:t>
      </w:r>
      <w:r>
        <w:t xml:space="preserve"> </w:t>
      </w:r>
      <w:r>
        <w:t xml:space="preserve">computer’s communication software, the same path as in stage 1 (section 1f). The</w:t>
      </w:r>
      <w:r>
        <w:t xml:space="preserve"> </w:t>
      </w:r>
      <w:r>
        <w:t xml:space="preserve">capture is taken after the settling wait and before the robot moves on, and the</w:t>
      </w:r>
      <w:r>
        <w:t xml:space="preserve"> </w:t>
      </w:r>
      <w:r>
        <w:t xml:space="preserve">file-name prefix for the captures of that pose is the pose id (section 2). The</w:t>
      </w:r>
      <w:r>
        <w:t xml:space="preserve"> </w:t>
      </w:r>
      <w:r>
        <w:t xml:space="preserve">program is written before the first session (section 1f), once the robot model and</w:t>
      </w:r>
      <w:r>
        <w:t xml:space="preserve"> </w:t>
      </w:r>
      <w:r>
        <w:t xml:space="preserve">controller are settled; it can be written with Claude Code, because both sides of</w:t>
      </w:r>
      <w:r>
        <w:t xml:space="preserve"> </w:t>
      </w:r>
      <w:r>
        <w:t xml:space="preserve">its interface are fixed: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coming in (section 5), the trigger, and the pose</w:t>
      </w:r>
      <w:r>
        <w:t xml:space="preserve"> </w:t>
      </w:r>
      <w:r>
        <w:t xml:space="preserve">log going out (section 7).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30" name="Picture"/>
            <a:graphic>
              <a:graphicData uri="http://schemas.openxmlformats.org/drawingml/2006/picture">
                <pic:pic>
                  <pic:nvPicPr>
                    <pic:cNvPr descr="figures/fig_approa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09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09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09"/>
        </w:numPr>
      </w:pPr>
      <w:r>
        <w:t xml:space="preserve">Trigger the capture of 5 frames through the communication software;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9"/>
        </w:numPr>
      </w:pPr>
      <w:r>
        <w:t xml:space="preserve">Move on.</w:t>
      </w:r>
    </w:p>
    <w:p>
      <w:pPr>
        <w:pStyle w:val="FirstParagraph"/>
      </w:pPr>
      <w:r>
        <w:t xml:space="preserve">When the last pose of A is done, and before starting B, build the manifest of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 </w:t>
      </w:r>
      <w:r>
        <w:t xml:space="preserve">(section 7) and run the check on it (section 8), while the board is</w:t>
      </w:r>
      <w:r>
        <w:t xml:space="preserve"> </w:t>
      </w:r>
      <w:r>
        <w:t xml:space="preserve">still mounted and flagged poses can be re-captured cheaply.</w:t>
      </w:r>
    </w:p>
    <w:p>
      <w:pPr>
        <w:pStyle w:val="BodyText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10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10"/>
        </w:numPr>
      </w:pPr>
      <w:r>
        <w:t xml:space="preserve">Wait 0.5 seconds.</w:t>
      </w:r>
    </w:p>
    <w:p>
      <w:pPr>
        <w:pStyle w:val="Compact"/>
        <w:numPr>
          <w:ilvl w:val="0"/>
          <w:numId w:val="1010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10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0"/>
        </w:numPr>
      </w:pPr>
      <w:r>
        <w:t xml:space="preserve">Trigger the capture of 5 frames through the communication software; file names</w:t>
      </w:r>
      <w:r>
        <w:t xml:space="preserve"> </w:t>
      </w:r>
      <w:r>
        <w:t xml:space="preserve">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10"/>
        </w:numPr>
      </w:pPr>
      <w:r>
        <w:t xml:space="preserve">Move on.</w:t>
      </w:r>
    </w:p>
    <w:p>
      <w:pPr>
        <w:pStyle w:val="FirstParagraph"/>
      </w:pPr>
      <w:r>
        <w:t xml:space="preserve">When the last pose of B is done, build the manifest of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run the</w:t>
      </w:r>
      <w:r>
        <w:t xml:space="preserve"> </w:t>
      </w:r>
      <w:r>
        <w:t xml:space="preserve">check on it, as after A.</w:t>
      </w:r>
    </w:p>
    <w:p>
      <w:pPr>
        <w:pStyle w:val="BodyText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32"/>
    <w:bookmarkStart w:id="33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33"/>
    <w:bookmarkStart w:id="34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12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12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12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12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12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12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12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34"/>
    <w:bookmarkStart w:id="35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exposure, gain and SGM</w:t>
      </w:r>
      <w:r>
        <w:t xml:space="preserve"> </w:t>
      </w:r>
      <w:r>
        <w:t xml:space="preserve">parameters, where the pose logs were written, base frame name, backlash</w:t>
      </w:r>
      <w:r>
        <w:t xml:space="preserve"> </w:t>
      </w:r>
      <w:r>
        <w:t xml:space="preserve">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</w:t>
      </w:r>
    </w:p>
    <w:p>
      <w:pPr>
        <w:pStyle w:val="Compact"/>
        <w:numPr>
          <w:ilvl w:val="0"/>
          <w:numId w:val="1013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35"/>
    <w:bookmarkStart w:id="36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4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4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4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4"/>
        </w:numPr>
      </w:pPr>
      <w:r>
        <w:t xml:space="preserve">A loose adapter: check the dowels are seated and the runout (section 3, step 2)</w:t>
      </w:r>
      <w:r>
        <w:t xml:space="preserve"> </w:t>
      </w:r>
      <w:r>
        <w:t xml:space="preserve">before each sub-procedure.</w:t>
      </w:r>
    </w:p>
    <w:p>
      <w:pPr>
        <w:pStyle w:val="Compact"/>
        <w:numPr>
          <w:ilvl w:val="0"/>
          <w:numId w:val="1014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4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4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4"/>
        </w:numPr>
      </w:pPr>
      <w:r>
        <w:t xml:space="preserve">Mixing up the two pose logs, or capturing B into the A folder.</w:t>
      </w:r>
    </w:p>
    <w:bookmarkEnd w:id="36"/>
    <w:bookmarkStart w:id="37" w:name="appendix-a.-suppliers"/>
    <w:p>
      <w:pPr>
        <w:pStyle w:val="Heading2"/>
      </w:pPr>
      <w:r>
        <w:t xml:space="preserve">Appendix A. Suppliers</w:t>
      </w:r>
    </w:p>
    <w:p>
      <w:pPr>
        <w:pStyle w:val="FirstParagraph"/>
      </w:pPr>
      <w:r>
        <w:t xml:space="preserve">This list was assembled from the suppliers’ web pages in October 2026, for the</w:t>
      </w:r>
      <w:r>
        <w:t xml:space="preserve"> </w:t>
      </w:r>
      <w:r>
        <w:t xml:space="preserve">stage-1 procedure, and is repeated here for the items this procedure uses. It is a</w:t>
      </w:r>
      <w:r>
        <w:t xml:space="preserve"> </w:t>
      </w:r>
      <w:r>
        <w:t xml:space="preserve">starting point, not an endorsement: confirm the flatness, the finish and the price</w:t>
      </w:r>
      <w:r>
        <w:t xml:space="preserve"> </w:t>
      </w:r>
      <w:r>
        <w:t xml:space="preserve">with the supplier before ordering, because catalogs change.</w:t>
      </w:r>
    </w:p>
    <w:p>
      <w:pPr>
        <w:pStyle w:val="BodyText"/>
      </w:pPr>
      <w:r>
        <w:t xml:space="preserve">Board:</w:t>
      </w:r>
    </w:p>
    <w:p>
      <w:pPr>
        <w:pStyle w:val="Compact"/>
        <w:numPr>
          <w:ilvl w:val="0"/>
          <w:numId w:val="1015"/>
        </w:numPr>
      </w:pPr>
      <w:r>
        <w:t xml:space="preserve">McMaster-Carr: MIC-6 cast aluminum tooling plate, sold with mill certificates and</w:t>
      </w:r>
      <w:r>
        <w:t xml:space="preserve"> </w:t>
      </w:r>
      <w:r>
        <w:t xml:space="preserve">a stated flatness (about 0.13 mm over the sheet for the thicknesses of interest).</w:t>
      </w:r>
      <w:r>
        <w:t xml:space="preserve"> </w:t>
      </w:r>
      <w:r>
        <w:t xml:space="preserve">That is coarser than the 0.05 mm asked for here, so order the plate oversize and</w:t>
      </w:r>
      <w:r>
        <w:t xml:space="preserve"> </w:t>
      </w:r>
      <w:r>
        <w:t xml:space="preserve">have a local grinding shop finish-grind the front face flat to 0.05 mm, then</w:t>
      </w:r>
      <w:r>
        <w:t xml:space="preserve"> </w:t>
      </w:r>
      <w:r>
        <w:t xml:space="preserve">matte-paint it (bead-blast only a plate 10 mm or thicker; peening one face of a</w:t>
      </w:r>
      <w:r>
        <w:t xml:space="preserve"> </w:t>
      </w:r>
      <w:r>
        <w:t xml:space="preserve">thinner plate bows it). Alternatively, ask the grinding shop for a flatness report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15"/>
        </w:numPr>
      </w:pPr>
      <w:r>
        <w:t xml:space="preserve">Any float-glass or optical-flat supplier (Edmund Optics sells ground and polished</w:t>
      </w:r>
      <w:r>
        <w:t xml:space="preserve"> </w:t>
      </w:r>
      <w:r>
        <w:t xml:space="preserve">flats): a 6 to 10 mm float glass plate is flat to better than 0.05 mm over 200 mm</w:t>
      </w:r>
      <w:r>
        <w:t xml:space="preserve"> </w:t>
      </w:r>
      <w:r>
        <w:t xml:space="preserve">as delivered; it must be matte-painted on the front face and bonded or clamped to</w:t>
      </w:r>
      <w:r>
        <w:t xml:space="preserve"> </w:t>
      </w:r>
      <w:r>
        <w:t xml:space="preserve">the board adapter. Glass is the better choice when no grinding shop is at hand.</w:t>
      </w:r>
    </w:p>
    <w:p>
      <w:pPr>
        <w:pStyle w:val="FirstParagraph"/>
      </w:pPr>
      <w:r>
        <w:t xml:space="preserve">Either way the supplier’s or the grinding shop’s flatness report is the starting</w:t>
      </w:r>
      <w:r>
        <w:t xml:space="preserve"> </w:t>
      </w:r>
      <w:r>
        <w:t xml:space="preserve">document (1d), and the 0.05 mm is confirmed in-house with the straightedge and</w:t>
      </w:r>
      <w:r>
        <w:t xml:space="preserve"> </w:t>
      </w:r>
      <w:r>
        <w:t xml:space="preserve">feeler leaf after painting and after mounting, because that is the state the sensor</w:t>
      </w:r>
      <w:r>
        <w:t xml:space="preserve"> </w:t>
      </w:r>
      <w:r>
        <w:t xml:space="preserve">sees; only the two materials of 1d are specified.</w:t>
      </w:r>
    </w:p>
    <w:p>
      <w:pPr>
        <w:pStyle w:val="BodyText"/>
      </w:pPr>
      <w:r>
        <w:t xml:space="preserve">Measuring instruments (section 1c), all stocked by McMaster-Carr, Transcat,</w:t>
      </w:r>
      <w:r>
        <w:t xml:space="preserve"> </w:t>
      </w:r>
      <w:r>
        <w:t xml:space="preserve">MSI-Viking and the usual tool suppliers:</w:t>
      </w:r>
    </w:p>
    <w:p>
      <w:pPr>
        <w:pStyle w:val="Compact"/>
        <w:numPr>
          <w:ilvl w:val="0"/>
          <w:numId w:val="1016"/>
        </w:numPr>
      </w:pPr>
      <w:r>
        <w:t xml:space="preserve">Dial indicator: Mitutoyo 2046 series, 0.01 mm graduation, 10 mm travel, about $50</w:t>
      </w:r>
      <w:r>
        <w:t xml:space="preserve"> </w:t>
      </w:r>
      <w:r>
        <w:t xml:space="preserve">to $150.</w:t>
      </w:r>
    </w:p>
    <w:p>
      <w:pPr>
        <w:pStyle w:val="Compact"/>
        <w:numPr>
          <w:ilvl w:val="0"/>
          <w:numId w:val="1016"/>
        </w:numPr>
      </w:pPr>
      <w:r>
        <w:t xml:space="preserve">Magnetic base: Noga MG71003 or DG-61003 with fine adjustment, about $140 to $320.</w:t>
      </w:r>
    </w:p>
    <w:p>
      <w:pPr>
        <w:pStyle w:val="Compact"/>
        <w:numPr>
          <w:ilvl w:val="0"/>
          <w:numId w:val="1016"/>
        </w:numPr>
      </w:pPr>
      <w:r>
        <w:t xml:space="preserve">Calipers with depth rod, 150 mm: Mitutoyo or Starrett, about $30 to $150.</w:t>
      </w:r>
    </w:p>
    <w:p>
      <w:pPr>
        <w:pStyle w:val="Compact"/>
        <w:numPr>
          <w:ilvl w:val="0"/>
          <w:numId w:val="1016"/>
        </w:numPr>
      </w:pPr>
      <w:r>
        <w:t xml:space="preserve">Straightedge: 300 mm, DIN 874 grade 0 or better, about $60 to $200; feeler gauge</w:t>
      </w:r>
      <w:r>
        <w:t xml:space="preserve"> </w:t>
      </w:r>
      <w:r>
        <w:t xml:space="preserve">set with a 0.05 mm leaf.</w:t>
      </w:r>
    </w:p>
    <w:p>
      <w:pPr>
        <w:pStyle w:val="FirstParagraph"/>
      </w:pPr>
      <w:r>
        <w:t xml:space="preserve">Machine shop: the board adapter and the run-out base plate (drawing SC1-05 in</w:t>
      </w:r>
      <w:r>
        <w:t xml:space="preserve"> </w:t>
      </w:r>
      <w:r>
        <w:t xml:space="preserve">appendix D for the adapter; the base plate is a plain drilled plate, section 1e).</w:t>
      </w:r>
    </w:p>
    <w:bookmarkEnd w:id="37"/>
    <w:bookmarkStart w:id="38" w:name="appendix-b.-software-reference"/>
    <w:p>
      <w:pPr>
        <w:pStyle w:val="Heading2"/>
      </w:pPr>
      <w:r>
        <w:t xml:space="preserve">Appendix B.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plane, 0 =</w:t>
      </w:r>
      <w:r>
        <w:br/>
      </w:r>
      <w:r>
        <w:rPr>
          <w:rStyle w:val="VerbatimChar"/>
        </w:rPr>
        <w:t xml:space="preserve">                        board x axis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plate</w:t>
      </w:r>
      <w:r>
        <w:br/>
      </w:r>
      <w:r>
        <w:rPr>
          <w:rStyle w:val="VerbatimChar"/>
        </w:rPr>
        <w:t xml:space="preserve">                        thickness D when the flange pose was logged</w:t>
      </w:r>
      <w:r>
        <w:br/>
      </w:r>
      <w:r>
        <w:rPr>
          <w:rStyle w:val="VerbatimChar"/>
        </w:rPr>
        <w:t xml:space="preserve">                        (default 0.0)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8"/>
    <w:bookmarkStart w:id="39" w:name="X55fa07073be7fe8e5902a88f1870747c627c989"/>
    <w:p>
      <w:pPr>
        <w:pStyle w:val="Heading2"/>
      </w:pPr>
      <w:r>
        <w:t xml:space="preserve">Appendix C.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C.1 Install Python 3.10 or newer (stage-1 procedure, appendix C.1).</w:t>
      </w:r>
    </w:p>
    <w:p>
      <w:pPr>
        <w:pStyle w:val="BodyText"/>
      </w:pPr>
      <w:r>
        <w:t xml:space="preserve">C.2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C.3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C.4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C.5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C.6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C.7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9"/>
    <w:bookmarkStart w:id="43" w:name="appendix-d.-shop-drawing"/>
    <w:p>
      <w:pPr>
        <w:pStyle w:val="Heading2"/>
      </w:pPr>
      <w:r>
        <w:t xml:space="preserve">Appendix D. Shop drawing</w:t>
      </w:r>
    </w:p>
    <w:p>
      <w:pPr>
        <w:pStyle w:val="FirstParagraph"/>
      </w:pPr>
      <w:r>
        <w:t xml:space="preserve">One drawing applies to this procedure: SC1-05, the board adapter, from the stage-1</w:t>
      </w:r>
      <w:r>
        <w:t xml:space="preserve"> </w:t>
      </w:r>
      <w:r>
        <w:t xml:space="preserve">procedure. It shows a plan view and an elevation in section, with every feature</w:t>
      </w:r>
      <w:r>
        <w:t xml:space="preserve"> </w:t>
      </w:r>
      <w:r>
        <w:t xml:space="preserve">dimensioned and toleranced, the material, the finish and the quantity. Its flange</w:t>
      </w:r>
      <w:r>
        <w:t xml:space="preserve"> </w:t>
      </w:r>
      <w:r>
        <w:t xml:space="preserve">interface follows ISO 9409-1-50-4-M6 (ISO 9409-1:1996, table 1: 50 mm pitch circle,</w:t>
      </w:r>
      <w:r>
        <w:t xml:space="preserve"> </w:t>
      </w:r>
      <w:r>
        <w:t xml:space="preserve">31.5 mm H7 centering recess, four M6, one 6 mm H7 pin hole on the pitch circle at</w:t>
      </w:r>
      <w:r>
        <w:t xml:space="preserve"> </w:t>
      </w:r>
      <w:r>
        <w:t xml:space="preserve">+Xm); confirm it against the chosen robot’s flange drawing before machining. The</w:t>
      </w:r>
      <w:r>
        <w:t xml:space="preserve"> </w:t>
      </w:r>
      <w:r>
        <w:t xml:space="preserve">rigid sensor mount is built from the existing drawing from previous work and is not</w:t>
      </w:r>
      <w:r>
        <w:t xml:space="preserve"> </w:t>
      </w:r>
      <w:r>
        <w:t xml:space="preserve">repeated here. The run-out fixture needs no drawing (section 1e).</w:t>
      </w:r>
    </w:p>
    <w:p>
      <w:pPr>
        <w:pStyle w:val="BodyText"/>
      </w:pPr>
      <w:r>
        <w:t xml:space="preserve">The drawing is generated by a script in the stage-1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depth_calibration_from_spherical_target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docs/procedures/drawings/</w:t>
      </w:r>
      <w:r>
        <w:t xml:space="preserve">;</w:t>
      </w:r>
      <w:r>
        <w:t xml:space="preserve"> </w:t>
      </w:r>
      <w:r>
        <w:t xml:space="preserve">regenerate with</w:t>
      </w:r>
      <w:r>
        <w:t xml:space="preserve"> </w:t>
      </w:r>
      <w:r>
        <w:rPr>
          <w:rStyle w:val="VerbatimChar"/>
        </w:rPr>
        <w:t xml:space="preserve">python3 docs/procedures/drawings/make_all.py</w:t>
      </w:r>
      <w:r>
        <w:t xml:space="preserve"> </w:t>
      </w:r>
      <w:r>
        <w:t xml:space="preserve">there). The copy in</w:t>
      </w:r>
      <w:r>
        <w:t xml:space="preserve"> </w:t>
      </w:r>
      <w:r>
        <w:t xml:space="preserve">this repository,</w:t>
      </w:r>
      <w:r>
        <w:t xml:space="preserve"> </w:t>
      </w:r>
      <w:r>
        <w:rPr>
          <w:rStyle w:val="VerbatimChar"/>
        </w:rPr>
        <w:t xml:space="preserve">docs/procedures/drawings/SC1-05_board_adapter.png</w:t>
      </w:r>
      <w:r>
        <w:t xml:space="preserve">, is that output</w:t>
      </w:r>
      <w:r>
        <w:t xml:space="preserve"> </w:t>
      </w:r>
      <w:r>
        <w:t xml:space="preserve">and prints at full size; it is the copy to send to the shop. When the stage-1</w:t>
      </w:r>
      <w:r>
        <w:t xml:space="preserve"> </w:t>
      </w:r>
      <w:r>
        <w:t xml:space="preserve">drawing changes, copy the regenerated file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Board adapter, with the board outline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drawings/SC1-05_board_adapter.png</w:t>
            </w:r>
          </w:p>
        </w:tc>
      </w:tr>
    </w:tbl>
    <w:p>
      <w:pPr>
        <w:pStyle w:val="BodyText"/>
      </w:pPr>
      <w:r>
        <w:t xml:space="preserve">Points for the machine shop to confirm: the pin and pad positions carry the general</w:t>
      </w:r>
      <w:r>
        <w:t xml:space="preserve"> </w:t>
      </w:r>
      <w:r>
        <w:t xml:space="preserve">tolerance ISO 2768-mK, which is enough because the board’s position within its own</w:t>
      </w:r>
      <w:r>
        <w:t xml:space="preserve"> </w:t>
      </w:r>
      <w:r>
        <w:t xml:space="preserve">plane does not affect the registration; the flange-face-to-board-face distance D is</w:t>
      </w:r>
      <w:r>
        <w:t xml:space="preserve"> </w:t>
      </w:r>
      <w:r>
        <w:t xml:space="preserve">a formula of the board thickness, so the measured D of section 3 is what the robot</w:t>
      </w:r>
      <w:r>
        <w:t xml:space="preserve"> </w:t>
      </w:r>
      <w:r>
        <w:t xml:space="preserve">uses, not the drawing’s nominal.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SC1-05" title="" id="41" name="Picture"/>
            <a:graphic>
              <a:graphicData uri="http://schemas.openxmlformats.org/drawingml/2006/picture">
                <pic:pic>
                  <pic:nvPicPr>
                    <pic:cNvPr descr="drawings/SC1-05_board_adap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SC1-05</w:t>
      </w:r>
    </w:p>
    <w:p>
      <w:pPr>
        <w:pStyle w:val="BodyText"/>
      </w:pPr>
      <w:r>
        <w:t xml:space="preserve">Drawing SC1-05. Board adapter.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2026-10-07T19:34:06Z</dcterms:created>
  <dcterms:modified xsi:type="dcterms:W3CDTF">2026-10-07T19:34:06Z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