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  <Override PartName="/word/media/rId1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3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B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tools; the board, its adapter and its tool frame are the same</w:t>
      </w:r>
      <w:r>
        <w:t xml:space="preserve"> </w:t>
      </w:r>
      <w:r>
        <w:t xml:space="preserve">(section 1 repeats the board specification). A stage-1 board can be used as it is.</w:t>
      </w:r>
      <w:r>
        <w:t xml:space="preserve"> </w:t>
      </w:r>
      <w:r>
        <w:t xml:space="preserve">The spheres and the three-ball nest are not needed here. You do not need to have read the stage-1 procedure; where this</w:t>
      </w:r>
      <w:r>
        <w:t xml:space="preserve"> </w:t>
      </w:r>
      <w:r>
        <w:t xml:space="preserve">document points to it, it is 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9" w:name="equipment"/>
    <w:p>
      <w:pPr>
        <w:pStyle w:val="Heading2"/>
      </w:pPr>
      <w:r>
        <w:t xml:space="preserve">1. Equipment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registered, rigidly mounted; it must not move during the whole session</w:t>
            </w:r>
          </w:p>
        </w:tc>
        <w:tc>
          <w:tcPr/>
          <w:p>
            <w:pPr>
              <w:pStyle w:val="Compact"/>
            </w:pPr>
            <w:r>
              <w:t xml:space="preserve">Mount on a stiff bracket, not a tripod; mark its position so a bump is noticed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robot, absolute positioning accuracy 0.1 mm or better over the working volume, with a 50 mm or larger ISO flange</w:t>
            </w:r>
          </w:p>
        </w:tc>
        <w:tc>
          <w:tcPr/>
          <w:p>
            <w:pPr>
              <w:pStyle w:val="Compact"/>
            </w:pPr>
            <w:r>
              <w:t xml:space="preserve">A robot calibrated by its maker (</w:t>
            </w:r>
            <w:r>
              <w:t xml:space="preserve">“absolute accuracy”</w:t>
            </w:r>
            <w:r>
              <w:t xml:space="preserve"> </w:t>
            </w:r>
            <w:r>
              <w:t xml:space="preserve">option) is needed; repeatability alone is not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</w:t>
            </w:r>
          </w:p>
        </w:tc>
        <w:tc>
          <w:tcPr/>
          <w:p>
            <w:pPr>
              <w:pStyle w:val="Compact"/>
            </w:pPr>
            <w:r>
              <w:t xml:space="preserve">Flat plate 200 mm x 150 mm, at least 6 mm thick, front face matte and light gray, flat to 0.05 mm after finishing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or float glass, matte-painted; ask the supplier for a flatness report (stage-1 procedure, appendix A, lists suppliers). Thickness is not a stiffness matter (a 6 mm plate sags about 0.002 mm under its own weight); it only has to survive the finish and the mounting flat. Do not bead-blast a plate thinner than about 10 mm: peening one face bows it. Paint over the ground or glass surface instead, and check the flatness after painting and mounting, not before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Plate that bolts to the flange with the dowel pins and holds the board with its front face perpendicular to the flange axis and its center on the flange axis</w:t>
            </w:r>
          </w:p>
        </w:tc>
        <w:tc>
          <w:tcPr/>
          <w:p>
            <w:pPr>
              <w:pStyle w:val="Compact"/>
            </w:pPr>
            <w:r>
              <w:t xml:space="preserve">Three-point mounting (two dowels and a clamp) so the board goes back in the same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 indicator with magnetic base</w:t>
            </w:r>
          </w:p>
        </w:tc>
        <w:tc>
          <w:tcPr/>
          <w:p>
            <w:pPr>
              <w:pStyle w:val="Compact"/>
            </w:pPr>
            <w:r>
              <w:t xml:space="preserve">0.01 mm resolution</w:t>
            </w:r>
          </w:p>
        </w:tc>
        <w:tc>
          <w:tcPr/>
          <w:p>
            <w:pPr>
              <w:pStyle w:val="Compact"/>
            </w:pPr>
            <w:r>
              <w:t xml:space="preserve">Board runout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 gauge or calipers</w:t>
            </w:r>
          </w:p>
        </w:tc>
        <w:tc>
          <w:tcPr/>
          <w:p>
            <w:pPr>
              <w:pStyle w:val="Compact"/>
            </w:pPr>
            <w:r>
              <w:t xml:space="preserve">0.02 mm resolution</w:t>
            </w:r>
          </w:p>
        </w:tc>
        <w:tc>
          <w:tcPr/>
          <w:p>
            <w:pPr>
              <w:pStyle w:val="Compact"/>
            </w:pPr>
            <w:r>
              <w:t xml:space="preserve">Board offset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</w:t>
            </w:r>
          </w:p>
        </w:tc>
        <w:tc>
          <w:tcPr/>
          <w:p>
            <w:pPr>
              <w:pStyle w:val="Compact"/>
            </w:pPr>
            <w:r>
              <w:t xml:space="preserve">Runs the sensor’s capture software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capture; the files must be named by pose id (section 2 says how)</w:t>
            </w:r>
          </w:p>
        </w:tc>
        <w:tc>
          <w:tcPr/>
          <w:p>
            <w:pPr>
              <w:pStyle w:val="Compact"/>
            </w:pPr>
            <w:r>
              <w:t xml:space="preserve">At least 10 GB free per 1,000 frames</w:t>
            </w:r>
          </w:p>
        </w:tc>
      </w:tr>
    </w:tbl>
    <w:p>
      <w:pPr>
        <w:pStyle w:val="BodyText"/>
      </w:pPr>
      <w:r>
        <w:t xml:space="preserve">Appendix A lists the software tools used in sections 4 to 8 and their options;</w:t>
      </w:r>
      <w:r>
        <w:t xml:space="preserve"> </w:t>
      </w:r>
      <w:r>
        <w:t xml:space="preserve">appendix B says how to install them.</w:t>
      </w:r>
    </w:p>
    <w:bookmarkEnd w:id="9"/>
    <w:bookmarkStart w:id="10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production.</w:t>
      </w:r>
      <w:r>
        <w:t xml:space="preserve"> </w:t>
      </w:r>
      <w:r>
        <w:t xml:space="preserve">Write them down. Do not use 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 and gain, robot model and controller software version, the active</w:t>
      </w:r>
      <w:r>
        <w:t xml:space="preserve"> </w:t>
      </w:r>
      <w:r>
        <w:t xml:space="preserve">base frame name, the backlash compensation setting, the board certificate (flatness),</w:t>
      </w:r>
      <w:r>
        <w:t xml:space="preserve"> </w:t>
      </w:r>
      <w:r>
        <w:t xml:space="preserve">room 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B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B.4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0"/>
    <w:bookmarkStart w:id="14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2" name="Picture"/>
            <a:graphic>
              <a:graphicData uri="http://schemas.openxmlformats.org/drawingml/2006/picture">
                <pic:pic>
                  <pic:nvPicPr>
                    <pic:cNvPr descr="figures/fig_mountin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2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2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2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2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2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2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bookmarkEnd w:id="14"/>
    <w:bookmarkStart w:id="18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16" name="Picture"/>
            <a:graphic>
              <a:graphicData uri="http://schemas.openxmlformats.org/drawingml/2006/picture">
                <pic:pic>
                  <pic:nvPicPr>
                    <pic:cNvPr descr="figures/fig_residual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3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3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</w:t>
      </w:r>
    </w:p>
    <w:p>
      <w:pPr>
        <w:pStyle w:val="Compact"/>
        <w:numPr>
          <w:ilvl w:val="0"/>
          <w:numId w:val="1003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3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18"/>
    <w:bookmarkStart w:id="22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5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5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0" name="Picture"/>
            <a:graphic>
              <a:graphicData uri="http://schemas.openxmlformats.org/drawingml/2006/picture">
                <pic:pic>
                  <pic:nvPicPr>
                    <pic:cNvPr descr="figures/fig_plan_exampl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2"/>
    <w:bookmarkStart w:id="26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How this is done depends on the capture software: by a</w:t>
      </w:r>
      <w:r>
        <w:t xml:space="preserve"> </w:t>
      </w:r>
      <w:r>
        <w:t xml:space="preserve">digital output of the robot wired to the capture computer, by a network command, or</w:t>
      </w:r>
      <w:r>
        <w:t xml:space="preserve"> </w:t>
      </w:r>
      <w:r>
        <w:t xml:space="preserve">by the operator pressing a key when the robot program shows a prompt and waits.</w:t>
      </w:r>
      <w:r>
        <w:t xml:space="preserve"> </w:t>
      </w:r>
      <w:r>
        <w:t xml:space="preserve">Any of the three is fine; what matters is that the capture is taken after the</w:t>
      </w:r>
      <w:r>
        <w:t xml:space="preserve"> </w:t>
      </w:r>
      <w:r>
        <w:t xml:space="preserve">settling wait, before the robot moves on, and that the file-name prefix for the</w:t>
      </w:r>
      <w:r>
        <w:t xml:space="preserve"> </w:t>
      </w:r>
      <w:r>
        <w:t xml:space="preserve">captures of that pose is the pose id (section 2). If the operator triggers by hand,</w:t>
      </w:r>
      <w:r>
        <w:t xml:space="preserve"> </w:t>
      </w:r>
      <w:r>
        <w:t xml:space="preserve">the program should wait for a confirmation before moving on.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24" name="Picture"/>
            <a:graphic>
              <a:graphicData uri="http://schemas.openxmlformats.org/drawingml/2006/picture">
                <pic:pic>
                  <pic:nvPicPr>
                    <pic:cNvPr descr="figures/fig_approac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06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06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6"/>
        </w:numPr>
      </w:pPr>
      <w:r>
        <w:t xml:space="preserve">Trigger the capture of 5 frames;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6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07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07"/>
        </w:numPr>
      </w:pPr>
      <w:r>
        <w:t xml:space="preserve">Wait 0.5 seconds.</w:t>
      </w:r>
    </w:p>
    <w:p>
      <w:pPr>
        <w:pStyle w:val="Compact"/>
        <w:numPr>
          <w:ilvl w:val="0"/>
          <w:numId w:val="1007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07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7"/>
        </w:numPr>
      </w:pPr>
      <w:r>
        <w:t xml:space="preserve">Trigger the capture of 5 frames; file names 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07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26"/>
    <w:bookmarkStart w:id="27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27"/>
    <w:bookmarkStart w:id="28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09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09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09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09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09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09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09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28"/>
    <w:bookmarkStart w:id="29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 and gain, base</w:t>
      </w:r>
      <w:r>
        <w:t xml:space="preserve"> </w:t>
      </w:r>
      <w:r>
        <w:t xml:space="preserve">frame name, backlash 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</w:t>
      </w:r>
    </w:p>
    <w:p>
      <w:pPr>
        <w:pStyle w:val="Compact"/>
        <w:numPr>
          <w:ilvl w:val="0"/>
          <w:numId w:val="1010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29"/>
    <w:bookmarkStart w:id="30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1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1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1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1"/>
        </w:numPr>
      </w:pPr>
      <w:r>
        <w:t xml:space="preserve">A loose adapter: check the dowels are seated and the runout (section 3, step 2)</w:t>
      </w:r>
      <w:r>
        <w:t xml:space="preserve"> </w:t>
      </w:r>
      <w:r>
        <w:t xml:space="preserve">before each sub-procedure.</w:t>
      </w:r>
    </w:p>
    <w:p>
      <w:pPr>
        <w:pStyle w:val="Compact"/>
        <w:numPr>
          <w:ilvl w:val="0"/>
          <w:numId w:val="1011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1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1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1"/>
        </w:numPr>
      </w:pPr>
      <w:r>
        <w:t xml:space="preserve">Mixing up the two pose logs, or capturing B into the A folder.</w:t>
      </w:r>
    </w:p>
    <w:bookmarkEnd w:id="30"/>
    <w:bookmarkStart w:id="31" w:name="appendix-a.-software-reference"/>
    <w:p>
      <w:pPr>
        <w:pStyle w:val="Heading2"/>
      </w:pPr>
      <w:r>
        <w:t xml:space="preserve">Appendix A.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1"/>
    <w:bookmarkStart w:id="32" w:name="X3b77f225bf0e3dd8541e4ee02fd4c1c557d291a"/>
    <w:p>
      <w:pPr>
        <w:pStyle w:val="Heading2"/>
      </w:pPr>
      <w:r>
        <w:t xml:space="preserve">Appendix B.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B.1 Install Python 3.10 or newer (stage-1 procedure, appendix C.1).</w:t>
      </w:r>
    </w:p>
    <w:p>
      <w:pPr>
        <w:pStyle w:val="BodyText"/>
      </w:pPr>
      <w:r>
        <w:t xml:space="preserve">B.2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B.3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B.4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B.5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B.6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B.7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2026-10-05T15:36:43Z</dcterms:created>
  <dcterms:modified xsi:type="dcterms:W3CDTF">2026-10-05T15:36:43Z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