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200, 150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620965"/>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620965"/>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200, 150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2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4.7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0.39 mm closer than Z_MIN, so the planner moves the plate center 0.39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1,030 poses, 25,990 frames, about 1.6 hours;</w:t>
      </w:r>
    </w:p>
    <w:p>
      <w:pPr>
        <w:pStyle w:val="Compact"/>
        <w:numPr>
          <w:ilvl w:val="0"/>
          <w:numId w:val="1026"/>
        </w:numPr>
      </w:pPr>
      <w:r>
        <w:t xml:space="preserve">the staircase of series Z (§8, step 5): 76 poses, 780 frames, about 0.09 hours;</w:t>
      </w:r>
    </w:p>
    <w:p>
      <w:pPr>
        <w:pStyle w:val="Compact"/>
        <w:numPr>
          <w:ilvl w:val="0"/>
          <w:numId w:val="1026"/>
        </w:numPr>
      </w:pPr>
      <w:r>
        <w:t xml:space="preserve">the lateral sweep of series B (§7, step 6): 41 poses, 1,230 frames, about 0.07 hours;</w:t>
      </w:r>
    </w:p>
    <w:p>
      <w:pPr>
        <w:pStyle w:val="Compact"/>
        <w:numPr>
          <w:ilvl w:val="0"/>
          <w:numId w:val="1026"/>
        </w:numPr>
      </w:pPr>
      <w:r>
        <w:t xml:space="preserve">the open-background variant of series C (§9, step 4): 31 poses, 330 frames, about 0.04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2</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With the 150 mm high stage-1 calibration board (T2) the visible height is the board height from about 380 mm on, so 2 quanta across it give about 32 image rows per quantum at 1600 mm at the indicative geometry,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400, 400</w:t>
            </w:r>
          </w:p>
        </w:tc>
        <w:tc>
          <w:tcPr/>
          <w:p>
            <w:pPr>
              <w:pStyle w:val="Compact"/>
            </w:pPr>
            <w:r>
              <w:t xml:space="preserve">Back plate of T3a and front plate of T3b, width x height, mm. These plates carry a 160 mm square and must extend past it by the boundary band plus the shadow, so they do NOT follow the smaller T2 board: they keep the 400 x 400 mm size that the noise plate had when the edge targets were defined.</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2064</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793</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698</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2026-10-08T18:21:22Z</dcterms:created>
  <dcterms:modified xsi:type="dcterms:W3CDTF">2026-10-08T18:21:22Z</dcterms:modified>
</cp:coreProperties>
</file>

<file path=docProps/custom.xml><?xml version="1.0" encoding="utf-8"?>
<Properties xmlns="http://schemas.openxmlformats.org/officeDocument/2006/custom-properties" xmlns:vt="http://schemas.openxmlformats.org/officeDocument/2006/docPropsVTypes"/>
</file>