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28.png" ContentType="image/png"/>
  <Override PartName="/word/media/rId53.png" ContentType="image/png"/>
  <Override PartName="/word/media/rId16.png" ContentType="image/png"/>
  <Override PartName="/word/media/rId39.png" ContentType="image/png"/>
  <Override PartName="/word/media/rId9.png" ContentType="image/png"/>
  <Override PartName="/word/media/rId12.png" ContentType="image/png"/>
  <Override PartName="/word/media/rId36.png" ContentType="image/png"/>
  <Override PartName="/word/media/rId25.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89"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and Figure 3 (§1) show the setup and the target mounting stack. Figure 4 and Figure 5 (§2) show the targets and their chamfered edges. Figure 6 and Figure 7 (§5) show the stations and the planned poses. Figure 8 (§8) shows the depth-step visits, and Figure 9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24" w:name="scope-of-work-and-equipment"/>
    <w:p>
      <w:pPr>
        <w:pStyle w:val="Heading2"/>
      </w:pPr>
      <w:r>
        <w:t xml:space="preserve">1. Scope of work and equipment</w:t>
      </w:r>
    </w:p>
    <w:p>
      <w:pPr>
        <w:pStyle w:val="FirstParagraph"/>
      </w:pPr>
      <w:r>
        <w:t xml:space="preserve">This section is the complete list of what must exist before the first session: what is already in hand, what must be built, what must be bought, and what must be prepared. Nothing outside this list is needed. The board, its adapter, the run-out fixture and the rigid sensor mount come from the stage-1 calibration project and the registration project; 1b says what they are, so that they can be made for this procedure alone if those projects have not been run. Appendix F holds the shop drawings; appendix E lists suppliers. The robot model is not yet chosen, so every flange part is drawn to the ISO 9409-1-50-4-M6 interface and nothing in this document depends on the model.</w:t>
      </w:r>
    </w:p>
    <w:p>
      <w:pPr>
        <w:pStyle w:val="BodyText"/>
      </w:pPr>
      <w:r>
        <w:t xml:space="preserve">The sensor stays fixed. The robot carries the target, so every target pose is commanded, repeatable, and logged. Figure 2 shows the arrangement.</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target adapter anywhere between Z_MIN and Z_MAX. The laboratory is enclosed and its lighting is constant.</w:t>
      </w:r>
    </w:p>
    <w:bookmarkStart w:id="15" w:name="a.-already-in-hand"/>
    <w:p>
      <w:pPr>
        <w:pStyle w:val="Heading3"/>
      </w:pPr>
      <w:r>
        <w:t xml:space="preserve">1a. Already in hand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Requirement</w:t>
            </w:r>
          </w:p>
        </w:tc>
      </w:tr>
      <w:tr>
        <w:tc>
          <w:tcPr/>
          <w:p>
            <w:pPr>
              <w:pStyle w:val="Compact"/>
            </w:pPr>
            <w:r>
              <w:t xml:space="preserve">Sensor</w:t>
            </w:r>
          </w:p>
        </w:tc>
        <w:tc>
          <w:tcPr/>
          <w:p>
            <w:pPr>
              <w:pStyle w:val="Compact"/>
            </w:pPr>
            <w:r>
              <w:t xml:space="preserve">The VSX3000 to be characterized, on the rigid sensor mount of the stage-1 project (a stiff bracket, not a tripod, mechanically separate from the robot base, on an isolated floor or table, its position marked so a bump is noticed); robot motion must not move the sensor</w:t>
            </w:r>
          </w:p>
        </w:tc>
      </w:tr>
      <w:tr>
        <w:tc>
          <w:tcPr/>
          <w:p>
            <w:pPr>
              <w:pStyle w:val="Compact"/>
            </w:pPr>
            <w:r>
              <w:t xml:space="preserve">Robot</w:t>
            </w:r>
          </w:p>
        </w:tc>
        <w:tc>
          <w:tcPr/>
          <w:p>
            <w:pPr>
              <w:pStyle w:val="Compact"/>
            </w:pPr>
            <w:r>
              <w:t xml:space="preserve">Six-axis industrial robot, model not yet chosen, with an ISO 9409-1-50-4-M6 tool flange (confirm against the chosen robot’s flange drawing before the adapter is machined); repeatability 0.05 mm or better (ISO 9283); reports its actual, encoder-derived pose at 0.01 mm resolution, time-stamped against the frames; approach-from-below moves programmable; payload above the heaviest target with its adapter (about 5.1 kg)</w:t>
            </w:r>
          </w:p>
        </w:tc>
      </w:tr>
      <w:tr>
        <w:tc>
          <w:tcPr/>
          <w:p>
            <w:pPr>
              <w:pStyle w:val="Compact"/>
            </w:pPr>
            <w:r>
              <w:t xml:space="preserve">Capture computer and software</w:t>
            </w:r>
          </w:p>
        </w:tc>
        <w:tc>
          <w:tcPr/>
          <w:p>
            <w:pPr>
              <w:pStyle w:val="Compact"/>
            </w:pPr>
            <w:r>
              <w:t xml:space="preserve">VSX3000 SDK, the LRVisionLibs</w:t>
            </w:r>
            <w:r>
              <w:t xml:space="preserve"> </w:t>
            </w:r>
            <w:r>
              <w:rPr>
                <w:rStyle w:val="VerbatimChar"/>
              </w:rPr>
              <w:t xml:space="preserve">MatCloud</w:t>
            </w:r>
            <w:r>
              <w:t xml:space="preserve"> </w:t>
            </w:r>
            <w:r>
              <w:t xml:space="preserve">reader, and the robot interface that logs the actual pose read back from the robot; accepts the capture trigger from the robot program and writes one</w:t>
            </w:r>
            <w:r>
              <w:t xml:space="preserve"> </w:t>
            </w:r>
            <w:r>
              <w:rPr>
                <w:rStyle w:val="VerbatimChar"/>
              </w:rPr>
              <w:t xml:space="preserve">.mc</w:t>
            </w:r>
            <w:r>
              <w:t xml:space="preserve"> </w:t>
            </w:r>
            <w:r>
              <w:t xml:space="preserve">file group per pose, named by pose id (§11); at least 10 GB free per 1,000 frames, about 430 GB for the default plan</w:t>
            </w:r>
          </w:p>
        </w:tc>
      </w:tr>
      <w:tr>
        <w:tc>
          <w:tcPr/>
          <w:p>
            <w:pPr>
              <w:pStyle w:val="Compact"/>
            </w:pPr>
            <w:r>
              <w:t xml:space="preserve">Analysis computer</w:t>
            </w:r>
          </w:p>
        </w:tc>
        <w:tc>
          <w:tcPr/>
          <w:p>
            <w:pPr>
              <w:pStyle w:val="Compact"/>
            </w:pPr>
            <w:r>
              <w:t xml:space="preserve">Any computer with Python 3.10 or later and this repository installed, its self-test passed (appendix C)</w:t>
            </w:r>
          </w:p>
        </w:tc>
      </w:tr>
      <w:tr>
        <w:tc>
          <w:tcPr/>
          <w:p>
            <w:pPr>
              <w:pStyle w:val="Compact"/>
            </w:pPr>
            <w:r>
              <w:t xml:space="preserve">Noise and registration board (T2) with its adapter</w:t>
            </w:r>
          </w:p>
        </w:tc>
        <w:tc>
          <w:tcPr/>
          <w:p>
            <w:pPr>
              <w:pStyle w:val="Compact"/>
            </w:pPr>
            <w:r>
              <w:t xml:space="preserve">From stage 1: 200 x 150 mm plate, at least 6 mm thick, matte light-gray front face flat to 0.05 mm, on the SC1-05 board adapter (plate on the ISO flange with three support pads, three edge pins and three clamp fingers); specification in 1d</w:t>
            </w:r>
          </w:p>
        </w:tc>
      </w:tr>
      <w:tr>
        <w:tc>
          <w:tcPr/>
          <w:p>
            <w:pPr>
              <w:pStyle w:val="Compact"/>
            </w:pPr>
            <w:r>
              <w:t xml:space="preserve">Run-out fixture</w:t>
            </w:r>
          </w:p>
        </w:tc>
        <w:tc>
          <w:tcPr/>
          <w:p>
            <w:pPr>
              <w:pStyle w:val="Compact"/>
            </w:pPr>
            <w:r>
              <w:t xml:space="preserve">From stage 1: dial indicator on a magnetic base on a steel plate bolted to the cell table; the in-house flatness check of every plate (§2)</w:t>
            </w:r>
          </w:p>
        </w:tc>
      </w:tr>
      <w:tr>
        <w:tc>
          <w:tcPr/>
          <w:p>
            <w:pPr>
              <w:pStyle w:val="Compact"/>
            </w:pPr>
            <w:r>
              <w:t xml:space="preserve">Calipers with depth rod, 150 mm, and torque wrench</w:t>
            </w:r>
          </w:p>
        </w:tc>
        <w:tc>
          <w:tcPr/>
          <w:p>
            <w:pPr>
              <w:pStyle w:val="Compact"/>
            </w:pPr>
            <w:r>
              <w:t xml:space="preserve">From stage 1: gap G and standoff lengths; recorded adapter and spigot screw torques</w:t>
            </w:r>
          </w:p>
        </w:tc>
      </w:tr>
    </w:tbl>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19" w:name="b.-what-must-be-built"/>
    <w:p>
      <w:pPr>
        <w:pStyle w:val="Heading3"/>
      </w:pPr>
      <w:r>
        <w:t xml:space="preserve">1b. What must be built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Quantity</w:t>
            </w:r>
          </w:p>
        </w:tc>
        <w:tc>
          <w:tcPr/>
          <w:p>
            <w:pPr>
              <w:pStyle w:val="Compact"/>
            </w:pPr>
            <w:r>
              <w:t xml:space="preserve">Description</w:t>
            </w:r>
          </w:p>
        </w:tc>
        <w:tc>
          <w:tcPr/>
          <w:p>
            <w:pPr>
              <w:pStyle w:val="Compact"/>
            </w:pPr>
            <w:r>
              <w:t xml:space="preserve">Drawing</w:t>
            </w:r>
          </w:p>
        </w:tc>
        <w:tc>
          <w:tcPr/>
          <w:p>
            <w:pPr>
              <w:pStyle w:val="Compact"/>
            </w:pPr>
            <w:r>
              <w:t xml:space="preserve">Estimated cost (USD)</w:t>
            </w:r>
          </w:p>
        </w:tc>
        <w:tc>
          <w:tcPr/>
          <w:p>
            <w:pPr>
              <w:pStyle w:val="Compact"/>
            </w:pPr>
            <w:r>
              <w:t xml:space="preserve">From</w:t>
            </w:r>
          </w:p>
        </w:tc>
      </w:tr>
      <w:tr>
        <w:tc>
          <w:tcPr/>
          <w:p>
            <w:pPr>
              <w:pStyle w:val="Compact"/>
            </w:pPr>
            <w:r>
              <w:t xml:space="preserve">Target adapter</w:t>
            </w:r>
          </w:p>
        </w:tc>
        <w:tc>
          <w:tcPr/>
          <w:p>
            <w:pPr>
              <w:pStyle w:val="Compact"/>
            </w:pPr>
            <w:r>
              <w:t xml:space="preserve">1</w:t>
            </w:r>
          </w:p>
        </w:tc>
        <w:tc>
          <w:tcPr/>
          <w:p>
            <w:pPr>
              <w:pStyle w:val="Compact"/>
            </w:pPr>
            <w:r>
              <w:t xml:space="preserve">Flange plate with the spigot bore and the cross-pin hole; ISO 9409-1-50-4-M6 interface</w:t>
            </w:r>
          </w:p>
        </w:tc>
        <w:tc>
          <w:tcPr/>
          <w:p>
            <w:pPr>
              <w:pStyle w:val="Compact"/>
            </w:pPr>
            <w:r>
              <w:t xml:space="preserve">PT-01</w:t>
            </w:r>
          </w:p>
        </w:tc>
        <w:tc>
          <w:tcPr/>
          <w:p>
            <w:pPr>
              <w:pStyle w:val="Compact"/>
            </w:pPr>
            <w:r>
              <w:t xml:space="preserve">$300 to $700</w:t>
            </w:r>
          </w:p>
        </w:tc>
        <w:tc>
          <w:tcPr/>
          <w:p>
            <w:pPr>
              <w:pStyle w:val="Compact"/>
            </w:pPr>
            <w:r>
              <w:t xml:space="preserve">new</w:t>
            </w:r>
          </w:p>
        </w:tc>
      </w:tr>
      <w:tr>
        <w:tc>
          <w:tcPr/>
          <w:p>
            <w:pPr>
              <w:pStyle w:val="Compact"/>
            </w:pPr>
            <w:r>
              <w:t xml:space="preserve">Target spigots</w:t>
            </w:r>
          </w:p>
        </w:tc>
        <w:tc>
          <w:tcPr/>
          <w:p>
            <w:pPr>
              <w:pStyle w:val="Compact"/>
            </w:pPr>
            <w:r>
              <w:t xml:space="preserve">4</w:t>
            </w:r>
          </w:p>
        </w:tc>
        <w:tc>
          <w:tcPr/>
          <w:p>
            <w:pPr>
              <w:pStyle w:val="Compact"/>
            </w:pPr>
            <w:r>
              <w:t xml:space="preserve">One per feature target: turned spigot with its orientation dowel and mounting flange</w:t>
            </w:r>
          </w:p>
        </w:tc>
        <w:tc>
          <w:tcPr/>
          <w:p>
            <w:pPr>
              <w:pStyle w:val="Compact"/>
            </w:pPr>
            <w:r>
              <w:t xml:space="preserve">PT-02</w:t>
            </w:r>
          </w:p>
        </w:tc>
        <w:tc>
          <w:tcPr/>
          <w:p>
            <w:pPr>
              <w:pStyle w:val="Compact"/>
            </w:pPr>
            <w:r>
              <w:t xml:space="preserve">$240 to $600</w:t>
            </w:r>
          </w:p>
        </w:tc>
        <w:tc>
          <w:tcPr/>
          <w:p>
            <w:pPr>
              <w:pStyle w:val="Compact"/>
            </w:pPr>
            <w:r>
              <w:t xml:space="preserve">new</w:t>
            </w:r>
          </w:p>
        </w:tc>
      </w:tr>
      <w:tr>
        <w:tc>
          <w:tcPr/>
          <w:p>
            <w:pPr>
              <w:pStyle w:val="Compact"/>
            </w:pPr>
            <w:r>
              <w:t xml:space="preserve">Standoff sets, 15 mm and 60 mm gaps</w:t>
            </w:r>
          </w:p>
        </w:tc>
        <w:tc>
          <w:tcPr/>
          <w:p>
            <w:pPr>
              <w:pStyle w:val="Compact"/>
            </w:pPr>
            <w:r>
              <w:t xml:space="preserve">4 lengths, 32 pieces with spares</w:t>
            </w:r>
          </w:p>
        </w:tc>
        <w:tc>
          <w:tcPr/>
          <w:p>
            <w:pPr>
              <w:pStyle w:val="Compact"/>
            </w:pPr>
            <w:r>
              <w:t xml:space="preserve">Set the gap G (the step the sensor sees) between the front and back plates of T3b and T5, and hidden behind the raised square of T3a; the body is G minus the front part’s thickness; T4’s disks stand on their own 2 mm posts</w:t>
            </w:r>
          </w:p>
        </w:tc>
        <w:tc>
          <w:tcPr/>
          <w:p>
            <w:pPr>
              <w:pStyle w:val="Compact"/>
            </w:pPr>
            <w:r>
              <w:t xml:space="preserve">PT-03</w:t>
            </w:r>
          </w:p>
        </w:tc>
        <w:tc>
          <w:tcPr/>
          <w:p>
            <w:pPr>
              <w:pStyle w:val="Compact"/>
            </w:pPr>
            <w:r>
              <w:t xml:space="preserve">$150 to $450</w:t>
            </w:r>
          </w:p>
        </w:tc>
        <w:tc>
          <w:tcPr/>
          <w:p>
            <w:pPr>
              <w:pStyle w:val="Compact"/>
            </w:pPr>
            <w:r>
              <w:t xml:space="preserve">new</w:t>
            </w:r>
          </w:p>
        </w:tc>
      </w:tr>
      <w:tr>
        <w:tc>
          <w:tcPr/>
          <w:p>
            <w:pPr>
              <w:pStyle w:val="Compact"/>
            </w:pPr>
            <w:r>
              <w:t xml:space="preserve">T3a, raised square</w:t>
            </w:r>
          </w:p>
        </w:tc>
        <w:tc>
          <w:tcPr/>
          <w:p>
            <w:pPr>
              <w:pStyle w:val="Compact"/>
            </w:pPr>
            <w:r>
              <w:t xml:space="preserve">1</w:t>
            </w:r>
          </w:p>
        </w:tc>
        <w:tc>
          <w:tcPr/>
          <w:p>
            <w:pPr>
              <w:pStyle w:val="Compact"/>
            </w:pPr>
            <w:r>
              <w:t xml:space="preserve">Back plate, knife-edged 160 mm square on hidden standoffs, back-beveled; bead-blast finish</w:t>
            </w:r>
          </w:p>
        </w:tc>
        <w:tc>
          <w:tcPr/>
          <w:p>
            <w:pPr>
              <w:pStyle w:val="Compact"/>
            </w:pPr>
            <w:r>
              <w:t xml:space="preserve">PT-04</w:t>
            </w:r>
          </w:p>
        </w:tc>
        <w:tc>
          <w:tcPr/>
          <w:p>
            <w:pPr>
              <w:pStyle w:val="Compact"/>
            </w:pPr>
            <w:r>
              <w:t xml:space="preserve">$350 to $900</w:t>
            </w:r>
          </w:p>
        </w:tc>
        <w:tc>
          <w:tcPr/>
          <w:p>
            <w:pPr>
              <w:pStyle w:val="Compact"/>
            </w:pPr>
            <w:r>
              <w:t xml:space="preserve">new</w:t>
            </w:r>
          </w:p>
        </w:tc>
      </w:tr>
      <w:tr>
        <w:tc>
          <w:tcPr/>
          <w:p>
            <w:pPr>
              <w:pStyle w:val="Compact"/>
            </w:pPr>
            <w:r>
              <w:t xml:space="preserve">T3b, square window</w:t>
            </w:r>
          </w:p>
        </w:tc>
        <w:tc>
          <w:tcPr/>
          <w:p>
            <w:pPr>
              <w:pStyle w:val="Compact"/>
            </w:pPr>
            <w:r>
              <w:t xml:space="preserve">1</w:t>
            </w:r>
          </w:p>
        </w:tc>
        <w:tc>
          <w:tcPr/>
          <w:p>
            <w:pPr>
              <w:pStyle w:val="Compact"/>
            </w:pPr>
            <w:r>
              <w:t xml:space="preserve">Front plate with the countersunk 160 mm window, back plate; bead-blast finish</w:t>
            </w:r>
          </w:p>
        </w:tc>
        <w:tc>
          <w:tcPr/>
          <w:p>
            <w:pPr>
              <w:pStyle w:val="Compact"/>
            </w:pPr>
            <w:r>
              <w:t xml:space="preserve">PT-05</w:t>
            </w:r>
          </w:p>
        </w:tc>
        <w:tc>
          <w:tcPr/>
          <w:p>
            <w:pPr>
              <w:pStyle w:val="Compact"/>
            </w:pPr>
            <w:r>
              <w:t xml:space="preserve">$350 to $900</w:t>
            </w:r>
          </w:p>
        </w:tc>
        <w:tc>
          <w:tcPr/>
          <w:p>
            <w:pPr>
              <w:pStyle w:val="Compact"/>
            </w:pPr>
            <w:r>
              <w:t xml:space="preserve">new</w:t>
            </w:r>
          </w:p>
        </w:tc>
      </w:tr>
      <w:tr>
        <w:tc>
          <w:tcPr/>
          <w:p>
            <w:pPr>
              <w:pStyle w:val="Compact"/>
            </w:pPr>
            <w:r>
              <w:t xml:space="preserve">T4, disk plate</w:t>
            </w:r>
          </w:p>
        </w:tc>
        <w:tc>
          <w:tcPr/>
          <w:p>
            <w:pPr>
              <w:pStyle w:val="Compact"/>
            </w:pPr>
            <w:r>
              <w:t xml:space="preserve">1</w:t>
            </w:r>
          </w:p>
        </w:tc>
        <w:tc>
          <w:tcPr/>
          <w:p>
            <w:pPr>
              <w:pStyle w:val="Compact"/>
            </w:pPr>
            <w:r>
              <w:t xml:space="preserve">Back plate, three back-beveled disks on 2 mm posts (one assembly per gap), one post-only site; bead-blast finish</w:t>
            </w:r>
          </w:p>
        </w:tc>
        <w:tc>
          <w:tcPr/>
          <w:p>
            <w:pPr>
              <w:pStyle w:val="Compact"/>
            </w:pPr>
            <w:r>
              <w:t xml:space="preserve">PT-06</w:t>
            </w:r>
          </w:p>
        </w:tc>
        <w:tc>
          <w:tcPr/>
          <w:p>
            <w:pPr>
              <w:pStyle w:val="Compact"/>
            </w:pPr>
            <w:r>
              <w:t xml:space="preserve">$450 to $1,200</w:t>
            </w:r>
          </w:p>
        </w:tc>
        <w:tc>
          <w:tcPr/>
          <w:p>
            <w:pPr>
              <w:pStyle w:val="Compact"/>
            </w:pPr>
            <w:r>
              <w:t xml:space="preserve">new</w:t>
            </w:r>
          </w:p>
        </w:tc>
      </w:tr>
      <w:tr>
        <w:tc>
          <w:tcPr/>
          <w:p>
            <w:pPr>
              <w:pStyle w:val="Compact"/>
            </w:pPr>
            <w:r>
              <w:t xml:space="preserve">T5, cutout plate</w:t>
            </w:r>
          </w:p>
        </w:tc>
        <w:tc>
          <w:tcPr/>
          <w:p>
            <w:pPr>
              <w:pStyle w:val="Compact"/>
            </w:pPr>
            <w:r>
              <w:t xml:space="preserve">1</w:t>
            </w:r>
          </w:p>
        </w:tc>
        <w:tc>
          <w:tcPr/>
          <w:p>
            <w:pPr>
              <w:pStyle w:val="Compact"/>
            </w:pPr>
            <w:r>
              <w:t xml:space="preserve">Front plate with three countersunk holes, removable back plate, and the edge bracket that carries the spigot; bead-blast finish</w:t>
            </w:r>
          </w:p>
        </w:tc>
        <w:tc>
          <w:tcPr/>
          <w:p>
            <w:pPr>
              <w:pStyle w:val="Compact"/>
            </w:pPr>
            <w:r>
              <w:t xml:space="preserve">PT-07</w:t>
            </w:r>
          </w:p>
        </w:tc>
        <w:tc>
          <w:tcPr/>
          <w:p>
            <w:pPr>
              <w:pStyle w:val="Compact"/>
            </w:pPr>
            <w:r>
              <w:t xml:space="preserve">$450 to $1,100</w:t>
            </w:r>
          </w:p>
        </w:tc>
        <w:tc>
          <w:tcPr/>
          <w:p>
            <w:pPr>
              <w:pStyle w:val="Compact"/>
            </w:pPr>
            <w:r>
              <w:t xml:space="preserve">new</w:t>
            </w:r>
          </w:p>
        </w:tc>
      </w:tr>
      <w:tr>
        <w:tc>
          <w:tcPr/>
          <w:p>
            <w:pPr>
              <w:pStyle w:val="Compact"/>
            </w:pPr>
            <w:r>
              <w:t xml:space="preserve">Noise and registration board (T2) with its adapter</w:t>
            </w:r>
          </w:p>
        </w:tc>
        <w:tc>
          <w:tcPr/>
          <w:p>
            <w:pPr>
              <w:pStyle w:val="Compact"/>
            </w:pPr>
            <w:r>
              <w:t xml:space="preserve">1</w:t>
            </w:r>
          </w:p>
        </w:tc>
        <w:tc>
          <w:tcPr/>
          <w:p>
            <w:pPr>
              <w:pStyle w:val="Compact"/>
            </w:pPr>
            <w:r>
              <w:t xml:space="preserve">200 x 150 mm board flat to 0.05 mm on the SC1-05 board adapter</w:t>
            </w:r>
          </w:p>
        </w:tc>
        <w:tc>
          <w:tcPr/>
          <w:p>
            <w:pPr>
              <w:pStyle w:val="Compact"/>
            </w:pPr>
            <w:r>
              <w:t xml:space="preserve">SC1-05</w:t>
            </w:r>
          </w:p>
        </w:tc>
        <w:tc>
          <w:tcPr/>
          <w:p>
            <w:pPr>
              <w:pStyle w:val="Compact"/>
            </w:pPr>
            <w:r>
              <w:t xml:space="preserve">$300 to $1,000</w:t>
            </w:r>
          </w:p>
        </w:tc>
        <w:tc>
          <w:tcPr/>
          <w:p>
            <w:pPr>
              <w:pStyle w:val="Compact"/>
            </w:pPr>
            <w:r>
              <w:t xml:space="preserve">stage 1</w:t>
            </w:r>
          </w:p>
        </w:tc>
      </w:tr>
      <w:tr>
        <w:tc>
          <w:tcPr/>
          <w:p>
            <w:pPr>
              <w:pStyle w:val="Compact"/>
            </w:pPr>
            <w:r>
              <w:t xml:space="preserve">Run-out fixture</w:t>
            </w:r>
          </w:p>
        </w:tc>
        <w:tc>
          <w:tcPr/>
          <w:p>
            <w:pPr>
              <w:pStyle w:val="Compact"/>
            </w:pPr>
            <w:r>
              <w:t xml:space="preserve">1</w:t>
            </w:r>
          </w:p>
        </w:tc>
        <w:tc>
          <w:tcPr/>
          <w:p>
            <w:pPr>
              <w:pStyle w:val="Compact"/>
            </w:pPr>
            <w:r>
              <w:t xml:space="preserve">Dial indicator on a magnetic base on a bolted steel plate; the in-house flatness check</w:t>
            </w:r>
          </w:p>
        </w:tc>
        <w:tc>
          <w:tcPr/>
          <w:p>
            <w:pPr>
              <w:pStyle w:val="Compact"/>
            </w:pPr>
            <w:r>
              <w:t xml:space="preserve">none needed</w:t>
            </w:r>
          </w:p>
        </w:tc>
        <w:tc>
          <w:tcPr/>
          <w:p>
            <w:pPr>
              <w:pStyle w:val="Compact"/>
            </w:pPr>
            <w:r>
              <w:t xml:space="preserve">$240 to $570</w:t>
            </w:r>
          </w:p>
        </w:tc>
        <w:tc>
          <w:tcPr/>
          <w:p>
            <w:pPr>
              <w:pStyle w:val="Compact"/>
            </w:pPr>
            <w:r>
              <w:t xml:space="preserve">stage 1</w:t>
            </w:r>
          </w:p>
        </w:tc>
      </w:tr>
      <w:tr>
        <w:tc>
          <w:tcPr/>
          <w:p>
            <w:pPr>
              <w:pStyle w:val="Compact"/>
            </w:pPr>
            <w:r>
              <w:t xml:space="preserve">Rigid sensor mount</w:t>
            </w:r>
          </w:p>
        </w:tc>
        <w:tc>
          <w:tcPr/>
          <w:p>
            <w:pPr>
              <w:pStyle w:val="Compact"/>
            </w:pPr>
            <w:r>
              <w:t xml:space="preserve">1</w:t>
            </w:r>
          </w:p>
        </w:tc>
        <w:tc>
          <w:tcPr/>
          <w:p>
            <w:pPr>
              <w:pStyle w:val="Compact"/>
            </w:pPr>
            <w:r>
              <w:t xml:space="preserve">Stiff bracket from the existing drawing of previous work; not estimated here</w:t>
            </w:r>
          </w:p>
        </w:tc>
        <w:tc>
          <w:tcPr/>
          <w:p>
            <w:pPr>
              <w:pStyle w:val="Compact"/>
            </w:pPr>
            <w:r>
              <w:t xml:space="preserve">existing drawing</w:t>
            </w:r>
          </w:p>
        </w:tc>
        <w:tc>
          <w:tcPr/>
          <w:p>
            <w:pPr>
              <w:pStyle w:val="Compact"/>
            </w:pPr>
            <w:r>
              <w:t xml:space="preserve">not estimated</w:t>
            </w:r>
          </w:p>
        </w:tc>
        <w:tc>
          <w:tcPr/>
          <w:p>
            <w:pPr>
              <w:pStyle w:val="Compact"/>
            </w:pPr>
            <w:r>
              <w:t xml:space="preserve">stage 1</w:t>
            </w:r>
          </w:p>
        </w:tc>
      </w:tr>
    </w:tbl>
    <w:p>
      <w:pPr>
        <w:pStyle w:val="BodyText"/>
      </w:pPr>
      <w:r>
        <w:t xml:space="preserve">Table 1. What must be built. The items marked</w:t>
      </w:r>
      <w:r>
        <w:t xml:space="preserve"> </w:t>
      </w:r>
      <w:r>
        <w:t xml:space="preserve">“stage 1”</w:t>
      </w:r>
      <w:r>
        <w:t xml:space="preserve"> </w:t>
      </w:r>
      <w:r>
        <w:t xml:space="preserve">exist if the stage-1 calibration project has been run and cost nothing more; otherwise they are built to the stage-1 drawing and specification.</w:t>
      </w:r>
    </w:p>
    <w:p>
      <w:pPr>
        <w:pStyle w:val="BodyText"/>
      </w:pPr>
      <w:r>
        <w:t xml:space="preserve">The four feature targets (T3a, T3b, T4, T5) share one mounting system (Figure 3): the target adapter (PT-01) bolts to the robot flange and carries a 40 mm H7 bore with a keyway; each target carries a spigot (PT-02) bolted to the back of its back plate (on T5, whose back plate is removable, to the edge bracket at the plate’s left edge, drawing PT-07), with a radial dowel that enters the keyway and sets the target’s orientation; a ball-lock pin through the adapter’s cross hole and the spigot’s cross hole holds the target. Changing targets is a matter of pulling the pin, lifting the target off and dropping the next one in, with the same datum every time: the spigot axis and the dowel are the dowel datum that every target’s as-built record refers to (§2). The board T2 does not use the spigot; it stays on its own SC1-05 adapter, and swapping between the board and a feature target means swapping the adapter on the flange, which the once-per-mount check of §4 allows for.</w:t>
      </w:r>
    </w:p>
    <w:p>
      <w:pPr>
        <w:pStyle w:val="BodyText"/>
      </w:pPr>
      <w:r>
        <w:drawing>
          <wp:inline>
            <wp:extent cx="5334000" cy="2461846"/>
            <wp:effectExtent b="0" l="0" r="0" t="0"/>
            <wp:docPr descr="" title="" id="17" name="Picture"/>
            <a:graphic>
              <a:graphicData uri="http://schemas.openxmlformats.org/drawingml/2006/picture">
                <pic:pic>
                  <pic:nvPicPr>
                    <pic:cNvPr descr="figures/fig_mounting.png" id="18" name="Picture"/>
                    <pic:cNvPicPr>
                      <a:picLocks noChangeArrowheads="1" noChangeAspect="1"/>
                    </pic:cNvPicPr>
                  </pic:nvPicPr>
                  <pic:blipFill>
                    <a:blip r:embed="rId16"/>
                    <a:stretch>
                      <a:fillRect/>
                    </a:stretch>
                  </pic:blipFill>
                  <pic:spPr bwMode="auto">
                    <a:xfrm>
                      <a:off x="0" y="0"/>
                      <a:ext cx="5334000" cy="2461846"/>
                    </a:xfrm>
                    <a:prstGeom prst="rect">
                      <a:avLst/>
                    </a:prstGeom>
                    <a:noFill/>
                    <a:ln w="9525">
                      <a:noFill/>
                      <a:headEnd/>
                      <a:tailEnd/>
                    </a:ln>
                  </pic:spPr>
                </pic:pic>
              </a:graphicData>
            </a:graphic>
          </wp:inline>
        </w:drawing>
      </w:r>
    </w:p>
    <w:p>
      <w:pPr>
        <w:pStyle w:val="BodyText"/>
      </w:pPr>
      <w:r>
        <w:t xml:space="preserve">Figure 3. 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p>
      <w:pPr>
        <w:pStyle w:val="BodyText"/>
      </w:pPr>
      <w:r>
        <w:t xml:space="preserve">The gap G is the depth step between the two faces the sensor sees: the front face of the front part and the front face of the back plate. It is set by standoffs (PT-03) between the front and back plates of T3b and T5 and hidden behind the raised square of T3a (on a 64 mm square), whose body length is G minus the front part’s thickness, and by the free length of the disk posts of T4, G minus the disk thickness; T4 is delivered with a disk-and-post assembly for each gap.</w:t>
      </w:r>
    </w:p>
    <w:bookmarkEnd w:id="19"/>
    <w:bookmarkStart w:id="20" w:name="c.-what-must-be-bought"/>
    <w:p>
      <w:pPr>
        <w:pStyle w:val="Heading3"/>
      </w:pPr>
      <w:r>
        <w:t xml:space="preserve">1c. What must be bought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Purpose</w:t>
            </w:r>
          </w:p>
        </w:tc>
        <w:tc>
          <w:tcPr/>
          <w:p>
            <w:pPr>
              <w:pStyle w:val="Compact"/>
            </w:pPr>
            <w:r>
              <w:t xml:space="preserve">Estimated cost (USD)</w:t>
            </w:r>
          </w:p>
        </w:tc>
        <w:tc>
          <w:tcPr/>
          <w:p>
            <w:pPr>
              <w:pStyle w:val="Compact"/>
            </w:pPr>
            <w:r>
              <w:t xml:space="preserve">From</w:t>
            </w:r>
          </w:p>
        </w:tc>
      </w:tr>
      <w:tr>
        <w:tc>
          <w:tcPr/>
          <w:p>
            <w:pPr>
              <w:pStyle w:val="Compact"/>
            </w:pPr>
            <w:r>
              <w:t xml:space="preserve">Ball-lock pins, 8 mm, 2 off</w:t>
            </w:r>
          </w:p>
        </w:tc>
        <w:tc>
          <w:tcPr/>
          <w:p>
            <w:pPr>
              <w:pStyle w:val="Compact"/>
            </w:pPr>
            <w:r>
              <w:t xml:space="preserve">Hold a target’s spigot in the adapter; one spare</w:t>
            </w:r>
          </w:p>
        </w:tc>
        <w:tc>
          <w:tcPr/>
          <w:p>
            <w:pPr>
              <w:pStyle w:val="Compact"/>
            </w:pPr>
            <w:r>
              <w:t xml:space="preserve">$40 to $120</w:t>
            </w:r>
          </w:p>
        </w:tc>
        <w:tc>
          <w:tcPr/>
          <w:p>
            <w:pPr>
              <w:pStyle w:val="Compact"/>
            </w:pPr>
            <w:r>
              <w:t xml:space="preserve">new</w:t>
            </w:r>
          </w:p>
        </w:tc>
      </w:tr>
      <w:tr>
        <w:tc>
          <w:tcPr/>
          <w:p>
            <w:pPr>
              <w:pStyle w:val="Compact"/>
            </w:pPr>
            <w:r>
              <w:t xml:space="preserve">Calipers, 600 mm, or a 500 mm steel rule</w:t>
            </w:r>
          </w:p>
        </w:tc>
        <w:tc>
          <w:tcPr/>
          <w:p>
            <w:pPr>
              <w:pStyle w:val="Compact"/>
            </w:pPr>
            <w:r>
              <w:t xml:space="preserve">Plate width and length, the in-house size check</w:t>
            </w:r>
          </w:p>
        </w:tc>
        <w:tc>
          <w:tcPr/>
          <w:p>
            <w:pPr>
              <w:pStyle w:val="Compact"/>
            </w:pPr>
            <w:r>
              <w:t xml:space="preserve">$40 to $250</w:t>
            </w:r>
          </w:p>
        </w:tc>
        <w:tc>
          <w:tcPr/>
          <w:p>
            <w:pPr>
              <w:pStyle w:val="Compact"/>
            </w:pPr>
            <w:r>
              <w:t xml:space="preserve">new</w:t>
            </w:r>
          </w:p>
        </w:tc>
      </w:tr>
      <w:tr>
        <w:tc>
          <w:tcPr/>
          <w:p>
            <w:pPr>
              <w:pStyle w:val="Compact"/>
            </w:pPr>
            <w:r>
              <w:t xml:space="preserve">Calipers with depth rod, 150 mm</w:t>
            </w:r>
          </w:p>
        </w:tc>
        <w:tc>
          <w:tcPr/>
          <w:p>
            <w:pPr>
              <w:pStyle w:val="Compact"/>
            </w:pPr>
            <w:r>
              <w:t xml:space="preserve">Gap G and standoff lengths</w:t>
            </w:r>
          </w:p>
        </w:tc>
        <w:tc>
          <w:tcPr/>
          <w:p>
            <w:pPr>
              <w:pStyle w:val="Compact"/>
            </w:pPr>
            <w:r>
              <w:t xml:space="preserve">$30 to $150</w:t>
            </w:r>
          </w:p>
        </w:tc>
        <w:tc>
          <w:tcPr/>
          <w:p>
            <w:pPr>
              <w:pStyle w:val="Compact"/>
            </w:pPr>
            <w:r>
              <w:t xml:space="preserve">stage 1</w:t>
            </w:r>
          </w:p>
        </w:tc>
      </w:tr>
      <w:tr>
        <w:tc>
          <w:tcPr/>
          <w:p>
            <w:pPr>
              <w:pStyle w:val="Compact"/>
            </w:pPr>
            <w:r>
              <w:t xml:space="preserve">Torque wrench</w:t>
            </w:r>
          </w:p>
        </w:tc>
        <w:tc>
          <w:tcPr/>
          <w:p>
            <w:pPr>
              <w:pStyle w:val="Compact"/>
            </w:pPr>
            <w:r>
              <w:t xml:space="preserve">Recorded adapter and spigot screw torques</w:t>
            </w:r>
          </w:p>
        </w:tc>
        <w:tc>
          <w:tcPr/>
          <w:p>
            <w:pPr>
              <w:pStyle w:val="Compact"/>
            </w:pPr>
            <w:r>
              <w:t xml:space="preserve">$80 to $250</w:t>
            </w:r>
          </w:p>
        </w:tc>
        <w:tc>
          <w:tcPr/>
          <w:p>
            <w:pPr>
              <w:pStyle w:val="Compact"/>
            </w:pPr>
            <w:r>
              <w:t xml:space="preserve">stage 1</w:t>
            </w:r>
          </w:p>
        </w:tc>
      </w:tr>
      <w:tr>
        <w:tc>
          <w:tcPr/>
          <w:p>
            <w:pPr>
              <w:pStyle w:val="Compact"/>
            </w:pPr>
            <w:r>
              <w:t xml:space="preserve">Temperature loggers, 2</w:t>
            </w:r>
          </w:p>
        </w:tc>
        <w:tc>
          <w:tcPr/>
          <w:p>
            <w:pPr>
              <w:pStyle w:val="Compact"/>
            </w:pPr>
            <w:r>
              <w:t xml:space="preserve">Sensor housing and air, one sample per minute, for drift attribution</w:t>
            </w:r>
          </w:p>
        </w:tc>
        <w:tc>
          <w:tcPr/>
          <w:p>
            <w:pPr>
              <w:pStyle w:val="Compact"/>
            </w:pPr>
            <w:r>
              <w:t xml:space="preserve">$60 to $200</w:t>
            </w:r>
          </w:p>
        </w:tc>
        <w:tc>
          <w:tcPr/>
          <w:p>
            <w:pPr>
              <w:pStyle w:val="Compact"/>
            </w:pPr>
            <w:r>
              <w:t xml:space="preserve">new</w:t>
            </w:r>
          </w:p>
        </w:tc>
      </w:tr>
      <w:tr>
        <w:tc>
          <w:tcPr/>
          <w:p>
            <w:pPr>
              <w:pStyle w:val="Compact"/>
            </w:pPr>
            <w:r>
              <w:t xml:space="preserve">Consumables</w:t>
            </w:r>
          </w:p>
        </w:tc>
        <w:tc>
          <w:tcPr/>
          <w:p>
            <w:pPr>
              <w:pStyle w:val="Compact"/>
            </w:pPr>
            <w:r>
              <w:t xml:space="preserve">Medium-strength thread locker, low-strength removable retaining compound for the disk posts, isopropyl alcohol and wipes, padded cases for the targets</w:t>
            </w:r>
          </w:p>
        </w:tc>
        <w:tc>
          <w:tcPr/>
          <w:p>
            <w:pPr>
              <w:pStyle w:val="Compact"/>
            </w:pPr>
            <w:r>
              <w:t xml:space="preserve">$40 to $120</w:t>
            </w:r>
          </w:p>
        </w:tc>
        <w:tc>
          <w:tcPr/>
          <w:p>
            <w:pPr>
              <w:pStyle w:val="Compact"/>
            </w:pPr>
            <w:r>
              <w:t xml:space="preserve">new</w:t>
            </w:r>
          </w:p>
        </w:tc>
      </w:tr>
      <w:tr>
        <w:tc>
          <w:tcPr/>
          <w:p>
            <w:pPr>
              <w:pStyle w:val="Compact"/>
            </w:pPr>
            <w:r>
              <w:t xml:space="preserve">Phone camera</w:t>
            </w:r>
          </w:p>
        </w:tc>
        <w:tc>
          <w:tcPr/>
          <w:p>
            <w:pPr>
              <w:pStyle w:val="Compact"/>
            </w:pPr>
            <w:r>
              <w:t xml:space="preserve">Setup photos for the deliverables (section 13)</w:t>
            </w:r>
          </w:p>
        </w:tc>
        <w:tc>
          <w:tcPr/>
          <w:p>
            <w:pPr>
              <w:pStyle w:val="Compact"/>
            </w:pPr>
            <w:r>
              <w:t xml:space="preserve">in hand</w:t>
            </w:r>
          </w:p>
        </w:tc>
        <w:tc>
          <w:tcPr/>
          <w:p>
            <w:pPr>
              <w:pStyle w:val="Compact"/>
            </w:pPr>
            <w:r>
              <w:t xml:space="preserve">in hand</w:t>
            </w:r>
          </w:p>
        </w:tc>
      </w:tr>
    </w:tbl>
    <w:p>
      <w:pPr>
        <w:pStyle w:val="BodyText"/>
      </w:pPr>
      <w:r>
        <w:t xml:space="preserve">Table 2. What must be bought.</w:t>
      </w:r>
    </w:p>
    <w:p>
      <w:pPr>
        <w:pStyle w:val="BodyText"/>
      </w:pPr>
      <w:r>
        <w:t xml:space="preserve">Cost estimates (October 2026): the new items come to $2,290 to $5,850 to build and $180 to $690 to buy, $2,470 to $6,540 in all. If the stage-1 session has not been run, add its board, board adapter and run-out fixture and its calipers and torque wrench: $2,830 to $7,420 to build and $290 to $1,090 to buy, $3,120 to $8,510 in all. The figures come from suppliers’ list prices where these exist (appendix E) and otherwise from typical United States job-shop rates of about $80 to $150 per hour. Treat them as plus or minus 50 percent and get quotes; the four two-plane targets are the least certain figures, because the knife edges, the back bevels and the bead-blast finish are each a shop’s judgment.</w:t>
      </w:r>
    </w:p>
    <w:bookmarkEnd w:id="20"/>
    <w:bookmarkStart w:id="21" w:name="d.-purchase-specifications"/>
    <w:p>
      <w:pPr>
        <w:pStyle w:val="Heading3"/>
      </w:pPr>
      <w:r>
        <w:t xml:space="preserve">1d. Purchase specifications</w:t>
      </w:r>
    </w:p>
    <w:p>
      <w:pPr>
        <w:pStyle w:val="FirstParagraph"/>
      </w:pPr>
      <w:r>
        <w:t xml:space="preserve">Hand the tables below, with the drawings of appendix F, to the fabricator. The four feature targets are one order: the plates are cut, drilled, chamfered and finished together so that every surface the sensor sees has the same finish.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Requirement</w:t>
            </w:r>
          </w:p>
        </w:tc>
        <w:tc>
          <w:tcPr/>
          <w:p>
            <w:pPr>
              <w:pStyle w:val="Compact"/>
            </w:pPr>
            <w:r>
              <w:t xml:space="preserve">T3a raised square</w:t>
            </w:r>
          </w:p>
        </w:tc>
        <w:tc>
          <w:tcPr/>
          <w:p>
            <w:pPr>
              <w:pStyle w:val="Compact"/>
            </w:pPr>
            <w:r>
              <w:t xml:space="preserve">T3b square window</w:t>
            </w:r>
          </w:p>
        </w:tc>
        <w:tc>
          <w:tcPr/>
          <w:p>
            <w:pPr>
              <w:pStyle w:val="Compact"/>
            </w:pPr>
            <w:r>
              <w:t xml:space="preserve">T4 disk plate</w:t>
            </w:r>
          </w:p>
        </w:tc>
        <w:tc>
          <w:tcPr/>
          <w:p>
            <w:pPr>
              <w:pStyle w:val="Compact"/>
            </w:pPr>
            <w:r>
              <w:t xml:space="preserve">T5 cutout plate</w:t>
            </w:r>
          </w:p>
        </w:tc>
      </w:tr>
      <w:tr>
        <w:tc>
          <w:tcPr/>
          <w:p>
            <w:pPr>
              <w:pStyle w:val="Compact"/>
            </w:pPr>
            <w:r>
              <w:t xml:space="preserve">Plates</w:t>
            </w:r>
          </w:p>
        </w:tc>
        <w:tc>
          <w:tcPr/>
          <w:p>
            <w:pPr>
              <w:pStyle w:val="Compact"/>
            </w:pPr>
            <w:r>
              <w:t xml:space="preserve">Back plate 300 x 300 mm; raised square 160 mm on hidden standoffs</w:t>
            </w:r>
          </w:p>
        </w:tc>
        <w:tc>
          <w:tcPr/>
          <w:p>
            <w:pPr>
              <w:pStyle w:val="Compact"/>
            </w:pPr>
            <w:r>
              <w:t xml:space="preserve">Front plate 300 x 300 mm with a 160 mm window; back plate the same size</w:t>
            </w:r>
          </w:p>
        </w:tc>
        <w:tc>
          <w:tcPr/>
          <w:p>
            <w:pPr>
              <w:pStyle w:val="Compact"/>
            </w:pPr>
            <w:r>
              <w:t xml:space="preserve">Back plate 336 x 198 mm; 3 disks of 7.0, 19.7 and 55.8 mm on 2 mm posts; 1 post without a disk</w:t>
            </w:r>
          </w:p>
        </w:tc>
        <w:tc>
          <w:tcPr/>
          <w:p>
            <w:pPr>
              <w:pStyle w:val="Compact"/>
            </w:pPr>
            <w:r>
              <w:t xml:space="preserve">Front plate 336 x 198 mm with 3 holes of 7.0, 19.7 and 55.8 mm; back plate the same size, removable</w:t>
            </w:r>
          </w:p>
        </w:tc>
      </w:tr>
      <w:tr>
        <w:tc>
          <w:tcPr/>
          <w:p>
            <w:pPr>
              <w:pStyle w:val="Compact"/>
            </w:pPr>
            <w:r>
              <w:t xml:space="preserve">Thickness</w:t>
            </w:r>
          </w:p>
        </w:tc>
        <w:tc>
          <w:tcPr/>
          <w:p>
            <w:pPr>
              <w:pStyle w:val="Compact"/>
            </w:pPr>
            <w:r>
              <w:t xml:space="preserve">Front plates 6 mm, back plates 8 mm (they carry the spigot); the raised square 10 mm, so its standoff holes can be blind</w:t>
            </w:r>
          </w:p>
        </w:tc>
        <w:tc>
          <w:tcPr/>
          <w:p>
            <w:pPr>
              <w:pStyle w:val="Compact"/>
            </w:pPr>
            <w:r>
              <w:t xml:space="preserve">same</w:t>
            </w:r>
          </w:p>
        </w:tc>
        <w:tc>
          <w:tcPr/>
          <w:p>
            <w:pPr>
              <w:pStyle w:val="Compact"/>
            </w:pPr>
            <w:r>
              <w:t xml:space="preserve">same; disks 2, 3 and 4 mm thick from the smallest to the largest</w:t>
            </w:r>
          </w:p>
        </w:tc>
        <w:tc>
          <w:tcPr/>
          <w:p>
            <w:pPr>
              <w:pStyle w:val="Compact"/>
            </w:pPr>
            <w:r>
              <w:t xml:space="preserve">same</w:t>
            </w:r>
          </w:p>
        </w:tc>
      </w:tr>
      <w:tr>
        <w:tc>
          <w:tcPr/>
          <w:p>
            <w:pPr>
              <w:pStyle w:val="Compact"/>
            </w:pPr>
            <w:r>
              <w:t xml:space="preserve">Knife edges</w:t>
            </w:r>
          </w:p>
        </w:tc>
        <w:tc>
          <w:tcPr/>
          <w:p>
            <w:pPr>
              <w:pStyle w:val="Compact"/>
            </w:pPr>
            <w:r>
              <w:t xml:space="preserve">Every edge of the square beveled from the back at 45 degrees, land 0.2 mm or less (§2)</w:t>
            </w:r>
          </w:p>
        </w:tc>
        <w:tc>
          <w:tcPr/>
          <w:p>
            <w:pPr>
              <w:pStyle w:val="Compact"/>
            </w:pPr>
            <w:r>
              <w:t xml:space="preserve">Window countersunk from the back at 45 degrees (90 degree included), land 0.2 mm or less</w:t>
            </w:r>
          </w:p>
        </w:tc>
        <w:tc>
          <w:tcPr/>
          <w:p>
            <w:pPr>
              <w:pStyle w:val="Compact"/>
            </w:pPr>
            <w:r>
              <w:t xml:space="preserve">Disks beveled from the back at 45 degrees, land 0.2 mm or less</w:t>
            </w:r>
          </w:p>
        </w:tc>
        <w:tc>
          <w:tcPr/>
          <w:p>
            <w:pPr>
              <w:pStyle w:val="Compact"/>
            </w:pPr>
            <w:r>
              <w:t xml:space="preserve">Holes countersunk from the back at 45 degrees, land 0.2 mm or less</w:t>
            </w:r>
          </w:p>
        </w:tc>
      </w:tr>
      <w:tr>
        <w:tc>
          <w:tcPr/>
          <w:p>
            <w:pPr>
              <w:pStyle w:val="Compact"/>
            </w:pPr>
            <w:r>
              <w:t xml:space="preserve">Feature sizes known to</w:t>
            </w:r>
          </w:p>
        </w:tc>
        <w:tc>
          <w:tcPr/>
          <w:p>
            <w:pPr>
              <w:pStyle w:val="Compact"/>
            </w:pPr>
            <w:r>
              <w:t xml:space="preserve">The fabricator’s inspection report gives each feature’s front-face size, land width, bevel angle and position from the spigot datum, each with the instrument’s uncertainty; the engineer enters them in</w:t>
            </w:r>
            <w:r>
              <w:t xml:space="preserve"> </w:t>
            </w:r>
            <w:r>
              <w:rPr>
                <w:rStyle w:val="VerbatimChar"/>
              </w:rPr>
              <w:t xml:space="preserve">targets_asbuilt.csv</w:t>
            </w:r>
            <w:r>
              <w:t xml:space="preserve"> </w:t>
            </w:r>
            <w:r>
              <w:t xml:space="preserve">(§2). A value left out of the report falls back to the nominal with the drawing tolerance as its uncertainty</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Flatness</w:t>
            </w:r>
          </w:p>
        </w:tc>
        <w:tc>
          <w:tcPr/>
          <w:p>
            <w:pPr>
              <w:pStyle w:val="Compact"/>
            </w:pPr>
            <w:r>
              <w:t xml:space="preserve">Every plate flat to 0.05 mm over its front face, checked by the fabricator before finishing and in-house with the run-out fixture after mounting (§2)</w:t>
            </w:r>
          </w:p>
        </w:tc>
        <w:tc>
          <w:tcPr/>
          <w:p>
            <w:pPr>
              <w:pStyle w:val="Compact"/>
            </w:pPr>
            <w:r>
              <w:t xml:space="preserve">same</w:t>
            </w:r>
          </w:p>
        </w:tc>
        <w:tc>
          <w:tcPr/>
          <w:p>
            <w:pPr>
              <w:pStyle w:val="Compact"/>
            </w:pPr>
            <w:r>
              <w:t xml:space="preserve">same</w:t>
            </w:r>
          </w:p>
        </w:tc>
        <w:tc>
          <w:tcPr/>
          <w:p>
            <w:pPr>
              <w:pStyle w:val="Compact"/>
            </w:pPr>
            <w:r>
              <w:t xml:space="preserve">same</w:t>
            </w:r>
          </w:p>
        </w:tc>
      </w:tr>
      <w:tr>
        <w:tc>
          <w:tcPr/>
          <w:p>
            <w:pPr>
              <w:pStyle w:val="Compact"/>
            </w:pPr>
            <w:r>
              <w:t xml:space="preserve">Gap</w:t>
            </w:r>
          </w:p>
        </w:tc>
        <w:tc>
          <w:tcPr/>
          <w:p>
            <w:pPr>
              <w:pStyle w:val="Compact"/>
            </w:pPr>
            <w:r>
              <w:t xml:space="preserve">Standoffs PT-03 for G = 15 and 60 mm (bodies of G minus 10 mm; aluminum, body length within 0.05 mm, as drawn), both sets, hidden behind the square</w:t>
            </w:r>
          </w:p>
        </w:tc>
        <w:tc>
          <w:tcPr/>
          <w:p>
            <w:pPr>
              <w:pStyle w:val="Compact"/>
            </w:pPr>
            <w:r>
              <w:t xml:space="preserve">Standoffs PT-03 (bodies of G minus 6 mm), both sets</w:t>
            </w:r>
          </w:p>
        </w:tc>
        <w:tc>
          <w:tcPr/>
          <w:p>
            <w:pPr>
              <w:pStyle w:val="Compact"/>
            </w:pPr>
            <w:r>
              <w:t xml:space="preserve">One disk-and-post assembly per disk per gap (free post length G minus the disk thickness, plus the plate’s blind hole and the disk’s bore), and a post-only part per gap</w:t>
            </w:r>
          </w:p>
        </w:tc>
        <w:tc>
          <w:tcPr/>
          <w:p>
            <w:pPr>
              <w:pStyle w:val="Compact"/>
            </w:pPr>
            <w:r>
              <w:t xml:space="preserve">Standoffs PT-03 (bodies of G minus 6 mm), both sets</w:t>
            </w:r>
          </w:p>
        </w:tc>
      </w:tr>
      <w:tr>
        <w:tc>
          <w:tcPr/>
          <w:p>
            <w:pPr>
              <w:pStyle w:val="Compact"/>
            </w:pPr>
            <w:r>
              <w:t xml:space="preserve">Material</w:t>
            </w:r>
          </w:p>
        </w:tc>
        <w:tc>
          <w:tcPr/>
          <w:p>
            <w:pPr>
              <w:pStyle w:val="Compact"/>
            </w:pPr>
            <w:r>
              <w:t xml:space="preserve">Aluminum tooling plate (MIC-6 or 6061-T6), finish-ground</w:t>
            </w:r>
          </w:p>
        </w:tc>
        <w:tc>
          <w:tcPr/>
          <w:p>
            <w:pPr>
              <w:pStyle w:val="Compact"/>
            </w:pPr>
            <w:r>
              <w:t xml:space="preserve">same</w:t>
            </w:r>
          </w:p>
        </w:tc>
        <w:tc>
          <w:tcPr/>
          <w:p>
            <w:pPr>
              <w:pStyle w:val="Compact"/>
            </w:pPr>
            <w:r>
              <w:t xml:space="preserve">same; disks turned from aluminum; posts 2 mm stainless steel drill rod</w:t>
            </w:r>
          </w:p>
        </w:tc>
        <w:tc>
          <w:tcPr/>
          <w:p>
            <w:pPr>
              <w:pStyle w:val="Compact"/>
            </w:pPr>
            <w:r>
              <w:t xml:space="preserve">same</w:t>
            </w:r>
          </w:p>
        </w:tc>
      </w:tr>
      <w:tr>
        <w:tc>
          <w:tcPr/>
          <w:p>
            <w:pPr>
              <w:pStyle w:val="Compact"/>
            </w:pPr>
            <w:r>
              <w:t xml:space="preserve">Surface</w:t>
            </w:r>
          </w:p>
        </w:tc>
        <w:tc>
          <w:tcPr/>
          <w:p>
            <w:pPr>
              <w:pStyle w:val="Compact"/>
            </w:pPr>
            <w:r>
              <w:t xml:space="preserve">One finish on every front and back face: fine glass-bead blast, uniform, light, mid-range reflectance at the projector wavelength; all plates blasted in one batch with one medium and one pressure. No paint on plates thinner than 10 mm unless the fabricator confirms flatness after painting</w:t>
            </w:r>
          </w:p>
        </w:tc>
        <w:tc>
          <w:tcPr/>
          <w:p>
            <w:pPr>
              <w:pStyle w:val="Compact"/>
            </w:pPr>
            <w:r>
              <w:t xml:space="preserve">same</w:t>
            </w:r>
          </w:p>
        </w:tc>
        <w:tc>
          <w:tcPr/>
          <w:p>
            <w:pPr>
              <w:pStyle w:val="Compact"/>
            </w:pPr>
            <w:r>
              <w:t xml:space="preserve">same, disks included; the 2 mm posts are left as drawn (dull stainless rod, not blasted)</w:t>
            </w:r>
          </w:p>
        </w:tc>
        <w:tc>
          <w:tcPr/>
          <w:p>
            <w:pPr>
              <w:pStyle w:val="Compact"/>
            </w:pPr>
            <w:r>
              <w:t xml:space="preserve">same</w:t>
            </w:r>
          </w:p>
        </w:tc>
      </w:tr>
      <w:tr>
        <w:tc>
          <w:tcPr/>
          <w:p>
            <w:pPr>
              <w:pStyle w:val="Compact"/>
            </w:pPr>
            <w:r>
              <w:t xml:space="preserve">Mounting interface</w:t>
            </w:r>
          </w:p>
        </w:tc>
        <w:tc>
          <w:tcPr/>
          <w:p>
            <w:pPr>
              <w:pStyle w:val="Compact"/>
            </w:pPr>
            <w:r>
              <w:t xml:space="preserve">Spigot PT-02 on the back of the back plate: four M5 tapped holes on a 60 mm pitch circle, oriented to the drawing</w:t>
            </w:r>
          </w:p>
        </w:tc>
        <w:tc>
          <w:tcPr/>
          <w:p>
            <w:pPr>
              <w:pStyle w:val="Compact"/>
            </w:pPr>
            <w:r>
              <w:t xml:space="preserve">same</w:t>
            </w:r>
          </w:p>
        </w:tc>
        <w:tc>
          <w:tcPr/>
          <w:p>
            <w:pPr>
              <w:pStyle w:val="Compact"/>
            </w:pPr>
            <w:r>
              <w:t xml:space="preserve">same</w:t>
            </w:r>
          </w:p>
        </w:tc>
        <w:tc>
          <w:tcPr/>
          <w:p>
            <w:pPr>
              <w:pStyle w:val="Compact"/>
            </w:pPr>
            <w:r>
              <w:t xml:space="preserve">Spigot PT-02 on the edge bracket PT-07.3 at the plate’s left edge, so the back plate can be removed; the same four M5 on a 60 mm pitch circle</w:t>
            </w:r>
          </w:p>
        </w:tc>
      </w:tr>
      <w:tr>
        <w:tc>
          <w:tcPr/>
          <w:p>
            <w:pPr>
              <w:pStyle w:val="Compact"/>
            </w:pPr>
            <w:r>
              <w:t xml:space="preserve">Approximate mass</w:t>
            </w:r>
          </w:p>
        </w:tc>
        <w:tc>
          <w:tcPr/>
          <w:p>
            <w:pPr>
              <w:pStyle w:val="Compact"/>
            </w:pPr>
            <w:r>
              <w:t xml:space="preserve">about 3.9 kg with spigot</w:t>
            </w:r>
          </w:p>
        </w:tc>
        <w:tc>
          <w:tcPr/>
          <w:p>
            <w:pPr>
              <w:pStyle w:val="Compact"/>
            </w:pPr>
            <w:r>
              <w:t xml:space="preserve">same</w:t>
            </w:r>
          </w:p>
        </w:tc>
        <w:tc>
          <w:tcPr/>
          <w:p>
            <w:pPr>
              <w:pStyle w:val="Compact"/>
            </w:pPr>
            <w:r>
              <w:t xml:space="preserve">about 3.0 kg with spigot</w:t>
            </w:r>
          </w:p>
        </w:tc>
        <w:tc>
          <w:tcPr/>
          <w:p>
            <w:pPr>
              <w:pStyle w:val="Compact"/>
            </w:pPr>
            <w:r>
              <w:t xml:space="preserve">same</w:t>
            </w:r>
          </w:p>
        </w:tc>
      </w:tr>
      <w:tr>
        <w:tc>
          <w:tcPr/>
          <w:p>
            <w:pPr>
              <w:pStyle w:val="Compact"/>
            </w:pPr>
            <w:r>
              <w:t xml:space="preserve">Documents</w:t>
            </w:r>
          </w:p>
        </w:tc>
        <w:tc>
          <w:tcPr/>
          <w:p>
            <w:pPr>
              <w:pStyle w:val="Compact"/>
            </w:pPr>
            <w:r>
              <w:t xml:space="preserve">Inspection report (above); material and finish record; reflectance at the projector wavelength if measured</w:t>
            </w:r>
          </w:p>
        </w:tc>
        <w:tc>
          <w:tcPr/>
          <w:p>
            <w:pPr>
              <w:pStyle w:val="Compact"/>
            </w:pPr>
            <w:r>
              <w:t xml:space="preserve">same</w:t>
            </w:r>
          </w:p>
        </w:tc>
        <w:tc>
          <w:tcPr/>
          <w:p>
            <w:pPr>
              <w:pStyle w:val="Compact"/>
            </w:pPr>
            <w:r>
              <w:t xml:space="preserve">same</w:t>
            </w:r>
          </w:p>
        </w:tc>
        <w:tc>
          <w:tcPr/>
          <w:p>
            <w:pPr>
              <w:pStyle w:val="Compact"/>
            </w:pPr>
            <w:r>
              <w:t xml:space="preserve">same</w:t>
            </w:r>
          </w:p>
        </w:tc>
      </w:tr>
    </w:tbl>
    <w:p>
      <w:pPr>
        <w:pStyle w:val="BodyText"/>
      </w:pPr>
      <w:r>
        <w:t xml:space="preserve">Table 3. Purchase specification for the four feature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Noise and registration board (T2)</w:t>
            </w:r>
          </w:p>
        </w:tc>
      </w:tr>
      <w:tr>
        <w:tc>
          <w:tcPr/>
          <w:p>
            <w:pPr>
              <w:pStyle w:val="Compact"/>
            </w:pPr>
            <w:r>
              <w:t xml:space="preserve">Size</w:t>
            </w:r>
          </w:p>
        </w:tc>
        <w:tc>
          <w:tcPr/>
          <w:p>
            <w:pPr>
              <w:pStyle w:val="Compact"/>
            </w:pPr>
            <w:r>
              <w:t xml:space="preserve">200 x 150 mm, at least 6 mm thick (the stage-1 board)</w:t>
            </w:r>
          </w:p>
        </w:tc>
      </w:tr>
      <w:tr>
        <w:tc>
          <w:tcPr/>
          <w:p>
            <w:pPr>
              <w:pStyle w:val="Compact"/>
            </w:pPr>
            <w:r>
              <w:t xml:space="preserve">Material</w:t>
            </w:r>
          </w:p>
        </w:tc>
        <w:tc>
          <w:tcPr/>
          <w:p>
            <w:pPr>
              <w:pStyle w:val="Compact"/>
            </w:pPr>
            <w:r>
              <w:t xml:space="preserve">Ground aluminum tooling plate (for example MIC-6, finish-ground) or float glass</w:t>
            </w:r>
          </w:p>
        </w:tc>
      </w:tr>
      <w:tr>
        <w:tc>
          <w:tcPr/>
          <w:p>
            <w:pPr>
              <w:pStyle w:val="Compact"/>
            </w:pPr>
            <w:r>
              <w:t xml:space="preserve">Flatness</w:t>
            </w:r>
          </w:p>
        </w:tc>
        <w:tc>
          <w:tcPr/>
          <w:p>
            <w:pPr>
              <w:pStyle w:val="Compact"/>
            </w:pPr>
            <w:r>
              <w:t xml:space="preserve">0.05 mm over the front face, checked in-house with the run-out fixture after mounting on the board adapter</w:t>
            </w:r>
          </w:p>
        </w:tc>
      </w:tr>
      <w:tr>
        <w:tc>
          <w:tcPr/>
          <w:p>
            <w:pPr>
              <w:pStyle w:val="Compact"/>
            </w:pPr>
            <w:r>
              <w:t xml:space="preserve">Front face</w:t>
            </w:r>
          </w:p>
        </w:tc>
        <w:tc>
          <w:tcPr/>
          <w:p>
            <w:pPr>
              <w:pStyle w:val="Compact"/>
            </w:pPr>
            <w:r>
              <w:t xml:space="preserve">Matte light-gray paint, thin and even, or bead blast if the plate is 10 mm or thicker; the same mid-range reflectance as the feature targets, recorded</w:t>
            </w:r>
          </w:p>
        </w:tc>
      </w:tr>
      <w:tr>
        <w:tc>
          <w:tcPr/>
          <w:p>
            <w:pPr>
              <w:pStyle w:val="Compact"/>
            </w:pPr>
            <w:r>
              <w:t xml:space="preserve">Edges</w:t>
            </w:r>
          </w:p>
        </w:tc>
        <w:tc>
          <w:tcPr/>
          <w:p>
            <w:pPr>
              <w:pStyle w:val="Compact"/>
            </w:pPr>
            <w:r>
              <w:t xml:space="preserve">Square and clean on the bottom long edge and the left short edge, which rest against the board adapter’s edge pins</w:t>
            </w:r>
          </w:p>
        </w:tc>
      </w:tr>
      <w:tr>
        <w:tc>
          <w:tcPr/>
          <w:p>
            <w:pPr>
              <w:pStyle w:val="Compact"/>
            </w:pPr>
            <w:r>
              <w:t xml:space="preserve">Documents</w:t>
            </w:r>
          </w:p>
        </w:tc>
        <w:tc>
          <w:tcPr/>
          <w:p>
            <w:pPr>
              <w:pStyle w:val="Compact"/>
            </w:pPr>
            <w:r>
              <w:t xml:space="preserve">Supplier’s flatness report, kept with the session notes</w:t>
            </w:r>
          </w:p>
        </w:tc>
      </w:tr>
    </w:tbl>
    <w:p>
      <w:pPr>
        <w:pStyle w:val="BodyText"/>
      </w:pPr>
      <w:r>
        <w:t xml:space="preserve">Table 4. Purchase specification for the board (the stage-1 specification, repeated).</w:t>
      </w:r>
    </w:p>
    <w:bookmarkEnd w:id="21"/>
    <w:bookmarkStart w:id="22" w:name="Xc8d9e421596597bcb9a488dc8e4dd4553e62268"/>
    <w:p>
      <w:pPr>
        <w:pStyle w:val="Heading3"/>
      </w:pPr>
      <w:r>
        <w:t xml:space="preserve">1e. Special fixtures that are bought, not drawn</w:t>
      </w:r>
    </w:p>
    <w:p>
      <w:pPr>
        <w:pStyle w:val="FirstParagraph"/>
      </w:pPr>
      <w:r>
        <w:t xml:space="preserve">Run-out fixture. The flatness check of §2 holds the dial indicator still while the robot turns the plate in front of it. Use a dial indicator with 0.01 mm graduation and about 10 mm travel (for example Mitutoyo 2046 series, about $50 to $150) on an articulating magnetic base with fine adjustment (for example Noga MG71003 or DG-61003, about $140 to $320), standing on a steel base plate about 150 x 100 x 12 mm bolted to the cell table with two M8 screws. The stage-1 fixture serves as it is.</w:t>
      </w:r>
    </w:p>
    <w:p>
      <w:pPr>
        <w:pStyle w:val="BodyText"/>
      </w:pPr>
      <w:r>
        <w:t xml:space="preserve">Drift-run stand. The optional drift run of §6 holds the board still at 800 mm for 480 minutes with the robot idle. Any rigid laboratory stand that holds the board on its adapter without creeping serves (a bolted post or a heavy tripod with its head locked); no drawing is needed, and the sentinel captures of the run show whether it moved.</w:t>
      </w:r>
    </w:p>
    <w:p>
      <w:pPr>
        <w:pStyle w:val="BodyText"/>
      </w:pPr>
      <w:r>
        <w:t xml:space="preserve">Ball-lock pins. Two 8 mm quick-release ball-lock pins (one spare) of the grip length on drawing PT-01, from McMaster-Carr or Carr Lane (appendix E).</w:t>
      </w:r>
    </w:p>
    <w:p>
      <w:pPr>
        <w:pStyle w:val="BodyText"/>
      </w:pPr>
      <w:r>
        <w:t xml:space="preserve">Temperature loggers. Two loggers with a resolution of 0.1 degree C or better, one strapped to the sensor housing and one in the air near the target, each sampling every 1 minute and exporting a time-stamped CSV (§11).</w:t>
      </w:r>
    </w:p>
    <w:bookmarkEnd w:id="22"/>
    <w:bookmarkStart w:id="23" w:name="f.-preparation-before-the-first-session"/>
    <w:p>
      <w:pPr>
        <w:pStyle w:val="Heading3"/>
      </w:pPr>
      <w:r>
        <w:t xml:space="preserve">1f. Preparation before the first session</w:t>
      </w:r>
    </w:p>
    <w:p>
      <w:pPr>
        <w:pStyle w:val="FirstParagraph"/>
      </w:pPr>
      <w:r>
        <w:t xml:space="preserve">Robot:</w:t>
      </w:r>
    </w:p>
    <w:p>
      <w:pPr>
        <w:pStyle w:val="Compact"/>
        <w:numPr>
          <w:ilvl w:val="0"/>
          <w:numId w:val="1001"/>
        </w:numPr>
      </w:pPr>
      <w:r>
        <w:t xml:space="preserve">Confirm the chosen robot’s flange against ISO 9409-1-50-4-M6 before the target adapter (PT-01) and the board adapter (SC1-05) are machined, and check its repeatability specification: 0.05 mm or better.</w:t>
      </w:r>
    </w:p>
    <w:p>
      <w:pPr>
        <w:pStyle w:val="Compact"/>
        <w:numPr>
          <w:ilvl w:val="0"/>
          <w:numId w:val="1001"/>
        </w:numPr>
      </w:pPr>
      <w:r>
        <w:t xml:space="preserve">Confirm that the controller reports the actual pose at 0.01 mm resolution with a time stamp the capture computer can match to the frames.</w:t>
      </w:r>
    </w:p>
    <w:p>
      <w:pPr>
        <w:pStyle w:val="Compact"/>
        <w:numPr>
          <w:ilvl w:val="0"/>
          <w:numId w:val="1001"/>
        </w:numPr>
      </w:pPr>
      <w:r>
        <w:t xml:space="preserve">Fit every spigot in the target adapter before the first session: it drops into the bore with its dowel in the keyway, the ball-lock pin passes, and there is no play.</w:t>
      </w:r>
    </w:p>
    <w:p>
      <w:pPr>
        <w:pStyle w:val="Compact"/>
        <w:numPr>
          <w:ilvl w:val="0"/>
          <w:numId w:val="1001"/>
        </w:numPr>
      </w:pPr>
      <w:r>
        <w:t xml:space="preserve">Mark a witness line across the target adapter and the robot flange after tightening to the recorded torque, so that a shift is noticed.</w:t>
      </w:r>
    </w:p>
    <w:p>
      <w:pPr>
        <w:pStyle w:val="Compact"/>
        <w:numPr>
          <w:ilvl w:val="0"/>
          <w:numId w:val="1001"/>
        </w:numPr>
      </w:pPr>
      <w:r>
        <w:t xml:space="preserve">Weigh each fixture (the board on its adapter; each feature target on the target adapter, with both gap sets) and enter its tool load data (mass and center of gravity) in the controller; wrong load data shifts every pose.</w:t>
      </w:r>
    </w:p>
    <w:p>
      <w:pPr>
        <w:pStyle w:val="Compact"/>
        <w:numPr>
          <w:ilvl w:val="0"/>
          <w:numId w:val="1001"/>
        </w:numPr>
      </w:pPr>
      <w:r>
        <w:t xml:space="preserve">Write the robot program to the interface of §11: it reads the pose list, drives each pose from the approach direction the list gives, triggers the captures through the capture computer’s communication software, and writes the pose log. Note where the program writes the pose log (controller storage or a network location) so it can be collected after the session. Once the robot model and controller are settled, the program can be written with Claude Code.</w:t>
      </w:r>
    </w:p>
    <w:p>
      <w:pPr>
        <w:pStyle w:val="Compact"/>
        <w:numPr>
          <w:ilvl w:val="0"/>
          <w:numId w:val="1001"/>
        </w:numPr>
      </w:pPr>
      <w:r>
        <w:t xml:space="preserve">Dry-run every planned pose at reduced speed, without capturing, with the largest target mounted: each pose must be reachable and must clear the sensor, its mount and its cables, including the approach retreat of the depth-step series.</w:t>
      </w:r>
    </w:p>
    <w:p>
      <w:pPr>
        <w:pStyle w:val="Compact"/>
        <w:numPr>
          <w:ilvl w:val="0"/>
          <w:numId w:val="1001"/>
        </w:numPr>
      </w:pPr>
      <w:r>
        <w:t xml:space="preserve">Review the new program under the cell’s safety rules.</w:t>
      </w:r>
    </w:p>
    <w:p>
      <w:pPr>
        <w:pStyle w:val="FirstParagraph"/>
      </w:pPr>
      <w:r>
        <w:t xml:space="preserve">Sensor and computers:</w:t>
      </w:r>
    </w:p>
    <w:p>
      <w:pPr>
        <w:pStyle w:val="Compact"/>
        <w:numPr>
          <w:ilvl w:val="0"/>
          <w:numId w:val="1002"/>
        </w:numPr>
      </w:pPr>
      <w:r>
        <w:t xml:space="preserve">Set up the capture software for the robot’s trigger and the pose-id file names (§11).</w:t>
      </w:r>
    </w:p>
    <w:p>
      <w:pPr>
        <w:pStyle w:val="Compact"/>
        <w:numPr>
          <w:ilvl w:val="0"/>
          <w:numId w:val="1002"/>
        </w:numPr>
      </w:pPr>
      <w:r>
        <w:t xml:space="preserve">Engineer: choose and record the production sensor configuration in</w:t>
      </w:r>
      <w:r>
        <w:t xml:space="preserve"> </w:t>
      </w:r>
      <w:r>
        <w:rPr>
          <w:rStyle w:val="VerbatimChar"/>
        </w:rPr>
        <w:t xml:space="preserve">sensor_config.json</w:t>
      </w:r>
      <w:r>
        <w:t xml:space="preserve"> </w:t>
      </w:r>
      <w:r>
        <w:t xml:space="preserve">(§3), and decide whether the filters-off repeat is run.</w:t>
      </w:r>
    </w:p>
    <w:p>
      <w:pPr>
        <w:pStyle w:val="Compact"/>
        <w:numPr>
          <w:ilvl w:val="0"/>
          <w:numId w:val="1002"/>
        </w:numPr>
      </w:pPr>
      <w:r>
        <w:t xml:space="preserve">Free at least 430 GB on the capture computer for the default plan (42,920 frames at 10 GB per 1,000 frames).</w:t>
      </w:r>
    </w:p>
    <w:p>
      <w:pPr>
        <w:pStyle w:val="Compact"/>
        <w:numPr>
          <w:ilvl w:val="0"/>
          <w:numId w:val="1002"/>
        </w:numPr>
      </w:pPr>
      <w:r>
        <w:t xml:space="preserve">Install this repository on the analysis computer and pass its self-test (appendix C).</w:t>
      </w:r>
    </w:p>
    <w:p>
      <w:pPr>
        <w:pStyle w:val="FirstParagraph"/>
      </w:pPr>
      <w:r>
        <w:t xml:space="preserve">Cell:</w:t>
      </w:r>
    </w:p>
    <w:p>
      <w:pPr>
        <w:pStyle w:val="Compact"/>
        <w:numPr>
          <w:ilvl w:val="0"/>
          <w:numId w:val="1003"/>
        </w:numPr>
      </w:pPr>
      <w:r>
        <w:t xml:space="preserve">Layout study: place the sensor so that target centers from 400 to 1600 mm along its axis, at the 5 field positions of §5 and tilted to 45 degrees, lie inside the robot’s reach, and so that the approach moves stay clear of the sensor; do this before the sensor mount is fixed.</w:t>
      </w:r>
    </w:p>
    <w:p>
      <w:pPr>
        <w:pStyle w:val="Compact"/>
        <w:numPr>
          <w:ilvl w:val="0"/>
          <w:numId w:val="1003"/>
        </w:numPr>
      </w:pPr>
      <w:r>
        <w:t xml:space="preserve">Bolt the run-out base plate to the cell table (two M8) where the robot can present each plate to the indicator.</w:t>
      </w:r>
    </w:p>
    <w:p>
      <w:pPr>
        <w:pStyle w:val="Compact"/>
        <w:numPr>
          <w:ilvl w:val="0"/>
          <w:numId w:val="1003"/>
        </w:numPr>
      </w:pPr>
      <w:r>
        <w:t xml:space="preserve">Identify and record the robot base frame used for the session.</w:t>
      </w:r>
    </w:p>
    <w:p>
      <w:pPr>
        <w:pStyle w:val="Compact"/>
        <w:numPr>
          <w:ilvl w:val="0"/>
          <w:numId w:val="1003"/>
        </w:numPr>
      </w:pPr>
      <w:r>
        <w:t xml:space="preserve">Start the two temperature loggers and check that their clocks agree with the capture computer’s.</w:t>
      </w:r>
    </w:p>
    <w:bookmarkEnd w:id="23"/>
    <w:bookmarkEnd w:id="24"/>
    <w:bookmarkStart w:id="33"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standoffs (PT-03). The drawings of appendix F carry tolerances, and the fabricator’s inspection report gives the as-built values (the as-built record, below). Table 5 lists the targets and Figure 4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the stage-1 calibration board on its SC1-05 board adapter, 200 x 150 mm (width, height), at least 6 mm thick,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standoffs at the gap G above a back plate. The standoff length sets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5. The targets (specification Section 3.2).</w:t>
      </w:r>
    </w:p>
    <w:p>
      <w:pPr>
        <w:pStyle w:val="BodyText"/>
      </w:pPr>
      <w:r>
        <w:drawing>
          <wp:inline>
            <wp:extent cx="5334000" cy="3698923"/>
            <wp:effectExtent b="0" l="0" r="0" t="0"/>
            <wp:docPr descr="" title="" id="26" name="Picture"/>
            <a:graphic>
              <a:graphicData uri="http://schemas.openxmlformats.org/drawingml/2006/picture">
                <pic:pic>
                  <pic:nvPicPr>
                    <pic:cNvPr descr="figures/fig_targets.png" id="27" name="Picture"/>
                    <pic:cNvPicPr>
                      <a:picLocks noChangeArrowheads="1" noChangeAspect="1"/>
                    </pic:cNvPicPr>
                  </pic:nvPicPr>
                  <pic:blipFill>
                    <a:blip r:embed="rId25"/>
                    <a:stretch>
                      <a:fillRect/>
                    </a:stretch>
                  </pic:blipFill>
                  <pic:spPr bwMode="auto">
                    <a:xfrm>
                      <a:off x="0" y="0"/>
                      <a:ext cx="5334000" cy="3698923"/>
                    </a:xfrm>
                    <a:prstGeom prst="rect">
                      <a:avLst/>
                    </a:prstGeom>
                    <a:noFill/>
                    <a:ln w="9525">
                      <a:noFill/>
                      <a:headEnd/>
                      <a:tailEnd/>
                    </a:ln>
                  </pic:spPr>
                </pic:pic>
              </a:graphicData>
            </a:graphic>
          </wp:inline>
        </w:drawing>
      </w:r>
    </w:p>
    <w:p>
      <w:pPr>
        <w:pStyle w:val="BodyText"/>
      </w:pPr>
      <w:r>
        <w:t xml:space="preserve">Figure 4.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Standoffs set the gap. Measure the real gap with the depth rod of the calipers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feature target mounts on the same spigot datum (the spigot axis and its orientation dowel, §1b),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31"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5).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9" name="Picture"/>
            <a:graphic>
              <a:graphicData uri="http://schemas.openxmlformats.org/drawingml/2006/picture">
                <pic:pic>
                  <pic:nvPicPr>
                    <pic:cNvPr descr="figures/fig_chamfer.png" id="30" name="Picture"/>
                    <pic:cNvPicPr>
                      <a:picLocks noChangeArrowheads="1" noChangeAspect="1"/>
                    </pic:cNvPicPr>
                  </pic:nvPicPr>
                  <pic:blipFill>
                    <a:blip r:embed="rId28"/>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4"/>
        </w:numPr>
      </w:pPr>
      <w:r>
        <w:t xml:space="preserve">Cutouts and the square window: countersink from the back face, so the hole widens away from the sensor.</w:t>
      </w:r>
    </w:p>
    <w:p>
      <w:pPr>
        <w:pStyle w:val="Compact"/>
        <w:numPr>
          <w:ilvl w:val="0"/>
          <w:numId w:val="1004"/>
        </w:numPr>
      </w:pPr>
      <w:r>
        <w:t xml:space="preserve">Disks and the raised square: bevel the back, so the part narrows away from the sensor (a frustum).</w:t>
      </w:r>
    </w:p>
    <w:p>
      <w:pPr>
        <w:pStyle w:val="Compact"/>
        <w:numPr>
          <w:ilvl w:val="0"/>
          <w:numId w:val="1004"/>
        </w:numPr>
      </w:pPr>
      <w:r>
        <w:t xml:space="preserve">Land: the flat land left at the front edge must be 0.2 mm or less.</w:t>
      </w:r>
    </w:p>
    <w:p>
      <w:pPr>
        <w:pStyle w:val="Compact"/>
        <w:numPr>
          <w:ilvl w:val="0"/>
          <w:numId w:val="1004"/>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worked value from the specification at the indicative geometry (f_x of 688 px, 640 by 480 px, 75 mm baseline, all unconfirmed): the raised square centered at Z_MIN gives about 24 degrees, and the plates at the off-axis field positions at 800 mm about 29 degrees. With the margin that is 39 degrees, so a standard 45 degree bevel (90 degree included countersink) passes.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31"/>
    <w:bookmarkStart w:id="32" w:name="the-as-built-record"/>
    <w:p>
      <w:pPr>
        <w:pStyle w:val="Heading3"/>
      </w:pPr>
      <w:r>
        <w:t xml:space="preserve">The as-built record</w:t>
      </w:r>
    </w:p>
    <w:p>
      <w:pPr>
        <w:pStyle w:val="FirstParagraph"/>
      </w:pPr>
      <w:r>
        <w:t xml:space="preserve">No feature-level measurement is made in-house. The fabricator delivers an inspection report with each feature’s front-face diameter, land width, bevel angle and position from the spigot datum, each with the instrument’s uncertainty. Engineer: enter these values in</w:t>
      </w:r>
      <w:r>
        <w:t xml:space="preserve"> </w:t>
      </w:r>
      <w:r>
        <w:rPr>
          <w:rStyle w:val="VerbatimChar"/>
        </w:rPr>
        <w:t xml:space="preserve">targets_asbuilt.csv</w:t>
      </w:r>
      <w:r>
        <w:t xml:space="preserve">, the file the analysis reads; the engineer writes a template with the nominal values to overwrite. Where the report leaves a value out, the nominal value stands with the drawing tolerance as its uncertainty; an empty numeric cell keeps the nominal value. In-house, record each plate’s flatness with the run-out fixture (§3) and its width and length with the calipers or the steel rule, and the surface finish. All analyses use the as-built values, never bare nominals without an uncertainty. The datum offsets are the reference of the once-per-mount check (Step 4.8); the position columns of Table 6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6. Columns of</w:t>
      </w:r>
      <w:r>
        <w:t xml:space="preserve"> </w:t>
      </w:r>
      <w:r>
        <w:rPr>
          <w:rStyle w:val="VerbatimChar"/>
        </w:rPr>
        <w:t xml:space="preserve">targets_asbuilt.csv</w:t>
      </w:r>
      <w:r>
        <w:t xml:space="preserve">.</w:t>
      </w:r>
    </w:p>
    <w:bookmarkEnd w:id="32"/>
    <w:bookmarkEnd w:id="33"/>
    <w:bookmarkStart w:id="34"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5"/>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5"/>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5"/>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5"/>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34"/>
    <w:bookmarkStart w:id="35"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its board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6"/>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6"/>
        </w:numPr>
      </w:pPr>
      <w:r>
        <w:t xml:space="preserve">The standard error of the camera’s Z offset, from the covariance of the fit, is reported next to the residual. About 0.1 mm is expected (Table 11).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its adapter needs no new registration, provided the mount check passes. Once per mount of any target, at Z = 800 mm, fit the mounted target’s front plane from the depth data and compare it with the registered pose:</w:t>
      </w:r>
    </w:p>
    <w:p>
      <w:pPr>
        <w:pStyle w:val="Compact"/>
        <w:numPr>
          <w:ilvl w:val="0"/>
          <w:numId w:val="1007"/>
        </w:numPr>
      </w:pPr>
      <w:r>
        <w:t xml:space="preserve">Z within 0.15 mm (</w:t>
      </w:r>
      <w:r>
        <w:rPr>
          <w:rStyle w:val="VerbatimChar"/>
        </w:rPr>
        <w:t xml:space="preserve">REGISTRATION_RESIDUAL_ACCEPT_MM</w:t>
      </w:r>
      <w:r>
        <w:t xml:space="preserve">);</w:t>
      </w:r>
    </w:p>
    <w:p>
      <w:pPr>
        <w:pStyle w:val="Compact"/>
        <w:numPr>
          <w:ilvl w:val="0"/>
          <w:numId w:val="1007"/>
        </w:numPr>
      </w:pPr>
      <w:r>
        <w:t xml:space="preserve">tilt within 0.05 degrees (</w:t>
      </w:r>
      <w:r>
        <w:rPr>
          <w:rStyle w:val="VerbatimChar"/>
        </w:rPr>
        <w:t xml:space="preserve">MOUNT_TILT_TOLERANCE_DEG</w:t>
      </w:r>
      <w:r>
        <w:t xml:space="preserve">, a dagger parameter: 0.05 degrees moves a plate edge 100 mm from the center by about 0.09 mm);</w:t>
      </w:r>
    </w:p>
    <w:p>
      <w:pPr>
        <w:pStyle w:val="Compact"/>
        <w:numPr>
          <w:ilvl w:val="0"/>
          <w:numId w:val="1007"/>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target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35"/>
    <w:bookmarkStart w:id="42"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8"/>
        </w:numPr>
      </w:pPr>
      <w:r>
        <w:rPr>
          <w:rStyle w:val="VerbatimChar"/>
        </w:rPr>
        <w:t xml:space="preserve">poses.csv</w:t>
      </w:r>
      <w:r>
        <w:t xml:space="preserve">: one row per commanded pose.</w:t>
      </w:r>
    </w:p>
    <w:p>
      <w:pPr>
        <w:pStyle w:val="Compact"/>
        <w:numPr>
          <w:ilvl w:val="0"/>
          <w:numId w:val="1008"/>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8"/>
        </w:numPr>
      </w:pPr>
      <w:r>
        <w:rPr>
          <w:rStyle w:val="VerbatimChar"/>
        </w:rPr>
        <w:t xml:space="preserve">plan.png</w:t>
      </w:r>
      <w:r>
        <w:t xml:space="preserve">: the planned target centers, a picture of the same kind as Figure 7.</w:t>
      </w:r>
    </w:p>
    <w:p>
      <w:pPr>
        <w:pStyle w:val="Compact"/>
        <w:numPr>
          <w:ilvl w:val="0"/>
          <w:numId w:val="1008"/>
        </w:numPr>
      </w:pPr>
      <w:r>
        <w:rPr>
          <w:rStyle w:val="VerbatimChar"/>
        </w:rPr>
        <w:t xml:space="preserve">targets.json</w:t>
      </w:r>
      <w:r>
        <w:t xml:space="preserve">: the target definitions the plan was made with.</w:t>
      </w:r>
    </w:p>
    <w:p>
      <w:pPr>
        <w:pStyle w:val="Compact"/>
        <w:numPr>
          <w:ilvl w:val="0"/>
          <w:numId w:val="1008"/>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9"/>
        </w:numPr>
      </w:pPr>
      <w:r>
        <w:t xml:space="preserve">Station: a commanded distance of the target center from the sensor, along the optical axis, in mm (the target’s Z). The stations are listed below.</w:t>
      </w:r>
    </w:p>
    <w:p>
      <w:pPr>
        <w:pStyle w:val="Compact"/>
        <w:numPr>
          <w:ilvl w:val="0"/>
          <w:numId w:val="1009"/>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6 shows them. A corner is pulled inward when the target would not fit there (the coverage rule below).</w:t>
      </w:r>
    </w:p>
    <w:p>
      <w:pPr>
        <w:pStyle w:val="Compact"/>
        <w:numPr>
          <w:ilvl w:val="0"/>
          <w:numId w:val="1009"/>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9"/>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6. The whole plan is in Figure 7.</w:t>
      </w:r>
    </w:p>
    <w:p>
      <w:pPr>
        <w:pStyle w:val="BodyText"/>
      </w:pPr>
      <w:r>
        <w:drawing>
          <wp:inline>
            <wp:extent cx="5334000" cy="2133600"/>
            <wp:effectExtent b="0" l="0" r="0" t="0"/>
            <wp:docPr descr="" title="" id="37" name="Picture"/>
            <a:graphic>
              <a:graphicData uri="http://schemas.openxmlformats.org/drawingml/2006/picture">
                <pic:pic>
                  <pic:nvPicPr>
                    <pic:cNvPr descr="figures/fig_stations.png" id="38" name="Picture"/>
                    <pic:cNvPicPr>
                      <a:picLocks noChangeArrowheads="1" noChangeAspect="1"/>
                    </pic:cNvPicPr>
                  </pic:nvPicPr>
                  <pic:blipFill>
                    <a:blip r:embed="rId36"/>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6.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40" name="Picture"/>
            <a:graphic>
              <a:graphicData uri="http://schemas.openxmlformats.org/drawingml/2006/picture">
                <pic:pic>
                  <pic:nvPicPr>
                    <pic:cNvPr descr="figures/fig_plan.png" id="41" name="Picture"/>
                    <pic:cNvPicPr>
                      <a:picLocks noChangeArrowheads="1" noChangeAspect="1"/>
                    </pic:cNvPicPr>
                  </pic:nvPicPr>
                  <pic:blipFill>
                    <a:blip r:embed="rId39"/>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7.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7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7.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10"/>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10"/>
        </w:numPr>
      </w:pPr>
      <w:r>
        <w:t xml:space="preserve">Wait the settle time of Step 4.4 (2 s unless the check raised it).</w:t>
      </w:r>
    </w:p>
    <w:p>
      <w:pPr>
        <w:pStyle w:val="Compact"/>
        <w:numPr>
          <w:ilvl w:val="0"/>
          <w:numId w:val="1010"/>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10"/>
        </w:numPr>
      </w:pPr>
      <w:r>
        <w:t xml:space="preserve">Read the robot’s actual reported (encoder-derived) flange pose, not the commanded one, and append it to the pose log (§11). Add the sensor and air temperature and a timestamp.</w:t>
      </w:r>
    </w:p>
    <w:p>
      <w:pPr>
        <w:pStyle w:val="Compact"/>
        <w:numPr>
          <w:ilvl w:val="0"/>
          <w:numId w:val="1010"/>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42"/>
    <w:bookmarkStart w:id="43"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11"/>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6). The legacy depths 700 and 1000 mm are at the center only, because the existing metrics use the center.</w:t>
      </w:r>
    </w:p>
    <w:p>
      <w:pPr>
        <w:pStyle w:val="Compact"/>
        <w:numPr>
          <w:ilvl w:val="0"/>
          <w:numId w:val="1011"/>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11"/>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11"/>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11"/>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plate’s extent across the tilt axis times the sine of the tilt (75 mm for tilts about H, 100 mm for tilts about V, with the 200 x 150 mm board). The planner checks this. Where a reduced station allows no tilt at all, it moves that sweep to the nearest ladder station that does and says so in</w:t>
      </w:r>
      <w:r>
        <w:t xml:space="preserve"> </w:t>
      </w:r>
      <w:r>
        <w:rPr>
          <w:rStyle w:val="VerbatimChar"/>
        </w:rPr>
        <w:t xml:space="preserve">plan_summary.txt</w:t>
      </w:r>
      <w:r>
        <w:t xml:space="preserve">: with the 200 x 150 mm board no tilt is possible at 400 mm, so the tilt sub-series runs at 476, 800 and 1600 mm. Do not add tilts at the skipped stations by hand.</w:t>
      </w:r>
    </w:p>
    <w:p>
      <w:pPr>
        <w:pStyle w:val="Compact"/>
        <w:numPr>
          <w:ilvl w:val="0"/>
          <w:numId w:val="1011"/>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11"/>
        </w:numPr>
      </w:pPr>
      <w:r>
        <w:t xml:space="preserve">Do not delete any frames. Tell the engineer if a pose shows a warning in §12.</w:t>
      </w:r>
    </w:p>
    <w:p>
      <w:pPr>
        <w:pStyle w:val="Compact"/>
        <w:numPr>
          <w:ilvl w:val="0"/>
          <w:numId w:val="1011"/>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43"/>
    <w:bookmarkStart w:id="44"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12"/>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12"/>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12"/>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12"/>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12"/>
        </w:numPr>
      </w:pPr>
      <w:r>
        <w:t xml:space="preserve">Repeat steps 1 to 4 with T3b (square window). The window has the opposite edge polarity: front plate outside, back plate inside.</w:t>
      </w:r>
    </w:p>
    <w:p>
      <w:pPr>
        <w:pStyle w:val="Compact"/>
        <w:numPr>
          <w:ilvl w:val="0"/>
          <w:numId w:val="1012"/>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12"/>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44"/>
    <w:bookmarkStart w:id="48"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46" name="Picture"/>
            <a:graphic>
              <a:graphicData uri="http://schemas.openxmlformats.org/drawingml/2006/picture">
                <pic:pic>
                  <pic:nvPicPr>
                    <pic:cNvPr descr="figures/fig_zstep.png" id="47" name="Picture"/>
                    <pic:cNvPicPr>
                      <a:picLocks noChangeArrowheads="1" noChangeAspect="1"/>
                    </pic:cNvPicPr>
                  </pic:nvPicPr>
                  <pic:blipFill>
                    <a:blip r:embed="rId45"/>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8.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3"/>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3"/>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3"/>
        </w:numPr>
      </w:pPr>
      <w:r>
        <w:t xml:space="preserve">Ramp. At every station of the ladder, T2 is centered and tilted about H (the horizontal axis, parallel to the stereo baseline) by a small angle, so that the true depth across the visible height of the plate spans 3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0.4 degrees at the nearest station to 7.1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0.58 mm closer than Z_MIN, so the planner moves the plate center 0.58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3"/>
        </w:numPr>
      </w:pPr>
      <w:r>
        <w:t xml:space="preserve">No extra capture is needed for the blank windows: the Z0 frames of step 2 serve as the no-step reference for the false-alarm threshold.</w:t>
      </w:r>
    </w:p>
    <w:p>
      <w:pPr>
        <w:pStyle w:val="Compact"/>
        <w:numPr>
          <w:ilvl w:val="0"/>
          <w:numId w:val="1013"/>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48"/>
    <w:bookmarkStart w:id="49"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4"/>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4"/>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4"/>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4"/>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4"/>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9"/>
    <w:bookmarkStart w:id="50"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5"/>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50"/>
    <w:bookmarkStart w:id="51"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6"/>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6"/>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6"/>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8.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8.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9):</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9. Manifest columns, in the order the manifest module writes them. Rotations are rotation vectors in degrees.</w:t>
      </w:r>
    </w:p>
    <w:p>
      <w:pPr>
        <w:pStyle w:val="BodyText"/>
      </w:pPr>
      <w:r>
        <w:t xml:space="preserve">Further columns may follow the ones in Table 9.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51"/>
    <w:bookmarkStart w:id="52"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7"/>
        </w:numPr>
      </w:pPr>
      <w:r>
        <w:t xml:space="preserve">Low valid fraction: fewer than half of the pixels the registered target should occupy were read. Check exposure, or the target was outside the field.</w:t>
      </w:r>
    </w:p>
    <w:p>
      <w:pPr>
        <w:pStyle w:val="Compact"/>
        <w:numPr>
          <w:ilvl w:val="0"/>
          <w:numId w:val="1017"/>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7"/>
        </w:numPr>
      </w:pPr>
      <w:r>
        <w:t xml:space="preserve">Registered target does not appear in the field of view: the manifest or the registration is wrong for that pose.</w:t>
      </w:r>
    </w:p>
    <w:p>
      <w:pPr>
        <w:pStyle w:val="Compact"/>
        <w:numPr>
          <w:ilvl w:val="0"/>
          <w:numId w:val="1017"/>
        </w:numPr>
      </w:pPr>
      <w:r>
        <w:t xml:space="preserve">Front or back plane fit residual too large: the plane was classified wrongly, or the pose is wrong.</w:t>
      </w:r>
    </w:p>
    <w:p>
      <w:pPr>
        <w:pStyle w:val="Compact"/>
        <w:numPr>
          <w:ilvl w:val="0"/>
          <w:numId w:val="1017"/>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7"/>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52"/>
    <w:bookmarkStart w:id="56"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9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54" name="Picture"/>
            <a:graphic>
              <a:graphicData uri="http://schemas.openxmlformats.org/drawingml/2006/picture">
                <pic:pic>
                  <pic:nvPicPr>
                    <pic:cNvPr descr="figures/fig_data_flow.png" id="55" name="Picture"/>
                    <pic:cNvPicPr>
                      <a:picLocks noChangeArrowheads="1" noChangeAspect="1"/>
                    </pic:cNvPicPr>
                  </pic:nvPicPr>
                  <pic:blipFill>
                    <a:blip r:embed="rId53"/>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9.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8"/>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9"/>
        </w:numPr>
      </w:pPr>
      <w:r>
        <w:rPr>
          <w:rStyle w:val="VerbatimChar"/>
        </w:rPr>
        <w:t xml:space="preserve">sensor_config.json</w:t>
      </w:r>
      <w:r>
        <w:t xml:space="preserve"> </w:t>
      </w:r>
      <w:r>
        <w:t xml:space="preserve">with every filter setting and the dagger values filled in</w:t>
      </w:r>
    </w:p>
    <w:p>
      <w:pPr>
        <w:pStyle w:val="Compact"/>
        <w:numPr>
          <w:ilvl w:val="0"/>
          <w:numId w:val="1020"/>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21"/>
        </w:numPr>
      </w:pPr>
      <w:r>
        <w:rPr>
          <w:rStyle w:val="VerbatimChar"/>
        </w:rPr>
        <w:t xml:space="preserve">targets_asbuilt.csv</w:t>
      </w:r>
      <w:r>
        <w:t xml:space="preserve"> </w:t>
      </w:r>
      <w:r>
        <w:t xml:space="preserve">with the uncertainties</w:t>
      </w:r>
    </w:p>
    <w:p>
      <w:pPr>
        <w:pStyle w:val="Compact"/>
        <w:numPr>
          <w:ilvl w:val="0"/>
          <w:numId w:val="1022"/>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3"/>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4"/>
        </w:numPr>
      </w:pPr>
      <w:r>
        <w:rPr>
          <w:rStyle w:val="VerbatimChar"/>
        </w:rPr>
        <w:t xml:space="preserve">check.json</w:t>
      </w:r>
      <w:r>
        <w:t xml:space="preserve"> </w:t>
      </w:r>
      <w:r>
        <w:t xml:space="preserve">with no flags, or a note explaining each remaining flag</w:t>
      </w:r>
    </w:p>
    <w:p>
      <w:pPr>
        <w:pStyle w:val="Compact"/>
        <w:numPr>
          <w:ilvl w:val="0"/>
          <w:numId w:val="1025"/>
        </w:numPr>
      </w:pPr>
      <w:r>
        <w:rPr>
          <w:rStyle w:val="VerbatimChar"/>
        </w:rPr>
        <w:t xml:space="preserve">environment_log.csv</w:t>
      </w:r>
      <w:r>
        <w:t xml:space="preserve"> </w:t>
      </w:r>
      <w:r>
        <w:t xml:space="preserve">and the temperature logs</w:t>
      </w:r>
    </w:p>
    <w:p>
      <w:pPr>
        <w:pStyle w:val="Compact"/>
        <w:numPr>
          <w:ilvl w:val="0"/>
          <w:numId w:val="1026"/>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7"/>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8"/>
        </w:numPr>
      </w:pPr>
      <w:r>
        <w:t xml:space="preserve">Photos of the setup: sensor stand, each target on the adapter</w:t>
      </w:r>
    </w:p>
    <w:p>
      <w:pPr>
        <w:pStyle w:val="FirstParagraph"/>
      </w:pPr>
      <w:r>
        <w:rPr>
          <w:b/>
          <w:bCs/>
        </w:rPr>
        <w:t xml:space="preserve">Capture budget.</w:t>
      </w:r>
      <w:r>
        <w:t xml:space="preserve"> </w:t>
      </w:r>
      <w:r>
        <w:t xml:space="preserve">Table 10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72</w:t>
            </w:r>
          </w:p>
        </w:tc>
        <w:tc>
          <w:tcPr/>
          <w:p>
            <w:pPr>
              <w:pStyle w:val="Compact"/>
              <w:jc w:val="right"/>
            </w:pPr>
            <w:r>
              <w:t xml:space="preserve">6,000</w:t>
            </w:r>
          </w:p>
        </w:tc>
        <w:tc>
          <w:tcPr/>
          <w:p>
            <w:pPr>
              <w:pStyle w:val="Compact"/>
              <w:jc w:val="right"/>
            </w:pPr>
            <w:r>
              <w:t xml:space="preserve">0.23</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7,202</w:t>
            </w:r>
          </w:p>
        </w:tc>
        <w:tc>
          <w:tcPr/>
          <w:p>
            <w:pPr>
              <w:pStyle w:val="Compact"/>
              <w:jc w:val="right"/>
            </w:pPr>
            <w:r>
              <w:rPr>
                <w:b/>
                <w:bCs/>
              </w:rPr>
              <w:t xml:space="preserve">42,920</w:t>
            </w:r>
          </w:p>
        </w:tc>
        <w:tc>
          <w:tcPr/>
          <w:p>
            <w:pPr>
              <w:pStyle w:val="Compact"/>
              <w:jc w:val="right"/>
            </w:pPr>
            <w:r>
              <w:rPr>
                <w:b/>
                <w:bCs/>
              </w:rPr>
              <w:t xml:space="preserve">7.2</w:t>
            </w:r>
          </w:p>
        </w:tc>
      </w:tr>
    </w:tbl>
    <w:p>
      <w:pPr>
        <w:pStyle w:val="BodyText"/>
      </w:pPr>
      <w:r>
        <w:t xml:space="preserve">Table 10. Capture budget of the default plan: poses, frames, and robot time per series.</w:t>
      </w:r>
    </w:p>
    <w:p>
      <w:pPr>
        <w:pStyle w:val="BodyText"/>
      </w:pPr>
      <w:r>
        <w:t xml:space="preserve">The plan has 7,202 poses and 42,920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42,920 frames.</w:t>
      </w:r>
    </w:p>
    <w:p>
      <w:pPr>
        <w:pStyle w:val="BodyText"/>
      </w:pPr>
      <w:r>
        <w:t xml:space="preserve">Outside the budget, and not in Table 10, are the optional captures, which the engineer plans only when needed (§5):</w:t>
      </w:r>
    </w:p>
    <w:p>
      <w:pPr>
        <w:pStyle w:val="Compact"/>
        <w:numPr>
          <w:ilvl w:val="0"/>
          <w:numId w:val="1029"/>
        </w:numPr>
      </w:pPr>
      <w:r>
        <w:t xml:space="preserve">the filters-off repeat of A, B-HV, and B-Z (Step 4.2): 1,038 poses, 26,390 frames, about 1.6 hours;</w:t>
      </w:r>
    </w:p>
    <w:p>
      <w:pPr>
        <w:pStyle w:val="Compact"/>
        <w:numPr>
          <w:ilvl w:val="0"/>
          <w:numId w:val="1029"/>
        </w:numPr>
      </w:pPr>
      <w:r>
        <w:t xml:space="preserve">the staircase of series Z (§8, step 5): 76 poses, 780 frames, about 0.09 hours;</w:t>
      </w:r>
    </w:p>
    <w:p>
      <w:pPr>
        <w:pStyle w:val="Compact"/>
        <w:numPr>
          <w:ilvl w:val="0"/>
          <w:numId w:val="1029"/>
        </w:numPr>
      </w:pPr>
      <w:r>
        <w:t xml:space="preserve">the lateral sweep of series B (§7, step 6): 41 poses, 1,230 frames, about 0.07 hours;</w:t>
      </w:r>
    </w:p>
    <w:p>
      <w:pPr>
        <w:pStyle w:val="Compact"/>
        <w:numPr>
          <w:ilvl w:val="0"/>
          <w:numId w:val="1029"/>
        </w:numPr>
      </w:pPr>
      <w:r>
        <w:t xml:space="preserve">the open-background variant of series C (§9, step 4): 31 poses, 330 frames, about 0.04 hours;</w:t>
      </w:r>
    </w:p>
    <w:p>
      <w:pPr>
        <w:pStyle w:val="Compact"/>
        <w:numPr>
          <w:ilvl w:val="0"/>
          <w:numId w:val="1029"/>
        </w:numPr>
      </w:pPr>
      <w:r>
        <w:t xml:space="preserve">the reuse of C frames as D trials (§10, step 5), which takes 1,080 poses out of the D main row instead of adding any;</w:t>
      </w:r>
    </w:p>
    <w:p>
      <w:pPr>
        <w:pStyle w:val="Compact"/>
        <w:numPr>
          <w:ilvl w:val="0"/>
          <w:numId w:val="1029"/>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56"/>
    <w:bookmarkStart w:id="57"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7,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57"/>
    <w:bookmarkStart w:id="58"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11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Take the value and its uncertainty from the fabricator’s inspection report (§2)</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11. Sources of error, their size, and what to do about them.</w:t>
      </w:r>
    </w:p>
    <w:p>
      <w:pPr>
        <w:pStyle w:val="BodyText"/>
      </w:pPr>
      <w:r>
        <w:t xml:space="preserve">Things that spoil a session in practice:</w:t>
      </w:r>
    </w:p>
    <w:p>
      <w:pPr>
        <w:pStyle w:val="Compact"/>
        <w:numPr>
          <w:ilvl w:val="0"/>
          <w:numId w:val="1030"/>
        </w:numPr>
      </w:pPr>
      <w:r>
        <w:t xml:space="preserve">Moving or bumping the sensor. If it happens, everything after it is a new session.</w:t>
      </w:r>
    </w:p>
    <w:p>
      <w:pPr>
        <w:pStyle w:val="Compact"/>
        <w:numPr>
          <w:ilvl w:val="0"/>
          <w:numId w:val="1030"/>
        </w:numPr>
      </w:pPr>
      <w:r>
        <w:t xml:space="preserve">Changing exposure, gain, any filter, the base frame, or the lighting mid-session.</w:t>
      </w:r>
    </w:p>
    <w:p>
      <w:pPr>
        <w:pStyle w:val="Compact"/>
        <w:numPr>
          <w:ilvl w:val="0"/>
          <w:numId w:val="1030"/>
        </w:numPr>
      </w:pPr>
      <w:r>
        <w:t xml:space="preserve">Using the commanded pose instead of the reported pose in the log, or rounding the logged position to 0.1 mm: for series Z the read-back pose is the step truth.</w:t>
      </w:r>
    </w:p>
    <w:p>
      <w:pPr>
        <w:pStyle w:val="Compact"/>
        <w:numPr>
          <w:ilvl w:val="0"/>
          <w:numId w:val="1030"/>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30"/>
        </w:numPr>
      </w:pPr>
      <w:r>
        <w:t xml:space="preserve">Swapping a target to take a drift sentinel: a sentinel is captured on whatever target is mounted, and a swap adds the re-mount error the sentinel is meant to watch.</w:t>
      </w:r>
    </w:p>
    <w:p>
      <w:pPr>
        <w:pStyle w:val="Compact"/>
        <w:numPr>
          <w:ilvl w:val="0"/>
          <w:numId w:val="1030"/>
        </w:numPr>
      </w:pPr>
      <w:r>
        <w:t xml:space="preserve">Moving a pose that the planner pulled inward back toward its requested field position: the achieved field fraction in the row is what the results report.</w:t>
      </w:r>
    </w:p>
    <w:p>
      <w:pPr>
        <w:pStyle w:val="Compact"/>
        <w:numPr>
          <w:ilvl w:val="0"/>
          <w:numId w:val="1030"/>
        </w:numPr>
      </w:pPr>
      <w:r>
        <w:t xml:space="preserve">A change in the laboratory lighting during a session (the laboratory is enclosed, with constant lighting, by design).</w:t>
      </w:r>
    </w:p>
    <w:p>
      <w:pPr>
        <w:pStyle w:val="Compact"/>
        <w:numPr>
          <w:ilvl w:val="0"/>
          <w:numId w:val="1030"/>
        </w:numPr>
      </w:pPr>
      <w:r>
        <w:t xml:space="preserve">Skipping the warm-up or the settle check, or shortening the settle wait.</w:t>
      </w:r>
    </w:p>
    <w:p>
      <w:pPr>
        <w:pStyle w:val="Compact"/>
        <w:numPr>
          <w:ilvl w:val="0"/>
          <w:numId w:val="1030"/>
        </w:numPr>
      </w:pPr>
      <w:r>
        <w:t xml:space="preserve">Touching the sensor, the stand, or the plate, or cutting the power, during the optional drift run (§3, Step 4.3): the run is only useful as one unbroken record.</w:t>
      </w:r>
    </w:p>
    <w:p>
      <w:pPr>
        <w:pStyle w:val="Compact"/>
        <w:numPr>
          <w:ilvl w:val="0"/>
          <w:numId w:val="1030"/>
        </w:numPr>
      </w:pPr>
      <w:r>
        <w:t xml:space="preserve">A loose adapter, a standoff that has loosened, or a target that has shifted on its spigot: do the mount check (Step 4.8) after every swap.</w:t>
      </w:r>
    </w:p>
    <w:p>
      <w:pPr>
        <w:pStyle w:val="Compact"/>
        <w:numPr>
          <w:ilvl w:val="0"/>
          <w:numId w:val="1030"/>
        </w:numPr>
      </w:pPr>
      <w:r>
        <w:t xml:space="preserve">Fingerprints, dust, or gloss on a target: wipe with isopropyl alcohol. A shiny spot returns a bright highlight and a bad read.</w:t>
      </w:r>
    </w:p>
    <w:p>
      <w:pPr>
        <w:pStyle w:val="Compact"/>
        <w:numPr>
          <w:ilvl w:val="0"/>
          <w:numId w:val="1030"/>
        </w:numPr>
      </w:pPr>
      <w:r>
        <w:t xml:space="preserve">Different finish on the front and back plates.</w:t>
      </w:r>
    </w:p>
    <w:p>
      <w:pPr>
        <w:pStyle w:val="Compact"/>
        <w:numPr>
          <w:ilvl w:val="0"/>
          <w:numId w:val="1030"/>
        </w:numPr>
      </w:pPr>
      <w:r>
        <w:t xml:space="preserve">Using two frames of one pose as two detection trials in series D (§10, step 4).</w:t>
      </w:r>
    </w:p>
    <w:p>
      <w:pPr>
        <w:pStyle w:val="Compact"/>
        <w:numPr>
          <w:ilvl w:val="0"/>
          <w:numId w:val="1030"/>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30"/>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11),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58"/>
    <w:bookmarkStart w:id="59"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100 mm from the center by about 0.09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3</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 The analysis region loses the boundary band (</w:t>
            </w:r>
            <w:r>
              <w:rPr>
                <w:rStyle w:val="VerbatimChar"/>
              </w:rPr>
              <w:t xml:space="preserve">boundary_band_half_width_px</w:t>
            </w:r>
            <w:r>
              <w:t xml:space="preserve">, 8 px) on each side, so with the 150 mm high stage-1 board (64.5 rows at 1600 mm) it keeps about 0.75 of the visible height: 2 quanta would leave only about 1.5 inside the region and no guaranteed complete plateau, whereas 3 quanta leave about 2.3, so that at least one plateau lies completely between two steps at every station (the plateau method needs two steps in the region). At the indicative geometry that is about 21 image rows per quantum at 1600 mm (150 mm x fy / 1600 mm / 3), and more at the nearer stations.</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200, 150</w:t>
            </w:r>
          </w:p>
        </w:tc>
        <w:tc>
          <w:tcPr/>
          <w:p>
            <w:pPr>
              <w:pStyle w:val="Compact"/>
            </w:pPr>
            <w:r>
              <w:t xml:space="preserve">Uniform matte plate (T2), the stage-1 calibration board: width (along H) x height (along V), mm; at least 6 mm thick, flat to</w:t>
            </w:r>
            <w:r>
              <w:t xml:space="preserve"> </w:t>
            </w:r>
            <w:r>
              <w:rPr>
                <w:rStyle w:val="VerbatimChar"/>
              </w:rPr>
              <w:t xml:space="preserve">plate_flatness_mm</w:t>
            </w:r>
            <w:r>
              <w:t xml:space="preserve">, on its board adapter. A tilt about H swings the half-height (75 mm) toward the sensor, a tilt about V the half-width (100 mm); the tilt-feasibility rule of the planner and the B-Z ramp use these half extents. It replaced the 400 x 400 mm noise plate (2026-10-08).</w:t>
            </w:r>
          </w:p>
        </w:tc>
      </w:tr>
      <w:tr>
        <w:tc>
          <w:tcPr/>
          <w:p>
            <w:pPr>
              <w:pStyle w:val="Compact"/>
            </w:pPr>
            <w:r>
              <w:rPr>
                <w:rStyle w:val="VerbatimChar"/>
              </w:rPr>
              <w:t xml:space="preserve">EDGE_PLATE_SIZE_MM</w:t>
            </w:r>
          </w:p>
        </w:tc>
        <w:tc>
          <w:tcPr/>
          <w:p>
            <w:pPr>
              <w:pStyle w:val="Compact"/>
            </w:pPr>
            <w:r>
              <w:t xml:space="preserve">None</w:t>
            </w:r>
          </w:p>
        </w:tc>
        <w:tc>
          <w:tcPr/>
          <w:p>
            <w:pPr>
              <w:pStyle w:val="Compact"/>
            </w:pPr>
            <w:r>
              <w:t xml:space="preserve">Override of the back plate of T3a and the front plate of T3b, width x height, mm.</w:t>
            </w:r>
            <w:r>
              <w:t xml:space="preserve"> </w:t>
            </w:r>
            <w:r>
              <w:rPr>
                <w:rStyle w:val="VerbatimChar"/>
              </w:rPr>
              <w:t xml:space="preserve">None</w:t>
            </w:r>
            <w:r>
              <w:t xml:space="preserve"> </w:t>
            </w:r>
            <w:r>
              <w:t xml:space="preserve">(the default) derives the size from the rule of</w:t>
            </w:r>
            <w:r>
              <w:t xml:space="preserve"> </w:t>
            </w:r>
            <w:r>
              <w:rPr>
                <w:rStyle w:val="VerbatimChar"/>
              </w:rPr>
              <w:t xml:space="preserve">geometry.targets.edge_plate_sizing</w:t>
            </w:r>
            <w:r>
              <w:t xml:space="preserve">: the plate extends past the square by the larger of (a) the boundary band at Z_MAX plus the shadow of the large gap (GAP_LARGE_MM times the tangent of the worst ray angle over the poses used) and (b) the feature isolation at Z_MAX (the T3b front plate needs it around its window), and the side is rounded up to</w:t>
            </w:r>
            <w:r>
              <w:t xml:space="preserve"> </w:t>
            </w:r>
            <w:r>
              <w:rPr>
                <w:rStyle w:val="VerbatimChar"/>
              </w:rPr>
              <w:t xml:space="preserve">edge_plate_size_step_mm</w:t>
            </w:r>
            <w:r>
              <w:t xml:space="preserve">. These plates do NOT follow the smaller T2 board.</w:t>
            </w:r>
          </w:p>
        </w:tc>
      </w:tr>
      <w:tr>
        <w:tc>
          <w:tcPr/>
          <w:p>
            <w:pPr>
              <w:pStyle w:val="Compact"/>
            </w:pPr>
            <w:r>
              <w:rPr>
                <w:rStyle w:val="VerbatimChar"/>
              </w:rPr>
              <w:t xml:space="preserve">EDGE_PLATE_SIZE_STEP_MM</w:t>
            </w:r>
          </w:p>
        </w:tc>
        <w:tc>
          <w:tcPr/>
          <w:p>
            <w:pPr>
              <w:pStyle w:val="Compact"/>
            </w:pPr>
            <w:r>
              <w:t xml:space="preserve">10</w:t>
            </w:r>
          </w:p>
        </w:tc>
        <w:tc>
          <w:tcPr/>
          <w:p>
            <w:pPr>
              <w:pStyle w:val="Compact"/>
            </w:pPr>
            <w:r>
              <w:t xml:space="preserve">The derived side of the T3a and T3b plates is rounded up to a multiple of this (a plate is cut to a round size).</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100 mm from center (the half-width of the T2 board) by about 0.09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12. The parameters of the procedure, with the values of the default plan.</w:t>
      </w:r>
    </w:p>
    <w:bookmarkEnd w:id="59"/>
    <w:bookmarkStart w:id="60"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13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2135</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104</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884</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705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349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13.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60"/>
    <w:bookmarkStart w:id="61"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31"/>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31"/>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32"/>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32"/>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32"/>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3"/>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3"/>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3"/>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3"/>
        </w:numPr>
      </w:pPr>
      <w:r>
        <w:t xml:space="preserve">A traceback (many lines ending in an exception name) from any tool is a software fault, not an input fault: save the whole output and the input files and send them to the engineer.</w:t>
      </w:r>
    </w:p>
    <w:bookmarkEnd w:id="61"/>
    <w:bookmarkStart w:id="62"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target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The target mounting stack, cross-section, not to scale. The adapter (PT-01) stays on the robot flange; each feature target carries its own spigot (PT-02), which drops into the adapter’s bore with its dowel in the keyway and is held by the ball-lock pin. The standoffs (PT-03) set the gap G.</w:t>
            </w:r>
          </w:p>
        </w:tc>
        <w:tc>
          <w:tcPr/>
          <w:p>
            <w:pPr>
              <w:pStyle w:val="Compact"/>
            </w:pPr>
            <w:r>
              <w:rPr>
                <w:rStyle w:val="VerbatimChar"/>
              </w:rPr>
              <w:t xml:space="preserve">figures/fig_mounting.png</w:t>
            </w:r>
          </w:p>
        </w:tc>
      </w:tr>
      <w:tr>
        <w:tc>
          <w:tcPr/>
          <w:p>
            <w:pPr>
              <w:pStyle w:val="Compact"/>
            </w:pPr>
            <w:r>
              <w:t xml:space="preserve">4</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5</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6</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7</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8</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9</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62"/>
    <w:bookmarkStart w:id="63" w:name="appendix-e.-suppliers"/>
    <w:p>
      <w:pPr>
        <w:pStyle w:val="Heading2"/>
      </w:pPr>
      <w:r>
        <w:t xml:space="preserve">Appendix E. Suppliers</w:t>
      </w:r>
    </w:p>
    <w:p>
      <w:pPr>
        <w:pStyle w:val="FirstParagraph"/>
      </w:pPr>
      <w:r>
        <w:t xml:space="preserve">This list was assembled from the suppliers’ web pages in October 2026, partly for the stage-1 procedure. It is a starting point, not an endorsement: confirm sizes, finishes and prices with the supplier before ordering, because catalogs change and the targets are made to order.</w:t>
      </w:r>
    </w:p>
    <w:p>
      <w:pPr>
        <w:pStyle w:val="BodyText"/>
      </w:pPr>
      <w:r>
        <w:t xml:space="preserve">Plate stock and machining for the four feature targets (section 1d, drawings PT-04 to PT-07):</w:t>
      </w:r>
    </w:p>
    <w:p>
      <w:pPr>
        <w:pStyle w:val="Compact"/>
        <w:numPr>
          <w:ilvl w:val="0"/>
          <w:numId w:val="1034"/>
        </w:numPr>
      </w:pPr>
      <w:r>
        <w:t xml:space="preserve">McMaster-Carr: MIC-6 cast aluminum tooling plate in 6 mm (1/4 inch) and 8 mm (5/16 inch) thicknesses, sold with mill certificates and a stated flatness of about 0.13 mm over the sheet. Ask the machine shop to finish-grind the front faces to the 0.05 mm of section 1d, or buy the plates finish-ground from the shop.</w:t>
      </w:r>
    </w:p>
    <w:p>
      <w:pPr>
        <w:pStyle w:val="Compact"/>
        <w:numPr>
          <w:ilvl w:val="0"/>
          <w:numId w:val="1034"/>
        </w:numPr>
      </w:pPr>
      <w:r>
        <w:t xml:space="preserve">Any job shop with a CNC mill and a lathe makes the plates, the raised square, the disks, the standoffs and the spigots; a shop that also bead-blasts (or sends out to a blasting shop) keeps every surface in one batch, which section 1d requires. Ask for the inspection report of section 2 as part of the quote.</w:t>
      </w:r>
    </w:p>
    <w:p>
      <w:pPr>
        <w:pStyle w:val="Compact"/>
        <w:numPr>
          <w:ilvl w:val="0"/>
          <w:numId w:val="1034"/>
        </w:numPr>
      </w:pPr>
      <w:r>
        <w:t xml:space="preserve">2 mm stainless steel drill rod for the disk posts and precision ground stock for the spigots: McMaster-Carr, MSC Industrial.</w:t>
      </w:r>
    </w:p>
    <w:p>
      <w:pPr>
        <w:pStyle w:val="FirstParagraph"/>
      </w:pPr>
      <w:r>
        <w:t xml:space="preserve">Board (section 1d, from stage 1): McMaster-Carr MIC-6 plate finish-ground by a local shop, or a 6 to 10 mm float glass plate from any glass or optical-flat supplier, matte-painted on the front face. The supplier’s or the grinding shop’s flatness report is the starting document; the flatness is confirmed in-house with the run-out fixture after mounting.</w:t>
      </w:r>
    </w:p>
    <w:p>
      <w:pPr>
        <w:pStyle w:val="BodyText"/>
      </w:pPr>
      <w:r>
        <w:t xml:space="preserve">Ball-lock pins (section 1e): 8 mm quick-release ball-lock pins with a T-handle, grip length as on drawing PT-01, from McMaster-Carr, Carr Lane or Jergens, about $20 to $60 each.</w:t>
      </w:r>
    </w:p>
    <w:p>
      <w:pPr>
        <w:pStyle w:val="BodyText"/>
      </w:pPr>
      <w:r>
        <w:t xml:space="preserve">Temperature loggers (section 1e): two-channel or single-channel USB loggers with 0.1 degree C resolution and a CSV export, for example Lascar EL-USB-1 or Onset HOBO MX100, about $30 to $100 each, with a surface probe or a strap for the sensor housing.</w:t>
      </w:r>
    </w:p>
    <w:p>
      <w:pPr>
        <w:pStyle w:val="BodyText"/>
      </w:pPr>
      <w:r>
        <w:t xml:space="preserve">Measuring instruments (section 1c), all stocked by McMaster-Carr, Transcat, MSI-Viking and the usual tool suppliers:</w:t>
      </w:r>
    </w:p>
    <w:p>
      <w:pPr>
        <w:pStyle w:val="Compact"/>
        <w:numPr>
          <w:ilvl w:val="0"/>
          <w:numId w:val="1035"/>
        </w:numPr>
      </w:pPr>
      <w:r>
        <w:t xml:space="preserve">Calipers, 600 mm (for example Mitutoyo 500-507 or an iGaging 600 mm digital caliper, about $150 to $250), or a 500 mm steel rule graduated in 0.5 mm (about $40) for the plate width and length.</w:t>
      </w:r>
    </w:p>
    <w:p>
      <w:pPr>
        <w:pStyle w:val="Compact"/>
        <w:numPr>
          <w:ilvl w:val="0"/>
          <w:numId w:val="1035"/>
        </w:numPr>
      </w:pPr>
      <w:r>
        <w:t xml:space="preserve">Calipers with depth rod, 150 mm: Mitutoyo or Starrett, about $30 to $150 (from stage 1).</w:t>
      </w:r>
    </w:p>
    <w:p>
      <w:pPr>
        <w:pStyle w:val="Compact"/>
        <w:numPr>
          <w:ilvl w:val="0"/>
          <w:numId w:val="1035"/>
        </w:numPr>
      </w:pPr>
      <w:r>
        <w:t xml:space="preserve">Dial indicator for the run-out fixture: Mitutoyo 2046 series, 0.01 mm graduation, 10 mm travel, about $50 to $150; magnetic base Noga MG71003 or DG-61003, about $140 to $320 (from stage 1).</w:t>
      </w:r>
    </w:p>
    <w:p>
      <w:pPr>
        <w:pStyle w:val="Compact"/>
        <w:numPr>
          <w:ilvl w:val="0"/>
          <w:numId w:val="1035"/>
        </w:numPr>
      </w:pPr>
      <w:r>
        <w:t xml:space="preserve">Torque wrench, 1 to 25 N m range for the M5 and M6 screws, about $80 to $250 (from stage 1).</w:t>
      </w:r>
    </w:p>
    <w:p>
      <w:pPr>
        <w:pStyle w:val="FirstParagraph"/>
      </w:pPr>
      <w:r>
        <w:t xml:space="preserve">Machine shop: the target adapter, the four spigots, the standoffs, the four feature targets with their disks and posts, and the T5 edge bracket (drawings in appendix F); the stage-1 board adapter SC1-05 and the run-out base plate if stage 1 has not been run.</w:t>
      </w:r>
    </w:p>
    <w:bookmarkEnd w:id="63"/>
    <w:bookmarkStart w:id="88" w:name="appendix-f.-shop-drawings"/>
    <w:p>
      <w:pPr>
        <w:pStyle w:val="Heading2"/>
      </w:pPr>
      <w:r>
        <w:t xml:space="preserve">Appendix F. Shop drawings</w:t>
      </w:r>
    </w:p>
    <w:p>
      <w:pPr>
        <w:pStyle w:val="FirstParagraph"/>
      </w:pPr>
      <w:r>
        <w:t xml:space="preserve">The eight sheets below are the ones to build from. Each shows the part in plan and in section, with every feature dimensioned and toleranced, the material, the finish, the quantity and the points the shop must confirm. The flange interface of PT-01 follows ISO 9409-1-50-4-M6 (ISO 9409-1:1996, table 1: 50 mm pitch circle, 31.5 mm H7 centering recess, four M6, one 6 mm H7 pin hole on the pitch circle at +Xm); confirm it against the chosen robot’s flange drawing before machining. The board adapter SC1-05 and the rigid sensor mount are built from the stage-1 drawings and are not repeated here; the run-out fixture and the drift-run stand need no drawing (section 1e).</w:t>
      </w:r>
    </w:p>
    <w:p>
      <w:pPr>
        <w:pStyle w:val="BodyText"/>
      </w:pPr>
      <w:r>
        <w:t xml:space="preserve">The drawings are generated by scripts in</w:t>
      </w:r>
      <w:r>
        <w:t xml:space="preserve"> </w:t>
      </w:r>
      <w:r>
        <w:rPr>
          <w:rStyle w:val="VerbatimChar"/>
        </w:rPr>
        <w:t xml:space="preserve">docs/procedures/drawings/</w:t>
      </w:r>
      <w:r>
        <w:t xml:space="preserve"> </w:t>
      </w:r>
      <w:r>
        <w:t xml:space="preserve">(regenerate all of them with</w:t>
      </w:r>
      <w:r>
        <w:t xml:space="preserve"> </w:t>
      </w:r>
      <w:r>
        <w:rPr>
          <w:rStyle w:val="VerbatimChar"/>
        </w:rPr>
        <w:t xml:space="preserve">python3 docs/procedures/drawings/make_all.py</w:t>
      </w:r>
      <w:r>
        <w:t xml:space="preserve">); the PNG files there print at full size and are the copies to send to the shop. Feature positions and sizes on PT-04 to PT-07 are read from the code’s target definitions, so a change of the feature ladder regenerates the drawings; the spigot mating pattern and the standoff studs are shared between the sheets through one module, so the plates and the spigot cannot disagree.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Drawing</w:t>
            </w:r>
          </w:p>
        </w:tc>
        <w:tc>
          <w:tcPr/>
          <w:p>
            <w:pPr>
              <w:pStyle w:val="Compact"/>
            </w:pPr>
            <w:r>
              <w:t xml:space="preserve">Part</w:t>
            </w:r>
          </w:p>
        </w:tc>
        <w:tc>
          <w:tcPr/>
          <w:p>
            <w:pPr>
              <w:pStyle w:val="Compact"/>
            </w:pPr>
            <w:r>
              <w:t xml:space="preserve">Quantity</w:t>
            </w:r>
          </w:p>
        </w:tc>
        <w:tc>
          <w:tcPr/>
          <w:p>
            <w:pPr>
              <w:pStyle w:val="Compact"/>
            </w:pPr>
            <w:r>
              <w:t xml:space="preserve">File</w:t>
            </w:r>
          </w:p>
        </w:tc>
      </w:tr>
      <w:tr>
        <w:tc>
          <w:tcPr/>
          <w:p>
            <w:pPr>
              <w:pStyle w:val="Compact"/>
            </w:pPr>
            <w:r>
              <w:t xml:space="preserve">PT-01</w:t>
            </w:r>
          </w:p>
        </w:tc>
        <w:tc>
          <w:tcPr/>
          <w:p>
            <w:pPr>
              <w:pStyle w:val="Compact"/>
            </w:pPr>
            <w:r>
              <w:t xml:space="preserve">Target adapter, ISO 9409-1-50-4-M6 flange side, spigot bore and cross hole</w:t>
            </w:r>
          </w:p>
        </w:tc>
        <w:tc>
          <w:tcPr/>
          <w:p>
            <w:pPr>
              <w:pStyle w:val="Compact"/>
            </w:pPr>
            <w:r>
              <w:t xml:space="preserve">1</w:t>
            </w:r>
          </w:p>
        </w:tc>
        <w:tc>
          <w:tcPr/>
          <w:p>
            <w:pPr>
              <w:pStyle w:val="Compact"/>
            </w:pPr>
            <w:r>
              <w:rPr>
                <w:rStyle w:val="VerbatimChar"/>
              </w:rPr>
              <w:t xml:space="preserve">PT-01_target_adapter.png</w:t>
            </w:r>
          </w:p>
        </w:tc>
      </w:tr>
      <w:tr>
        <w:tc>
          <w:tcPr/>
          <w:p>
            <w:pPr>
              <w:pStyle w:val="Compact"/>
            </w:pPr>
            <w:r>
              <w:t xml:space="preserve">PT-02</w:t>
            </w:r>
          </w:p>
        </w:tc>
        <w:tc>
          <w:tcPr/>
          <w:p>
            <w:pPr>
              <w:pStyle w:val="Compact"/>
            </w:pPr>
            <w:r>
              <w:t xml:space="preserve">Target spigot, with the mating pattern of every back plate</w:t>
            </w:r>
          </w:p>
        </w:tc>
        <w:tc>
          <w:tcPr/>
          <w:p>
            <w:pPr>
              <w:pStyle w:val="Compact"/>
            </w:pPr>
            <w:r>
              <w:t xml:space="preserve">4</w:t>
            </w:r>
          </w:p>
        </w:tc>
        <w:tc>
          <w:tcPr/>
          <w:p>
            <w:pPr>
              <w:pStyle w:val="Compact"/>
            </w:pPr>
            <w:r>
              <w:rPr>
                <w:rStyle w:val="VerbatimChar"/>
              </w:rPr>
              <w:t xml:space="preserve">PT-02_target_spigot.png</w:t>
            </w:r>
          </w:p>
        </w:tc>
      </w:tr>
      <w:tr>
        <w:tc>
          <w:tcPr/>
          <w:p>
            <w:pPr>
              <w:pStyle w:val="Compact"/>
            </w:pPr>
            <w:r>
              <w:t xml:space="preserve">PT-03</w:t>
            </w:r>
          </w:p>
        </w:tc>
        <w:tc>
          <w:tcPr/>
          <w:p>
            <w:pPr>
              <w:pStyle w:val="Compact"/>
            </w:pPr>
            <w:r>
              <w:t xml:space="preserve">Standoff set: bodies of 5, 9, 50 and 54 mm for the 15 and 60 mm gaps</w:t>
            </w:r>
          </w:p>
        </w:tc>
        <w:tc>
          <w:tcPr/>
          <w:p>
            <w:pPr>
              <w:pStyle w:val="Compact"/>
            </w:pPr>
            <w:r>
              <w:t xml:space="preserve">32</w:t>
            </w:r>
          </w:p>
        </w:tc>
        <w:tc>
          <w:tcPr/>
          <w:p>
            <w:pPr>
              <w:pStyle w:val="Compact"/>
            </w:pPr>
            <w:r>
              <w:rPr>
                <w:rStyle w:val="VerbatimChar"/>
              </w:rPr>
              <w:t xml:space="preserve">PT-03_standoff_set.png</w:t>
            </w:r>
          </w:p>
        </w:tc>
      </w:tr>
      <w:tr>
        <w:tc>
          <w:tcPr/>
          <w:p>
            <w:pPr>
              <w:pStyle w:val="Compact"/>
            </w:pPr>
            <w:r>
              <w:t xml:space="preserve">PT-04</w:t>
            </w:r>
          </w:p>
        </w:tc>
        <w:tc>
          <w:tcPr/>
          <w:p>
            <w:pPr>
              <w:pStyle w:val="Compact"/>
            </w:pPr>
            <w:r>
              <w:t xml:space="preserve">T3a raised square and back plate</w:t>
            </w:r>
          </w:p>
        </w:tc>
        <w:tc>
          <w:tcPr/>
          <w:p>
            <w:pPr>
              <w:pStyle w:val="Compact"/>
            </w:pPr>
            <w:r>
              <w:t xml:space="preserve">1</w:t>
            </w:r>
          </w:p>
        </w:tc>
        <w:tc>
          <w:tcPr/>
          <w:p>
            <w:pPr>
              <w:pStyle w:val="Compact"/>
            </w:pPr>
            <w:r>
              <w:rPr>
                <w:rStyle w:val="VerbatimChar"/>
              </w:rPr>
              <w:t xml:space="preserve">PT-04_T3a_raised_square.png</w:t>
            </w:r>
          </w:p>
        </w:tc>
      </w:tr>
      <w:tr>
        <w:tc>
          <w:tcPr/>
          <w:p>
            <w:pPr>
              <w:pStyle w:val="Compact"/>
            </w:pPr>
            <w:r>
              <w:t xml:space="preserve">PT-05</w:t>
            </w:r>
          </w:p>
        </w:tc>
        <w:tc>
          <w:tcPr/>
          <w:p>
            <w:pPr>
              <w:pStyle w:val="Compact"/>
            </w:pPr>
            <w:r>
              <w:t xml:space="preserve">T3b square window, front and back plates</w:t>
            </w:r>
          </w:p>
        </w:tc>
        <w:tc>
          <w:tcPr/>
          <w:p>
            <w:pPr>
              <w:pStyle w:val="Compact"/>
            </w:pPr>
            <w:r>
              <w:t xml:space="preserve">1</w:t>
            </w:r>
          </w:p>
        </w:tc>
        <w:tc>
          <w:tcPr/>
          <w:p>
            <w:pPr>
              <w:pStyle w:val="Compact"/>
            </w:pPr>
            <w:r>
              <w:rPr>
                <w:rStyle w:val="VerbatimChar"/>
              </w:rPr>
              <w:t xml:space="preserve">PT-05_T3b_square_window.png</w:t>
            </w:r>
          </w:p>
        </w:tc>
      </w:tr>
      <w:tr>
        <w:tc>
          <w:tcPr/>
          <w:p>
            <w:pPr>
              <w:pStyle w:val="Compact"/>
            </w:pPr>
            <w:r>
              <w:t xml:space="preserve">PT-06 sheet 1</w:t>
            </w:r>
          </w:p>
        </w:tc>
        <w:tc>
          <w:tcPr/>
          <w:p>
            <w:pPr>
              <w:pStyle w:val="Compact"/>
            </w:pPr>
            <w:r>
              <w:t xml:space="preserve">T4 disk plate: back plate</w:t>
            </w:r>
          </w:p>
        </w:tc>
        <w:tc>
          <w:tcPr/>
          <w:p>
            <w:pPr>
              <w:pStyle w:val="Compact"/>
            </w:pPr>
            <w:r>
              <w:t xml:space="preserve">1</w:t>
            </w:r>
          </w:p>
        </w:tc>
        <w:tc>
          <w:tcPr/>
          <w:p>
            <w:pPr>
              <w:pStyle w:val="Compact"/>
            </w:pPr>
            <w:r>
              <w:rPr>
                <w:rStyle w:val="VerbatimChar"/>
              </w:rPr>
              <w:t xml:space="preserve">PT-06_T4_disk_plate_sheet1.png</w:t>
            </w:r>
          </w:p>
        </w:tc>
      </w:tr>
      <w:tr>
        <w:tc>
          <w:tcPr/>
          <w:p>
            <w:pPr>
              <w:pStyle w:val="Compact"/>
            </w:pPr>
            <w:r>
              <w:t xml:space="preserve">PT-06 sheet 2</w:t>
            </w:r>
          </w:p>
        </w:tc>
        <w:tc>
          <w:tcPr/>
          <w:p>
            <w:pPr>
              <w:pStyle w:val="Compact"/>
            </w:pPr>
            <w:r>
              <w:t xml:space="preserve">T4 disks and posts</w:t>
            </w:r>
          </w:p>
        </w:tc>
        <w:tc>
          <w:tcPr/>
          <w:p>
            <w:pPr>
              <w:pStyle w:val="Compact"/>
            </w:pPr>
            <w:r>
              <w:t xml:space="preserve">6 disks, 8 posts</w:t>
            </w:r>
          </w:p>
        </w:tc>
        <w:tc>
          <w:tcPr/>
          <w:p>
            <w:pPr>
              <w:pStyle w:val="Compact"/>
            </w:pPr>
            <w:r>
              <w:rPr>
                <w:rStyle w:val="VerbatimChar"/>
              </w:rPr>
              <w:t xml:space="preserve">PT-06_T4_disk_plate_sheet2.png</w:t>
            </w:r>
          </w:p>
        </w:tc>
      </w:tr>
      <w:tr>
        <w:tc>
          <w:tcPr/>
          <w:p>
            <w:pPr>
              <w:pStyle w:val="Compact"/>
            </w:pPr>
            <w:r>
              <w:t xml:space="preserve">PT-07</w:t>
            </w:r>
          </w:p>
        </w:tc>
        <w:tc>
          <w:tcPr/>
          <w:p>
            <w:pPr>
              <w:pStyle w:val="Compact"/>
            </w:pPr>
            <w:r>
              <w:t xml:space="preserve">T5 cutout plate, back plate and edge bracket</w:t>
            </w:r>
          </w:p>
        </w:tc>
        <w:tc>
          <w:tcPr/>
          <w:p>
            <w:pPr>
              <w:pStyle w:val="Compact"/>
            </w:pPr>
            <w:r>
              <w:t xml:space="preserve">1</w:t>
            </w:r>
          </w:p>
        </w:tc>
        <w:tc>
          <w:tcPr/>
          <w:p>
            <w:pPr>
              <w:pStyle w:val="Compact"/>
            </w:pPr>
            <w:r>
              <w:rPr>
                <w:rStyle w:val="VerbatimChar"/>
              </w:rPr>
              <w:t xml:space="preserve">PT-07_T5_cutout_plate.png</w:t>
            </w:r>
          </w:p>
        </w:tc>
      </w:tr>
    </w:tbl>
    <w:p>
      <w:pPr>
        <w:pStyle w:val="BodyText"/>
      </w:pPr>
      <w:r>
        <w:t xml:space="preserve">Points for the machine shop to confirm, gathered from the sheets:</w:t>
      </w:r>
    </w:p>
    <w:p>
      <w:pPr>
        <w:pStyle w:val="Compact"/>
        <w:numPr>
          <w:ilvl w:val="0"/>
          <w:numId w:val="1036"/>
        </w:numPr>
      </w:pPr>
      <w:r>
        <w:t xml:space="preserve">PT-01: the four Ø11 counterbores on the 50 mm pitch circle notch the Ø40 bore by 0.5 mm over 6.5 mm (drawn as is); the drill point of the dowel hole stops 1.2 mm from the cross hole; the keyway depth of 4.5 mm (the dowel’s 4 mm protrusion plus 0.5 mm clearance); the ball-lock pin’s grip length; the M5 hold-down holes are optional.</w:t>
      </w:r>
    </w:p>
    <w:p>
      <w:pPr>
        <w:pStyle w:val="Compact"/>
        <w:numPr>
          <w:ilvl w:val="0"/>
          <w:numId w:val="1036"/>
        </w:numPr>
      </w:pPr>
      <w:r>
        <w:t xml:space="preserve">PT-02: the flange thickness of 8 mm with a 4 mm counterbore, the dowel 6 mm from the flange face, the finish (passivated, matte, the ground body uncoated), and the material grade.</w:t>
      </w:r>
    </w:p>
    <w:p>
      <w:pPr>
        <w:pStyle w:val="Compact"/>
        <w:numPr>
          <w:ilvl w:val="0"/>
          <w:numId w:val="1036"/>
        </w:numPr>
      </w:pPr>
      <w:r>
        <w:t xml:space="preserve">PT-03: the gap convention (the body is G minus the front part’s thickness, 6 mm for the plates and 10 mm for the raised square, so that the step the sensor sees is G), the groove that marks the 5.5 mm front stud, the thread class 6g, the run-out, and the split of the spares.</w:t>
      </w:r>
    </w:p>
    <w:p>
      <w:pPr>
        <w:pStyle w:val="Compact"/>
        <w:numPr>
          <w:ilvl w:val="0"/>
          <w:numId w:val="1036"/>
        </w:numPr>
      </w:pPr>
      <w:r>
        <w:t xml:space="preserve">PT-04 to PT-07: the land of 0.1 +0.1/−0.1 mm at every knife edge (never more than 0.2 mm, measured and reported for every edge), the blind holes of the 10 mm raised square (tap drill 8.0 mm deep to the tip, floor 2.0 mm), the through-tapped M5 holes of the 6 mm front plates with nothing proud of the front face, the slip fit of the disk posts in their reamed holes (free length G minus the disk thickness), and the bead-blast batch (every plate, disk and post together, one medium, one pressure, before assembly).</w:t>
      </w:r>
    </w:p>
    <w:p>
      <w:pPr>
        <w:pStyle w:val="Compact"/>
        <w:numPr>
          <w:ilvl w:val="0"/>
          <w:numId w:val="1036"/>
        </w:numPr>
      </w:pPr>
      <w:r>
        <w:t xml:space="preserve">PT-07: the edge bracket’s screws into the through-tapped front plate end 1.5 mm below the front face; the 8 mm bracket lies 1 mm clear of the back plate at the 15 mm gap; the back plate is removable for the open-background captures and must go back on its standoffs without play.</w:t>
      </w:r>
    </w:p>
    <w:p>
      <w:pPr>
        <w:pStyle w:val="FirstParagraph"/>
      </w:pPr>
      <w:r>
        <w:t xml:space="preserve">The drafter chose, and the engineer may change before ordering: plate thicknesses (6 mm front plates, 8 mm back plates, 10 mm raised square), the disk thicknesses (2, 3 and 4 mm), the standoff positions (corners at 15 mm or 12 mm inset; the 64 mm square behind the raised square), the adapter in aluminum, and the T5 edge bracket (40 mm wide, 8 mm thick, 100 mm extension).</w:t>
      </w:r>
    </w:p>
    <w:p>
      <w:pPr>
        <w:pStyle w:val="CaptionedFigure"/>
      </w:pPr>
      <w:r>
        <w:drawing>
          <wp:inline>
            <wp:extent cx="5334000" cy="3394363"/>
            <wp:effectExtent b="0" l="0" r="0" t="0"/>
            <wp:docPr descr="PT-01" title="" id="65" name="Picture"/>
            <a:graphic>
              <a:graphicData uri="http://schemas.openxmlformats.org/drawingml/2006/picture">
                <pic:pic>
                  <pic:nvPicPr>
                    <pic:cNvPr descr="drawings/PT-01_target_adapter.png" id="66" name="Picture"/>
                    <pic:cNvPicPr>
                      <a:picLocks noChangeArrowheads="1" noChangeAspect="1"/>
                    </pic:cNvPicPr>
                  </pic:nvPicPr>
                  <pic:blipFill>
                    <a:blip r:embed="rId64"/>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PT-01</w:t>
      </w:r>
    </w:p>
    <w:p>
      <w:pPr>
        <w:pStyle w:val="BodyText"/>
      </w:pPr>
      <w:r>
        <w:t xml:space="preserve">Drawing PT-01. Target adapter.</w:t>
      </w:r>
    </w:p>
    <w:p>
      <w:pPr>
        <w:pStyle w:val="CaptionedFigure"/>
      </w:pPr>
      <w:r>
        <w:drawing>
          <wp:inline>
            <wp:extent cx="5334000" cy="3394363"/>
            <wp:effectExtent b="0" l="0" r="0" t="0"/>
            <wp:docPr descr="PT-02" title="" id="68" name="Picture"/>
            <a:graphic>
              <a:graphicData uri="http://schemas.openxmlformats.org/drawingml/2006/picture">
                <pic:pic>
                  <pic:nvPicPr>
                    <pic:cNvPr descr="drawings/PT-02_target_spigot.png" id="69" name="Picture"/>
                    <pic:cNvPicPr>
                      <a:picLocks noChangeArrowheads="1" noChangeAspect="1"/>
                    </pic:cNvPicPr>
                  </pic:nvPicPr>
                  <pic:blipFill>
                    <a:blip r:embed="rId6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PT-02</w:t>
      </w:r>
    </w:p>
    <w:p>
      <w:pPr>
        <w:pStyle w:val="BodyText"/>
      </w:pPr>
      <w:r>
        <w:t xml:space="preserve">Drawing PT-02. Target spigot.</w:t>
      </w:r>
    </w:p>
    <w:p>
      <w:pPr>
        <w:pStyle w:val="CaptionedFigure"/>
      </w:pPr>
      <w:r>
        <w:drawing>
          <wp:inline>
            <wp:extent cx="5334000" cy="3394363"/>
            <wp:effectExtent b="0" l="0" r="0" t="0"/>
            <wp:docPr descr="PT-03" title="" id="71" name="Picture"/>
            <a:graphic>
              <a:graphicData uri="http://schemas.openxmlformats.org/drawingml/2006/picture">
                <pic:pic>
                  <pic:nvPicPr>
                    <pic:cNvPr descr="drawings/PT-03_standoff_set.png" id="72" name="Picture"/>
                    <pic:cNvPicPr>
                      <a:picLocks noChangeArrowheads="1" noChangeAspect="1"/>
                    </pic:cNvPicPr>
                  </pic:nvPicPr>
                  <pic:blipFill>
                    <a:blip r:embed="rId70"/>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PT-03</w:t>
      </w:r>
    </w:p>
    <w:p>
      <w:pPr>
        <w:pStyle w:val="BodyText"/>
      </w:pPr>
      <w:r>
        <w:t xml:space="preserve">Drawing PT-03. Standoff set.</w:t>
      </w:r>
    </w:p>
    <w:p>
      <w:pPr>
        <w:pStyle w:val="CaptionedFigure"/>
      </w:pPr>
      <w:r>
        <w:drawing>
          <wp:inline>
            <wp:extent cx="5334000" cy="3394363"/>
            <wp:effectExtent b="0" l="0" r="0" t="0"/>
            <wp:docPr descr="PT-04" title="" id="74" name="Picture"/>
            <a:graphic>
              <a:graphicData uri="http://schemas.openxmlformats.org/drawingml/2006/picture">
                <pic:pic>
                  <pic:nvPicPr>
                    <pic:cNvPr descr="drawings/PT-04_T3a_raised_square.png" id="75" name="Picture"/>
                    <pic:cNvPicPr>
                      <a:picLocks noChangeArrowheads="1" noChangeAspect="1"/>
                    </pic:cNvPicPr>
                  </pic:nvPicPr>
                  <pic:blipFill>
                    <a:blip r:embed="rId73"/>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PT-04</w:t>
      </w:r>
    </w:p>
    <w:p>
      <w:pPr>
        <w:pStyle w:val="BodyText"/>
      </w:pPr>
      <w:r>
        <w:t xml:space="preserve">Drawing PT-04. T3a raised square and back plate.</w:t>
      </w:r>
    </w:p>
    <w:p>
      <w:pPr>
        <w:pStyle w:val="CaptionedFigure"/>
      </w:pPr>
      <w:r>
        <w:drawing>
          <wp:inline>
            <wp:extent cx="5334000" cy="3394363"/>
            <wp:effectExtent b="0" l="0" r="0" t="0"/>
            <wp:docPr descr="PT-05" title="" id="77" name="Picture"/>
            <a:graphic>
              <a:graphicData uri="http://schemas.openxmlformats.org/drawingml/2006/picture">
                <pic:pic>
                  <pic:nvPicPr>
                    <pic:cNvPr descr="drawings/PT-05_T3b_square_window.png" id="78" name="Picture"/>
                    <pic:cNvPicPr>
                      <a:picLocks noChangeArrowheads="1" noChangeAspect="1"/>
                    </pic:cNvPicPr>
                  </pic:nvPicPr>
                  <pic:blipFill>
                    <a:blip r:embed="rId76"/>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PT-05</w:t>
      </w:r>
    </w:p>
    <w:p>
      <w:pPr>
        <w:pStyle w:val="BodyText"/>
      </w:pPr>
      <w:r>
        <w:t xml:space="preserve">Drawing PT-05. T3b square window, front and back plates.</w:t>
      </w:r>
    </w:p>
    <w:p>
      <w:pPr>
        <w:pStyle w:val="CaptionedFigure"/>
      </w:pPr>
      <w:r>
        <w:drawing>
          <wp:inline>
            <wp:extent cx="5334000" cy="3394363"/>
            <wp:effectExtent b="0" l="0" r="0" t="0"/>
            <wp:docPr descr="PT-06 sheet 1" title="" id="80" name="Picture"/>
            <a:graphic>
              <a:graphicData uri="http://schemas.openxmlformats.org/drawingml/2006/picture">
                <pic:pic>
                  <pic:nvPicPr>
                    <pic:cNvPr descr="drawings/PT-06_T4_disk_plate_sheet1.png" id="81" name="Picture"/>
                    <pic:cNvPicPr>
                      <a:picLocks noChangeArrowheads="1" noChangeAspect="1"/>
                    </pic:cNvPicPr>
                  </pic:nvPicPr>
                  <pic:blipFill>
                    <a:blip r:embed="rId7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PT-06 sheet 1</w:t>
      </w:r>
    </w:p>
    <w:p>
      <w:pPr>
        <w:pStyle w:val="BodyText"/>
      </w:pPr>
      <w:r>
        <w:t xml:space="preserve">Drawing PT-06, sheet 1. T4 disk plate, back plate.</w:t>
      </w:r>
    </w:p>
    <w:p>
      <w:pPr>
        <w:pStyle w:val="CaptionedFigure"/>
      </w:pPr>
      <w:r>
        <w:drawing>
          <wp:inline>
            <wp:extent cx="5334000" cy="3394363"/>
            <wp:effectExtent b="0" l="0" r="0" t="0"/>
            <wp:docPr descr="PT-06 sheet 2" title="" id="83" name="Picture"/>
            <a:graphic>
              <a:graphicData uri="http://schemas.openxmlformats.org/drawingml/2006/picture">
                <pic:pic>
                  <pic:nvPicPr>
                    <pic:cNvPr descr="drawings/PT-06_T4_disk_plate_sheet2.png" id="84" name="Picture"/>
                    <pic:cNvPicPr>
                      <a:picLocks noChangeArrowheads="1" noChangeAspect="1"/>
                    </pic:cNvPicPr>
                  </pic:nvPicPr>
                  <pic:blipFill>
                    <a:blip r:embed="rId8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PT-06 sheet 2</w:t>
      </w:r>
    </w:p>
    <w:p>
      <w:pPr>
        <w:pStyle w:val="BodyText"/>
      </w:pPr>
      <w:r>
        <w:t xml:space="preserve">Drawing PT-06, sheet 2. T4 disks and posts.</w:t>
      </w:r>
    </w:p>
    <w:p>
      <w:pPr>
        <w:pStyle w:val="CaptionedFigure"/>
      </w:pPr>
      <w:r>
        <w:drawing>
          <wp:inline>
            <wp:extent cx="5334000" cy="3394363"/>
            <wp:effectExtent b="0" l="0" r="0" t="0"/>
            <wp:docPr descr="PT-07" title="" id="86" name="Picture"/>
            <a:graphic>
              <a:graphicData uri="http://schemas.openxmlformats.org/drawingml/2006/picture">
                <pic:pic>
                  <pic:nvPicPr>
                    <pic:cNvPr descr="drawings/PT-07_T5_cutout_plate.png" id="87" name="Picture"/>
                    <pic:cNvPicPr>
                      <a:picLocks noChangeArrowheads="1" noChangeAspect="1"/>
                    </pic:cNvPicPr>
                  </pic:nvPicPr>
                  <pic:blipFill>
                    <a:blip r:embed="rId85"/>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PT-07</w:t>
      </w:r>
    </w:p>
    <w:p>
      <w:pPr>
        <w:pStyle w:val="BodyText"/>
      </w:pPr>
      <w:r>
        <w:t xml:space="preserve">Drawing PT-07. T5 cutout plate, back plate and edge bracket.</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16" Target="media/rId16.png" /><Relationship Type="http://schemas.openxmlformats.org/officeDocument/2006/relationships/image" Id="rId39" Target="media/rId39.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6" Target="media/rId36.png" /><Relationship Type="http://schemas.openxmlformats.org/officeDocument/2006/relationships/image" Id="rId25" Target="media/rId25.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2026-10-08T19:41:42Z</dcterms:created>
  <dcterms:modified xsi:type="dcterms:W3CDTF">2026-10-08T19:41:42Z</dcterms:modified>
</cp:coreProperties>
</file>

<file path=docProps/custom.xml><?xml version="1.0" encoding="utf-8"?>
<Properties xmlns="http://schemas.openxmlformats.org/officeDocument/2006/custom-properties" xmlns:vt="http://schemas.openxmlformats.org/officeDocument/2006/docPropsVTypes"/>
</file>