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T2 sentinels bracket each series, so no re-mount is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w:t>
      </w:r>
    </w:p>
    <w:p>
      <w:pPr/>
      <w:r>
        <w:rPr>
          <w:b/>
        </w:rPr>
        <w:t xml:space="preserve">Manifest columns:</w:t>
      </w:r>
      <w:r>
        <w:t xml:space="preserve"> file name; procedure; target ID; gap G (mm); station Z (mm); field position; pose index; frame index; random seed; commanded lateral offset (H, V mm); read-back robot pose (6 values); target pose in the camera frame from registration (6 values); timestamp; sensor temperature; air temperature; sensor-configuration ID.</w:t>
      </w:r>
    </w:p>
    <w:p>
      <w:pPr/>
      <w:r>
        <w:rPr>
          <w:b/>
        </w:rPr>
        <w:t xml:space="preserve">Capture budget.</w:t>
      </w:r>
      <w:r>
        <w:t xml:space="preserve"> The estimate below assumes </w:t>
      </w:r>
      <w:r>
        <w:rPr>
          <w:rStyle w:val="CodeChar"/>
        </w:rPr>
        <w:t xml:space="preserve">FRAME_RATE_HZ</w:t>
      </w:r>
      <w:r>
        <w:t xml:space="preserve"> = 10 frames/s and </w:t>
      </w:r>
      <w:r>
        <w:rPr>
          <w:rStyle w:val="CodeChar"/>
        </w:rPr>
        <w:t xml:space="preserve">MOVE_AND_SETTLE_TIME_S</w:t>
      </w:r>
      <w:r>
        <w:t xml:space="preserve"> = 3 s per move plus settle. Both are assumptions; the VSX3000 frame rate in the chosen trigger mode should replace them. Target swaps, warm-up, and the D post check are excluded. The plan tool recomputes the table from Section 2.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 + sentinels</w:t>
            </w:r>
          </w:p>
        </w:tc>
        <w:tc>
          <w:tcPr>
            <w:tcW w:w="2340" w:type="dxa"/>
          </w:tcPr>
          <w:p>
            <w:pPr/>
            <w:r>
              <w:t xml:space="preserve">89</w:t>
            </w:r>
          </w:p>
        </w:tc>
        <w:tc>
          <w:tcPr>
            <w:tcW w:w="2340" w:type="dxa"/>
          </w:tcPr>
          <w:p>
            <w:pPr/>
            <w:r>
              <w:t xml:space="preserve">7,070</w:t>
            </w:r>
          </w:p>
        </w:tc>
        <w:tc>
          <w:tcPr>
            <w:tcW w:w="2340" w:type="dxa"/>
          </w:tcPr>
          <w:p>
            <w:pPr/>
            <w:r>
              <w:t xml:space="preserve">0.3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453</w:t>
            </w:r>
          </w:p>
        </w:tc>
        <w:tc>
          <w:tcPr>
            <w:tcW w:w="2340" w:type="dxa"/>
          </w:tcPr>
          <w:p>
            <w:pPr/>
            <w:r>
              <w:t xml:space="preserve">4,530</w:t>
            </w:r>
          </w:p>
        </w:tc>
        <w:tc>
          <w:tcPr>
            <w:tcW w:w="2340" w:type="dxa"/>
          </w:tcPr>
          <w:p>
            <w:pPr/>
            <w:r>
              <w:t xml:space="preserve">0.5</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rPr>
                <w:b/>
              </w:rPr>
              <w:t xml:space="preserve">Total</w:t>
            </w:r>
          </w:p>
        </w:tc>
        <w:tc>
          <w:tcPr>
            <w:tcW w:w="2340" w:type="dxa"/>
          </w:tcPr>
          <w:p>
            <w:pPr/>
            <w:r>
              <w:rPr>
                <w:b/>
              </w:rPr>
              <w:t xml:space="preserve">7,292</w:t>
            </w:r>
          </w:p>
        </w:tc>
        <w:tc>
          <w:tcPr>
            <w:tcW w:w="2340" w:type="dxa"/>
          </w:tcPr>
          <w:p>
            <w:pPr/>
            <w:r>
              <w:rPr>
                <w:b/>
              </w:rPr>
              <w:t xml:space="preserve">44,140</w:t>
            </w:r>
          </w:p>
        </w:tc>
        <w:tc>
          <w:tcPr>
            <w:tcW w:w="2340" w:type="dxa"/>
          </w:tcPr>
          <w:p>
            <w:pPr/>
            <w:r>
              <w:rPr>
                <w:b/>
              </w:rPr>
              <w:t xml:space="preserve">7.3</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about 44,000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0"/>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0"/>
        </w:numPr>
      </w:pPr>
      <w:r>
        <w:rPr>
          <w:b/>
        </w:rPr>
        <w:t xml:space="preserve">Quantization.</w:t>
      </w:r>
      <w:r>
        <w:t xml:space="preserve"> Histogram the raw depth codes for the central 20 × 20 px (</w:t>
      </w:r>
      <w:r>
        <w:rPr>
          <w:rStyle w:val="CodeChar"/>
        </w:rPr>
        <w:t xml:space="preserve">QUANTIZATION_PATCH_PX</w:t>
      </w:r>
      <w:r>
        <w:t xml:space="preserve">) over all frames. The most common spacing between populated levels is δZ_q(Z). If δZ_q equals the depth LSB (</w:t>
      </w:r>
      <w:r>
        <w:rPr>
          <w:rStyle w:val="CodeChar"/>
        </w:rPr>
        <w:t xml:space="preserve">DEPTH_LSB_MM</w:t>
      </w:r>
      <w:r>
        <w:t xml:space="preserve">)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Z.</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(boxes of half side </w:t>
      </w:r>
      <w:r>
        <w:rPr>
          <w:rStyle w:val="CodeChar"/>
        </w:rPr>
        <w:t xml:space="preserve">LEGACY_BOX_HALF_PX</w:t>
      </w:r>
      <w:r>
        <w:t xml:space="preserve">: mean min–max range and mean per-pixel std) at the </w:t>
      </w:r>
      <w:r>
        <w:rPr>
          <w:rStyle w:val="CodeChar"/>
        </w:rPr>
        <w:t xml:space="preserve">LEGACY_METRIC_DEPTHS_MM</w:t>
      </w:r>
      <w:r>
        <w:t xml:space="preserve"> stations, which the A series adds to the ladder for this purpose.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the plateau widths give the measured quantum δZ_q(Z); compare it with q·Z²/k from Section 10. Plot single pixels the same way: a smooth row-average curve over a stepped single-pixel curve shows that the sensor's interpolation dithers the quantizer. Where the optional staircase was run, plot its sensed Z against the read-back Z and compare the two quanta.</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level </w:t>
      </w:r>
      <w:r>
        <w:rPr>
          <w:rStyle w:val="CodeChar"/>
        </w:rPr>
        <w:t xml:space="preserve">DETECTION_ZERO_PREDICTION_LEVEL</w:t>
      </w:r>
      <w:r>
        <w:t xml:space="preserve">, flagged as a prediction, and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D_5, the predicted D_0 with its model range, geometric D_0 (cutouts), and confidence intervals, each in px, mrad, and mm, for both detection rules. Figures: psychometric curves in D_px with binomial error bars, D_5, D_10, and D_50 marked and the predicted D_0 drawn as a dashed extrapolation,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node/f614e563-af41@91 docx-w6</dc:description>
  <cp:revision>91</cp:revision>
</cp:coreProperties>
</file>