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raDT — концепция и направления исследований</w:t>
      </w:r>
    </w:p>
    <w:p>
      <w:pPr>
        <w:pStyle w:val="Subtitle"/>
      </w:pPr>
      <w:r>
        <w:t>Concept v0.1  |  22 октября 2026  |  Рабочий документ для обсуждения с Игорем Прилеповым</w:t>
      </w:r>
    </w:p>
    <w:p>
      <w:r>
        <w:t>Статус: исследовательская концепция. Описанные преимущества в defence-tech — гипотезы, требующие независимой проверки. Данные и примеры прототипа предполагаются открытыми или синтетическими.</w:t>
      </w:r>
    </w:p>
    <w:p>
      <w:pPr>
        <w:pStyle w:val="Heading1"/>
      </w:pPr>
      <w:r>
        <w:t>1. Исходная идея и исторический контекст</w:t>
      </w:r>
    </w:p>
    <w:p>
      <w:r>
        <w:t>В 1995 году авторы участвовали в разработке и представлении МО Республики Молдова компьютерного тренажёра Konkurs-TM. Этот опыт служит основанием для историко-технической статьи и возможного возобновления профессионального диалога. Конкретные факты, даты и свидетельства проекта необходимо документально подтвердить. Вопрос о приоритете технологии кадровой синхронизации относительно NVIDIA VSync требует отдельной проверки и не используется как доказанный тезис.</w:t>
      </w:r>
    </w:p>
    <w:p>
      <w:r>
        <w:t>Сегодня предлагается исследовать самостоятельное применение методологии Relate Assemblies (RA) за пределами winetech: интеграция разнородных технических реестров, поиск и восстановление связей, контроль целостности, объяснимое сопоставление обозначений.</w:t>
      </w:r>
    </w:p>
    <w:p>
      <w:pPr>
        <w:pStyle w:val="Heading1"/>
      </w:pPr>
      <w:r>
        <w:t>2. Технологическая основа</w:t>
      </w:r>
    </w:p>
    <w:p>
      <w:pPr>
        <w:pStyle w:val="ListBullet"/>
      </w:pPr>
      <w:r>
        <w:t>raFTI — Устойчивое сопоставление неоднозначных названий, сокращений, перестановок, ошибок и синонимов.</w:t>
      </w:r>
    </w:p>
    <w:p>
      <w:pPr>
        <w:pStyle w:val="ListBullet"/>
      </w:pPr>
      <w:r>
        <w:t>raSS — Структурные сигнатуры и проверка/восстановление отношений между объектами.</w:t>
      </w:r>
    </w:p>
    <w:p>
      <w:pPr>
        <w:pStyle w:val="ListBullet"/>
      </w:pPr>
      <w:r>
        <w:t>raHE — Планируемый язык предметных эвристик и цепочек правил.</w:t>
      </w:r>
    </w:p>
    <w:p>
      <w:pPr>
        <w:pStyle w:val="ListBullet"/>
      </w:pPr>
      <w:r>
        <w:t>Decision Signature — Диагностика основания совпадения, ограничений и противоречий.</w:t>
      </w:r>
    </w:p>
    <w:p>
      <w:r>
        <w:t>Существующие результаты raFTI относятся к винной номенклатуре; переносимость на другие предметные области должна быть измерена, а не предполагаться.</w:t>
      </w:r>
    </w:p>
    <w:p>
      <w:pPr>
        <w:pStyle w:val="Heading1"/>
      </w:pPr>
      <w:r>
        <w:t>3. Двенадцать направлений raDT</w:t>
      </w:r>
    </w:p>
    <w:p>
      <w:pPr>
        <w:pStyle w:val="ListBullet"/>
      </w:pPr>
      <w:r>
        <w:t>01. raDT.Inventory — Интеллектуальная инвентаризация и восстановление связей реестров</w:t>
      </w:r>
    </w:p>
    <w:p>
      <w:pPr>
        <w:pStyle w:val="ListBullet"/>
      </w:pPr>
      <w:r>
        <w:t>02. raDT.Archive — Поиск в исторических технических архивах</w:t>
      </w:r>
    </w:p>
    <w:p>
      <w:pPr>
        <w:pStyle w:val="ListBullet"/>
      </w:pPr>
      <w:r>
        <w:t>03. raDT.Integrity — Контроль согласованности информационных систем</w:t>
      </w:r>
    </w:p>
    <w:p>
      <w:pPr>
        <w:pStyle w:val="ListBullet"/>
      </w:pPr>
      <w:r>
        <w:t>04. raDT.Recovery — Структурное восстановление цифровых архивов</w:t>
      </w:r>
    </w:p>
    <w:p>
      <w:pPr>
        <w:pStyle w:val="ListBullet"/>
      </w:pPr>
      <w:r>
        <w:t>05. raDT.SimArchive — Индексация архивов учебных тренажёрных занятий</w:t>
      </w:r>
    </w:p>
    <w:p>
      <w:pPr>
        <w:pStyle w:val="ListBullet"/>
      </w:pPr>
      <w:r>
        <w:t>06. raDT.TrainingQA — Проверка качества документации учебных процедур</w:t>
      </w:r>
    </w:p>
    <w:p>
      <w:pPr>
        <w:pStyle w:val="ListBullet"/>
      </w:pPr>
      <w:r>
        <w:t>07. raDT.Scenario — Библиотека и поиск учебных сценариев</w:t>
      </w:r>
    </w:p>
    <w:p>
      <w:pPr>
        <w:pStyle w:val="ListBullet"/>
      </w:pPr>
      <w:r>
        <w:t>08. raDT.Terminology — Многоязычная техническая терминология</w:t>
      </w:r>
    </w:p>
    <w:p>
      <w:pPr>
        <w:pStyle w:val="ListBullet"/>
      </w:pPr>
      <w:r>
        <w:t>09. raDT.MaintenanceDocs — Поиск в документации обслуживания учебной техники</w:t>
      </w:r>
    </w:p>
    <w:p>
      <w:pPr>
        <w:pStyle w:val="ListBullet"/>
      </w:pPr>
      <w:r>
        <w:t>10. raDT.Audit — Объяснимый аудит данных</w:t>
      </w:r>
    </w:p>
    <w:p>
      <w:pPr>
        <w:pStyle w:val="ListBullet"/>
      </w:pPr>
      <w:r>
        <w:t>11. raDT.Interoperability — Семантическая интеграция независимых систем</w:t>
      </w:r>
    </w:p>
    <w:p>
      <w:pPr>
        <w:pStyle w:val="ListBullet"/>
      </w:pPr>
      <w:r>
        <w:t>12. raDT.TestLab — Стенд испытания эвристик на эталонных наборах</w:t>
      </w:r>
    </w:p>
    <w:p>
      <w:pPr>
        <w:pStyle w:val="Heading1"/>
      </w:pPr>
      <w:r>
        <w:t>4. Фокус первого прототипа: raDT.Bridge</w:t>
      </w:r>
    </w:p>
    <w:p>
      <w:r>
        <w:t>Центральная гипотеза: возможно автоматически связывать записи старых русскоязычных/советских реестров с современной румынской и англоязычной терминологией, сохраняя различие между идентичностью, эквивалентностью и совместимостью. Особенно важны ложные совпадения, которые система должна аргументированно отвергать.</w:t>
      </w:r>
    </w:p>
    <w:p>
      <w:pPr>
        <w:pStyle w:val="Heading2"/>
      </w:pPr>
      <w:r>
        <w:t>Иллюстративные пары (не реальные оборонные данные)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Старое обозначение</w:t>
            </w:r>
          </w:p>
        </w:tc>
        <w:tc>
          <w:tcPr>
            <w:tcW w:type="dxa" w:w="3249"/>
          </w:tcPr>
          <w:p>
            <w:r>
              <w:t>Новое обозначение</w:t>
            </w:r>
          </w:p>
        </w:tc>
        <w:tc>
          <w:tcPr>
            <w:tcW w:type="dxa" w:w="3249"/>
          </w:tcPr>
          <w:p>
            <w:r>
              <w:t>Ожидаемый вывод</w:t>
            </w:r>
          </w:p>
        </w:tc>
      </w:tr>
      <w:tr>
        <w:tc>
          <w:tcPr>
            <w:tcW w:type="dxa" w:w="3249"/>
          </w:tcPr>
          <w:p>
            <w:r>
              <w:t>АКБ 12В 7Ач</w:t>
            </w:r>
          </w:p>
        </w:tc>
        <w:tc>
          <w:tcPr>
            <w:tcW w:type="dxa" w:w="3249"/>
          </w:tcPr>
          <w:p>
            <w:r>
              <w:t>Battery 12V 7Ah</w:t>
            </w:r>
          </w:p>
        </w:tc>
        <w:tc>
          <w:tcPr>
            <w:tcW w:type="dxa" w:w="3249"/>
          </w:tcPr>
          <w:p>
            <w:r>
              <w:t>Вероятное соответствие</w:t>
            </w:r>
          </w:p>
        </w:tc>
      </w:tr>
      <w:tr>
        <w:tc>
          <w:tcPr>
            <w:tcW w:type="dxa" w:w="3249"/>
          </w:tcPr>
          <w:p>
            <w:r>
              <w:t>ИБП 1000ВА</w:t>
            </w:r>
          </w:p>
        </w:tc>
        <w:tc>
          <w:tcPr>
            <w:tcW w:type="dxa" w:w="3249"/>
          </w:tcPr>
          <w:p>
            <w:r>
              <w:t>UPS 1 kVA</w:t>
            </w:r>
          </w:p>
        </w:tc>
        <w:tc>
          <w:tcPr>
            <w:tcW w:type="dxa" w:w="3249"/>
          </w:tcPr>
          <w:p>
            <w:r>
              <w:t>Вероятное соответствие</w:t>
            </w:r>
          </w:p>
        </w:tc>
      </w:tr>
      <w:tr>
        <w:tc>
          <w:tcPr>
            <w:tcW w:type="dxa" w:w="3249"/>
          </w:tcPr>
          <w:p>
            <w:r>
              <w:t>ИБП 1000ВА</w:t>
            </w:r>
          </w:p>
        </w:tc>
        <w:tc>
          <w:tcPr>
            <w:tcW w:type="dxa" w:w="3249"/>
          </w:tcPr>
          <w:p>
            <w:r>
              <w:t>UPS 1000 W</w:t>
            </w:r>
          </w:p>
        </w:tc>
        <w:tc>
          <w:tcPr>
            <w:tcW w:type="dxa" w:w="3249"/>
          </w:tcPr>
          <w:p>
            <w:r>
              <w:t>Нельзя считать идентичным по одному числу</w:t>
            </w:r>
          </w:p>
        </w:tc>
      </w:tr>
      <w:tr>
        <w:tc>
          <w:tcPr>
            <w:tcW w:type="dxa" w:w="3249"/>
          </w:tcPr>
          <w:p>
            <w:r>
              <w:t>Кабель UTP Cat5e</w:t>
            </w:r>
          </w:p>
        </w:tc>
        <w:tc>
          <w:tcPr>
            <w:tcW w:type="dxa" w:w="3249"/>
          </w:tcPr>
          <w:p>
            <w:r>
              <w:t>Ethernet Cat6 cable</w:t>
            </w:r>
          </w:p>
        </w:tc>
        <w:tc>
          <w:tcPr>
            <w:tcW w:type="dxa" w:w="3249"/>
          </w:tcPr>
          <w:p>
            <w:r>
              <w:t>Не эквивалентны</w:t>
            </w:r>
          </w:p>
        </w:tc>
      </w:tr>
    </w:tbl>
    <w:p>
      <w:pPr>
        <w:pStyle w:val="Heading1"/>
      </w:pPr>
      <w:r>
        <w:t>5. Дополнительный модуль: raDT.Equivalence</w:t>
      </w:r>
    </w:p>
    <w:p>
      <w:r>
        <w:t>Реестр аналогов и вариантов технических объектов с объяснимыми отношениями. В первом MVP — для каталогизации и технической экспертизы открытых или синтетических записей; без автоматического выбора средств противодействия или оперативных боевых рекомендаций.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Отношение</w:t>
            </w:r>
          </w:p>
        </w:tc>
        <w:tc>
          <w:tcPr>
            <w:tcW w:type="dxa" w:w="4873"/>
          </w:tcPr>
          <w:p>
            <w:r>
              <w:t>Интерпретация</w:t>
            </w:r>
          </w:p>
        </w:tc>
      </w:tr>
      <w:tr>
        <w:tc>
          <w:tcPr>
            <w:tcW w:type="dxa" w:w="4873"/>
          </w:tcPr>
          <w:p>
            <w:r>
              <w:t>sameAs</w:t>
            </w:r>
          </w:p>
        </w:tc>
        <w:tc>
          <w:tcPr>
            <w:tcW w:type="dxa" w:w="4873"/>
          </w:tcPr>
          <w:p>
            <w:r>
              <w:t>Один объект, разные обозначения</w:t>
            </w:r>
          </w:p>
        </w:tc>
      </w:tr>
      <w:tr>
        <w:tc>
          <w:tcPr>
            <w:tcW w:type="dxa" w:w="4873"/>
          </w:tcPr>
          <w:p>
            <w:r>
              <w:t>variantOf</w:t>
            </w:r>
          </w:p>
        </w:tc>
        <w:tc>
          <w:tcPr>
            <w:tcW w:type="dxa" w:w="4873"/>
          </w:tcPr>
          <w:p>
            <w:r>
              <w:t>Версия или модификация</w:t>
            </w:r>
          </w:p>
        </w:tc>
      </w:tr>
      <w:tr>
        <w:tc>
          <w:tcPr>
            <w:tcW w:type="dxa" w:w="4873"/>
          </w:tcPr>
          <w:p>
            <w:r>
              <w:t>equivalentTo</w:t>
            </w:r>
          </w:p>
        </w:tc>
        <w:tc>
          <w:tcPr>
            <w:tcW w:type="dxa" w:w="4873"/>
          </w:tcPr>
          <w:p>
            <w:r>
              <w:t>Эквивалентность по заданным критериям</w:t>
            </w:r>
          </w:p>
        </w:tc>
      </w:tr>
      <w:tr>
        <w:tc>
          <w:tcPr>
            <w:tcW w:type="dxa" w:w="4873"/>
          </w:tcPr>
          <w:p>
            <w:r>
              <w:t>similarTo</w:t>
            </w:r>
          </w:p>
        </w:tc>
        <w:tc>
          <w:tcPr>
            <w:tcW w:type="dxa" w:w="4873"/>
          </w:tcPr>
          <w:p>
            <w:r>
              <w:t>Частичное сходство</w:t>
            </w:r>
          </w:p>
        </w:tc>
      </w:tr>
      <w:tr>
        <w:tc>
          <w:tcPr>
            <w:tcW w:type="dxa" w:w="4873"/>
          </w:tcPr>
          <w:p>
            <w:r>
              <w:t>incompatibleWith</w:t>
            </w:r>
          </w:p>
        </w:tc>
        <w:tc>
          <w:tcPr>
            <w:tcW w:type="dxa" w:w="4873"/>
          </w:tcPr>
          <w:p>
            <w:r>
              <w:t>Явное противоречие</w:t>
            </w:r>
          </w:p>
        </w:tc>
      </w:tr>
      <w:tr>
        <w:tc>
          <w:tcPr>
            <w:tcW w:type="dxa" w:w="4873"/>
          </w:tcPr>
          <w:p>
            <w:r>
              <w:t>unknown</w:t>
            </w:r>
          </w:p>
        </w:tc>
        <w:tc>
          <w:tcPr>
            <w:tcW w:type="dxa" w:w="4873"/>
          </w:tcPr>
          <w:p>
            <w:r>
              <w:t>Недостаточно сведений</w:t>
            </w:r>
          </w:p>
        </w:tc>
      </w:tr>
    </w:tbl>
    <w:p>
      <w:pPr>
        <w:pStyle w:val="Heading1"/>
      </w:pPr>
      <w:r>
        <w:t>6. Схема демонстратора</w:t>
      </w:r>
    </w:p>
    <w:p>
      <w:r>
        <w:t>Открытые справочники + синтетические искажения реестров</w:t>
      </w:r>
    </w:p>
    <w:p>
      <w:r>
        <w:t>→ нормализация обозначений и извлечение характеристик</w:t>
      </w:r>
    </w:p>
    <w:p>
      <w:r>
        <w:t>→ raDT.Bridge: кандидаты идентичности и связи</w:t>
      </w:r>
    </w:p>
    <w:p>
      <w:r>
        <w:t>→ raDT.Equivalence: отношения версий и аналогов</w:t>
      </w:r>
    </w:p>
    <w:p>
      <w:r>
        <w:t>→ raHE/raSS: ограничения, противоречия и происхождение данных</w:t>
      </w:r>
    </w:p>
    <w:p>
      <w:r>
        <w:t>→ Decision Signature + панель ошибок, метрик и ручной проверки</w:t>
      </w:r>
    </w:p>
    <w:p>
      <w:pPr>
        <w:pStyle w:val="Heading1"/>
      </w:pPr>
      <w:r>
        <w:t>7. Доказательство конкурентного преимущества</w:t>
      </w:r>
    </w:p>
    <w:p>
      <w:r>
        <w:t>Сравнить raDT с (1) строковым fuzzy matching и (2) многоязычным embedding-поиском на одном размеченном наборе. Метрики: precision, recall, F1, число опасных ложных совпадений, время обработки, доля автоматических решений и трудозатраты эксперта. Особо оценивать отказ от некорректных соответствий и воспроизводимость объяснений.</w:t>
      </w:r>
    </w:p>
    <w:p>
      <w:pPr>
        <w:pStyle w:val="Heading1"/>
      </w:pPr>
      <w:r>
        <w:t>8. Данные и исследовательская программа</w:t>
      </w:r>
    </w:p>
    <w:p>
      <w:r>
        <w:t>Предпочтительный подход C: реальные открытые обозначения и искусственно созданные неоднозначности/повреждения. Проверить возможность получить 100–200 независимо подтверждённых пар и 300–500 записей на реестр. Оценить доступность экспорта, лицензию, полноту полей и пересечение источников.</w:t>
      </w:r>
    </w:p>
    <w:p>
      <w:pPr>
        <w:pStyle w:val="Heading2"/>
      </w:pPr>
      <w:r>
        <w:t>Кандидаты источников (проверить пригодность и лицензии)</w:t>
      </w:r>
    </w:p>
    <w:p>
      <w:pPr>
        <w:pStyle w:val="ListBullet"/>
      </w:pPr>
      <w:r>
        <w:t xml:space="preserve">SIPRI Arms Transfers Database — </w:t>
      </w:r>
      <w:hyperlink r:id="rId9">
        <w:r>
          <w:rPr>
            <w:color w:val="1762A0"/>
          </w:rPr>
          <w:t>https://armstransfers.sipri.org/</w:t>
        </w:r>
      </w:hyperlink>
    </w:p>
    <w:p>
      <w:pPr>
        <w:pStyle w:val="ListBullet"/>
      </w:pPr>
      <w:r>
        <w:t xml:space="preserve">UK supplement to NATO terminology — </w:t>
      </w:r>
      <w:hyperlink r:id="rId10">
        <w:r>
          <w:rPr>
            <w:color w:val="1762A0"/>
          </w:rPr>
          <w:t>https://www.gov.uk/government/publications/jdp-0-01-1-united-kingdom-supplement-to-the-nato-terminology-database</w:t>
        </w:r>
      </w:hyperlink>
    </w:p>
    <w:p>
      <w:pPr>
        <w:pStyle w:val="ListBullet"/>
      </w:pPr>
      <w:r>
        <w:t xml:space="preserve">EDSTAR — </w:t>
      </w:r>
      <w:hyperlink r:id="rId11">
        <w:r>
          <w:rPr>
            <w:color w:val="1762A0"/>
          </w:rPr>
          <w:t>https://edstar.eda.europa.eu/</w:t>
        </w:r>
      </w:hyperlink>
    </w:p>
    <w:p>
      <w:pPr>
        <w:pStyle w:val="ListBullet"/>
      </w:pPr>
      <w:r>
        <w:t xml:space="preserve">TED Open Data — </w:t>
      </w:r>
      <w:hyperlink r:id="rId12">
        <w:r>
          <w:rPr>
            <w:color w:val="1762A0"/>
          </w:rPr>
          <w:t>https://data.ted.europa.eu/</w:t>
        </w:r>
      </w:hyperlink>
    </w:p>
    <w:p>
      <w:r>
        <w:t>Эти ссылки — кандидаты для DataSurvey, не доказательство наличия готового набора для сопоставления. Даты обновления, доступность и права на использование требуют проверки.</w:t>
      </w:r>
    </w:p>
    <w:p>
      <w:pPr>
        <w:pStyle w:val="Heading1"/>
      </w:pPr>
      <w:r>
        <w:t>9. Предлагаемые этапы</w:t>
      </w:r>
    </w:p>
    <w:p>
      <w:pPr>
        <w:pStyle w:val="ListNumber"/>
      </w:pPr>
      <w:r>
        <w:t>DataSurvey v0.1: проверка источников, форматов и прав использования.</w:t>
      </w:r>
    </w:p>
    <w:p>
      <w:pPr>
        <w:pStyle w:val="ListNumber"/>
      </w:pPr>
      <w:r>
        <w:t>Gold set: разметка сложных соответствий и отрицательных примеров.</w:t>
      </w:r>
    </w:p>
    <w:p>
      <w:pPr>
        <w:pStyle w:val="ListNumber"/>
      </w:pPr>
      <w:r>
        <w:t>MVP: адаптация ядра raFTI к нейтральной объектной модели.</w:t>
      </w:r>
    </w:p>
    <w:p>
      <w:pPr>
        <w:pStyle w:val="ListNumber"/>
      </w:pPr>
      <w:r>
        <w:t>Benchmark: сравнение с baseline, анализ ошибок и Decision Signature.</w:t>
      </w:r>
    </w:p>
    <w:p>
      <w:pPr>
        <w:pStyle w:val="ListNumber"/>
      </w:pPr>
      <w:r>
        <w:t>Демонстрация партнёру; после результатов — решение о внешних контактах.</w:t>
      </w:r>
    </w:p>
    <w:p>
      <w:pPr>
        <w:pStyle w:val="Heading1"/>
      </w:pPr>
      <w:r>
        <w:t>10. Сотрудничество и GitHub</w:t>
      </w:r>
    </w:p>
    <w:p>
      <w:r>
        <w:t>Создать отдельный приватный репозиторий raDT, предоставить Игорю доступ администратора именно к нему. Не передавать учётные данные и не открывать весь личный аккаунт. Сохранять редактируемый исходник концепции, исследовательские материалы, эталонные данные, код и протоколы испытаний. Историческую статью о 1995 году вести параллельно, не подменяя ею демонстрацию нового технического результата.</w:t>
      </w:r>
    </w:p>
    <w:p>
      <w:pPr>
        <w:pStyle w:val="Heading1"/>
      </w:pPr>
      <w:r>
        <w:t>11. Открытые вопросы</w:t>
      </w:r>
    </w:p>
    <w:p>
      <w:pPr>
        <w:pStyle w:val="ListBullet"/>
      </w:pPr>
      <w:r>
        <w:t>Какие источники действительно содержат перекрывающиеся технические сущности?</w:t>
      </w:r>
    </w:p>
    <w:p>
      <w:pPr>
        <w:pStyle w:val="ListBullet"/>
      </w:pPr>
      <w:r>
        <w:t>Как определить предметно корректную эквивалентность?</w:t>
      </w:r>
    </w:p>
    <w:p>
      <w:pPr>
        <w:pStyle w:val="ListBullet"/>
      </w:pPr>
      <w:r>
        <w:t>Какая минимальная независимая от winetech модель объектов нужна?</w:t>
      </w:r>
    </w:p>
    <w:p>
      <w:pPr>
        <w:pStyle w:val="ListBullet"/>
      </w:pPr>
      <w:r>
        <w:t>Какие результаты benchmark убедительны для партнёров?</w:t>
      </w:r>
    </w:p>
    <w:p>
      <w:pPr>
        <w:pStyle w:val="ListBullet"/>
      </w:pPr>
      <w:r>
        <w:t>Какие архивные свидетельства подтверждают историю 1995 года?</w:t>
      </w:r>
    </w:p>
    <w:sectPr w:rsidR="00FC693F" w:rsidRPr="0006063C" w:rsidSect="00034616">
      <w:footerReference w:type="default" r:id="rId13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raDT • Concept v0.1 • Рабочая версия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5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35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54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mstransfers.sipri.org/" TargetMode="External"/><Relationship Id="rId10" Type="http://schemas.openxmlformats.org/officeDocument/2006/relationships/hyperlink" Target="https://www.gov.uk/government/publications/jdp-0-01-1-united-kingdom-supplement-to-the-nato-terminology-database" TargetMode="External"/><Relationship Id="rId11" Type="http://schemas.openxmlformats.org/officeDocument/2006/relationships/hyperlink" Target="https://edstar.eda.europa.eu/" TargetMode="External"/><Relationship Id="rId12" Type="http://schemas.openxmlformats.org/officeDocument/2006/relationships/hyperlink" Target="https://data.ted.europa.eu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