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Daniele Leite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9 (31%)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