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Gabriela Terto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900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 prejuízo social da carência de professores no Brasil</w:t>
            </w:r>
          </w:p>
        </w:tc>
        <w:tc>
          <w:tcPr>
            <w:tcW w:type="dxa" w:w="1710"/>
            <w:shd w:fill="EEEEEE"/>
          </w:tcPr>
          <w:p>
            <w:r>
              <w:t>960</w:t>
            </w:r>
          </w:p>
        </w:tc>
        <w:tc>
          <w:tcPr>
            <w:tcW w:type="dxa" w:w="1530"/>
            <w:shd w:fill="EEEEEE"/>
          </w:tcPr>
          <w:p>
            <w:r>
              <w:t>02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 papel das tecnologias digitais no contexto escolar.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17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