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Lua Clara Franco Rocha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54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22 (52%)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