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BodyText"/>
        <w:spacing w:before="4"/>
        <w:rPr>
          <w:rFonts w:ascii="Times New Roman"/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59264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59264" coordorigin="-10,-10" coordsize="11926,820">
                <v:rect id="1026" style="position:absolute;left:0;top:0;width:11906;height:800" filled="t" fillcolor="#003366" stroked="f"/>
                <v:rect id="1027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>
          <w:rFonts w:ascii="Times New Roman"/>
          <w:sz w:val="16"/>
        </w:rPr>
        <w:drawing>
          <wp:anchor distT="0" distB="0" distL="114300" distR="114300" behindDoc="1" locked="0" layoutInCell="1" simplePos="0" relativeHeight="251675648" allowOverlap="1" hidden="0">
            <wp:simplePos x="0" y="0"/>
            <wp:positionH relativeFrom="column">
              <wp:posOffset>-206375</wp:posOffset>
            </wp:positionH>
            <wp:positionV relativeFrom="paragraph">
              <wp:posOffset>143061</wp:posOffset>
            </wp:positionV>
            <wp:extent cx="1997075" cy="1997075"/>
            <wp:effectExtent l="0" t="0" r="0" b="0"/>
            <wp:wrapNone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970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Title"/>
      </w:pPr>
      <w:r>
        <w:rPr>
          <w:color w:val="000080"/>
        </w:rPr>
        <w:t xml:space="preserve">GLIP Token </w:t>
      </w:r>
      <w:r>
        <w:rPr>
          <w:color w:val="000080"/>
          <w:spacing w:val="-2"/>
        </w:rPr>
        <w:t>Whitepaper</w:t>
      </w:r>
    </w:p>
    <w:p>
      <w:pPr>
        <w:pStyle w:val="BodyText"/>
        <w:rPr>
          <w:b/>
          <w:sz w:val="62"/>
        </w:rPr>
      </w:pPr>
    </w:p>
    <w:p>
      <w:pPr>
        <w:ind w:left="420" w:right="0" w:firstLine="0"/>
        <w:jc w:val="left"/>
        <w:spacing w:before="420"/>
        <w:rPr>
          <w:sz w:val="32"/>
        </w:rPr>
      </w:pPr>
      <w:r>
        <w:rPr>
          <w:sz w:val="32"/>
        </w:rPr>
        <w:t xml:space="preserve">Version 1.0 — </w:t>
      </w:r>
      <w:r>
        <w:rPr>
          <w:sz w:val="32"/>
          <w:spacing w:val="-4"/>
        </w:rPr>
        <w:t>2025</w:t>
      </w:r>
    </w:p>
    <w:p>
      <w:pPr>
        <w:pStyle w:val="BodyText"/>
        <w:spacing w:before="1"/>
        <w:rPr>
          <w:sz w:val="51"/>
        </w:rPr>
      </w:pPr>
    </w:p>
    <w:p>
      <w:pPr>
        <w:ind w:left="420" w:right="0" w:firstLine="0"/>
        <w:jc w:val="left"/>
        <w:spacing w:before="0"/>
        <w:rPr>
          <w:i/>
          <w:sz w:val="24"/>
        </w:rPr>
      </w:pPr>
      <w:r>
        <w:rPr>
          <w:i/>
          <w:color w:val="808080"/>
          <w:sz w:val="24"/>
        </w:rPr>
        <w:t xml:space="preserve">Prepared for the launch of GLIP Mainnet and GLIP </w:t>
      </w:r>
      <w:r>
        <w:rPr>
          <w:i/>
          <w:color w:val="808080"/>
          <w:sz w:val="24"/>
          <w:spacing w:val="-4"/>
        </w:rPr>
        <w:t>Coin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6"/>
        </w:rPr>
      </w:pPr>
    </w:p>
    <w:p>
      <w:pPr>
        <w:ind w:left="100" w:right="0" w:firstLine="0"/>
        <w:jc w:val="left"/>
        <w:tabs>
          <w:tab w:val="left" w:pos="10235"/>
        </w:tabs>
        <w:spacing w:before="95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1</w:t>
      </w:r>
    </w:p>
    <w:p>
      <w:pPr>
        <w:jc w:val="left"/>
        <w:spacing w:after="0"/>
        <w:rPr>
          <w:sz w:val="18"/>
        </w:rPr>
        <w:sectPr>
          <w:type w:val="continuous"/>
          <w:pgSz w:w="11910" w:h="16840"/>
          <w:pgMar w:top="0" w:right="480" w:bottom="0" w:left="500" w:header="720" w:footer="720" w:gutter="0"/>
          <w:cols/>
          <w:docGrid w:linePitch="360"/>
        </w:sectPr>
      </w:pPr>
    </w:p>
    <w:p>
      <w:pPr>
        <w:pStyle w:val="BodyText"/>
        <w:spacing w:before="4"/>
        <w:rPr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1312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61312" coordorigin="-10,-10" coordsize="11926,820">
                <v:rect id="1029" style="position:absolute;left:0;top:0;width:11906;height:800" filled="t" fillcolor="#003366" stroked="f"/>
                <v:rect id="1030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ind w:left="420" w:right="0" w:firstLine="0"/>
        <w:jc w:val="left"/>
        <w:spacing w:before="91"/>
        <w:rPr>
          <w:lang/>
          <w:b/>
          <w:color w:val="000080"/>
          <w:sz w:val="28"/>
          <w:spacing w:val="-2"/>
          <w:rtl w:val="off"/>
        </w:rPr>
      </w:pPr>
      <w:r>
        <w:rPr>
          <w:b/>
          <w:color w:val="000080"/>
          <w:sz w:val="28"/>
          <w:spacing w:val="-2"/>
        </w:rPr>
        <w:t>Abstract</w:t>
      </w:r>
    </w:p>
    <w:p>
      <w:pPr>
        <w:ind w:left="420" w:right="0" w:firstLine="0"/>
        <w:jc w:val="left"/>
        <w:spacing w:before="91"/>
        <w:rPr>
          <w:b/>
          <w:sz w:val="28"/>
        </w:rPr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GLIP 토큰은</w:t>
      </w:r>
      <w:r>
        <w:rPr>
          <w:rFonts w:ascii="맑은 고딕" w:eastAsia="맑은 고딕" w:hAnsi="맑은 고딕" w:cs="맑은 고딕" w:hint="default"/>
          <w:u w:color="auto"/>
        </w:rPr>
        <w:t>이더리움 메인넷(PoS) 위의 ERC-20 자산으로, 독립적인 GLIP 메인넷과 그 네이티브 GLIP 코인으로 연결되는 온램프 역할을 합니다.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이 토큰은 사용량 기반의 </w:t>
      </w:r>
      <w:r>
        <w:rPr>
          <w:rFonts w:ascii="맑은 고딕" w:eastAsia="맑은 고딕" w:hAnsi="맑은 고딕" w:cs="맑은 고딕" w:hint="default"/>
          <w:u w:color="auto"/>
        </w:rPr>
        <w:t>수수료 환급 메커니즘</w:t>
      </w:r>
      <w:r>
        <w:rPr>
          <w:rFonts w:ascii="맑은 고딕" w:eastAsia="맑은 고딕" w:hAnsi="맑은 고딕" w:cs="맑은 고딕" w:hint="default"/>
          <w:u w:color="auto"/>
        </w:rPr>
        <w:t>을 도입하여, 일정 주기마다 네트워크 수수료의 일부를 온체인 에어드롭을 통해 송신 지갑에 반환합니다.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그 목적은 </w:t>
      </w:r>
      <w:r>
        <w:rPr>
          <w:rFonts w:ascii="맑은 고딕" w:eastAsia="맑은 고딕" w:hAnsi="맑은 고딕" w:cs="맑은 고딕" w:hint="default"/>
          <w:u w:color="auto"/>
        </w:rPr>
        <w:t>실질적인 전송 비용을 줄이고, 건전한 온체인 활동을 장려하며, 사용자 친화적인 거래 경험을 만드는 것</w:t>
      </w:r>
      <w:r>
        <w:rPr>
          <w:rFonts w:ascii="맑은 고딕" w:eastAsia="맑은 고딕" w:hAnsi="맑은 고딕" w:cs="맑은 고딕" w:hint="default"/>
          <w:u w:color="auto"/>
        </w:rPr>
        <w:t>입니다.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33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  <w:r>
        <w:rPr>
          <w:color w:val="000080"/>
        </w:rPr>
        <w:t xml:space="preserve">Problem </w:t>
      </w:r>
      <w:r>
        <w:rPr>
          <w:color w:val="000080"/>
          <w:spacing w:val="-2"/>
        </w:rPr>
        <w:t>Statement</w:t>
      </w:r>
    </w:p>
    <w:p>
      <w:pPr>
        <w:pStyle w:val="Heading1"/>
        <w:spacing w:before="0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현재 Layer-1과 Layer-2 네트워크는 여전히 </w:t>
      </w:r>
      <w:r>
        <w:rPr>
          <w:rFonts w:ascii="맑은 고딕" w:eastAsia="맑은 고딕" w:hAnsi="맑은 고딕" w:cs="맑은 고딕" w:hint="default"/>
          <w:u w:color="auto"/>
        </w:rPr>
        <w:t>속도·보안·비용 사이의 한계</w:t>
      </w:r>
      <w:r>
        <w:rPr>
          <w:rFonts w:ascii="맑은 고딕" w:eastAsia="맑은 고딕" w:hAnsi="맑은 고딕" w:cs="맑은 고딕" w:hint="default"/>
          <w:u w:color="auto"/>
        </w:rPr>
        <w:t>에 부딪히고 있습니다.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>혼잡 시 수수료가 급등해 사용자들이 불확실성에 직면하고, 상인과 송금 이용자들은 비용 예측에 어려움을 겪고 있으며, 특히 브릿지(Bridge) 보안 문제로 실제 손실이 발생하기도 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GLIP은 이러한 문제를 해결할 수 있는 대안입니다.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예측 가능한 성능, 강화된 보안, 그리고 사용자에게 직접 혜택을 제공하는 </w:t>
      </w:r>
      <w:r>
        <w:rPr>
          <w:rFonts w:ascii="맑은 고딕" w:eastAsia="맑은 고딕" w:hAnsi="맑은 고딕" w:cs="맑은 고딕" w:hint="default"/>
          <w:u w:color="auto"/>
        </w:rPr>
        <w:t>수수료 환급 메커니즘</w:t>
      </w:r>
      <w:r>
        <w:rPr>
          <w:rFonts w:ascii="맑은 고딕" w:eastAsia="맑은 고딕" w:hAnsi="맑은 고딕" w:cs="맑은 고딕" w:hint="default"/>
          <w:u w:color="auto"/>
        </w:rPr>
        <w:t>을 통해 더 안전하고 효율적인 블록체인 경험을 제공합니다.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  <w:r>
        <w:rPr>
          <w:color w:val="000080"/>
        </w:rPr>
        <w:t xml:space="preserve">GLIP </w:t>
      </w:r>
      <w:r>
        <w:rPr>
          <w:color w:val="000080"/>
          <w:spacing w:val="-2"/>
        </w:rPr>
        <w:t>Overview</w:t>
      </w:r>
    </w:p>
    <w:p>
      <w:pPr>
        <w:pStyle w:val="Heading1"/>
        <w:spacing w:before="1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**1단계(Phase 1)**에서는 GLIP을 </w:t>
      </w:r>
      <w:r>
        <w:rPr>
          <w:rFonts w:ascii="맑은 고딕" w:eastAsia="맑은 고딕" w:hAnsi="맑은 고딕" w:cs="맑은 고딕" w:hint="default"/>
          <w:u w:color="auto"/>
        </w:rPr>
        <w:t>ERC-20 토큰</w:t>
      </w:r>
      <w:r>
        <w:rPr>
          <w:rFonts w:ascii="맑은 고딕" w:eastAsia="맑은 고딕" w:hAnsi="맑은 고딕" w:cs="맑은 고딕" w:hint="default"/>
          <w:u w:color="auto"/>
        </w:rPr>
        <w:t>으로 발행하여 빠른 유동성과 다양한 파트너십 연계를 시작합니다.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**2단계(Phase 2)**에서는 1:1 스왑을 통해 </w:t>
      </w:r>
      <w:r>
        <w:rPr>
          <w:rFonts w:ascii="맑은 고딕" w:eastAsia="맑은 고딕" w:hAnsi="맑은 고딕" w:cs="맑은 고딕" w:hint="default"/>
          <w:u w:color="auto"/>
        </w:rPr>
        <w:t>독자적인 GLIP 메인넷</w:t>
      </w:r>
      <w:r>
        <w:rPr>
          <w:rFonts w:ascii="맑은 고딕" w:eastAsia="맑은 고딕" w:hAnsi="맑은 고딕" w:cs="맑은 고딕" w:hint="default"/>
          <w:u w:color="auto"/>
        </w:rPr>
        <w:t>으로 전환됩니다.</w:t>
      </w:r>
    </w:p>
    <w:p>
      <w:pPr>
        <w:spacing w:line="360"/>
        <w:rPr>
          <w:b w:val="0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GLIP 메인넷에서 </w:t>
      </w:r>
      <w:r>
        <w:rPr>
          <w:rFonts w:ascii="맑은 고딕" w:eastAsia="맑은 고딕" w:hAnsi="맑은 고딕" w:cs="맑은 고딕" w:hint="default"/>
          <w:u w:color="auto"/>
        </w:rPr>
        <w:t>GLIP 코인</w:t>
      </w:r>
      <w:r>
        <w:rPr>
          <w:rFonts w:ascii="맑은 고딕" w:eastAsia="맑은 고딕" w:hAnsi="맑은 고딕" w:cs="맑은 고딕" w:hint="default"/>
          <w:u w:color="auto"/>
        </w:rPr>
        <w:t>은 거래, 스테이킹, 거버넌스의 핵심 동력이 되며,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분기마다 누적된 수수료 일부를 사용자 지갑으로 </w:t>
      </w:r>
      <w:r>
        <w:rPr>
          <w:rFonts w:ascii="맑은 고딕" w:eastAsia="맑은 고딕" w:hAnsi="맑은 고딕" w:cs="맑은 고딕" w:hint="default"/>
          <w:u w:color="auto"/>
        </w:rPr>
        <w:t>에어드롭 환급</w:t>
      </w:r>
      <w:r>
        <w:rPr>
          <w:rFonts w:ascii="맑은 고딕" w:eastAsia="맑은 고딕" w:hAnsi="맑은 고딕" w:cs="맑은 고딕" w:hint="default"/>
          <w:u w:color="auto"/>
        </w:rPr>
        <w:t>하는 혁신적 리베이트 모델을 통해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투자자와 사용자가 </w:t>
      </w:r>
      <w:r>
        <w:rPr>
          <w:rFonts w:ascii="맑은 고딕" w:eastAsia="맑은 고딕" w:hAnsi="맑은 고딕" w:cs="맑은 고딕" w:hint="default"/>
          <w:u w:color="auto"/>
        </w:rPr>
        <w:t>장기적으로 낮은 거래 비용과 더 큰 혜택</w:t>
      </w:r>
      <w:r>
        <w:rPr>
          <w:rFonts w:ascii="맑은 고딕" w:eastAsia="맑은 고딕" w:hAnsi="맑은 고딕" w:cs="맑은 고딕" w:hint="default"/>
          <w:u w:color="auto"/>
        </w:rPr>
        <w:t>을 누릴 수 있도록 설계되었습니다</w:t>
      </w:r>
      <w:r>
        <w:rPr/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</w:p>
    <w:p>
      <w:pPr>
        <w:pStyle w:val="Heading1"/>
        <w:spacing w:before="0"/>
        <w:rPr>
          <w:lang/>
          <w:color w:val="FFFFFF"/>
          <w:rtl w:val="off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71552" allowOverlap="1" hidden="0">
                <wp:simplePos x="0" y="0"/>
                <wp:positionH relativeFrom="column">
                  <wp:posOffset>-304798</wp:posOffset>
                </wp:positionH>
                <wp:positionV relativeFrom="paragraph">
                  <wp:posOffset>18283</wp:posOffset>
                </wp:positionV>
                <wp:extent cx="7573010" cy="52070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3.9998pt;margin-top:1.43961pt;width:596.3pt;height:41pt;mso-position-horizontal-relative:column;mso-position-vertical-relative:line;z-index:-251671552" coordorigin="-10,-10" coordsize="11926,820">
                <v:rect id="1032" style="position:absolute;left:0;top:0;width:11906;height:800" filled="t" fillcolor="#003366" stroked="f"/>
                <v:rect id="1033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spacing w:before="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  <w:r>
        <w:rPr>
          <w:color w:val="000080"/>
          <w:spacing w:val="-2"/>
        </w:rPr>
        <w:t>Architecture</w:t>
      </w:r>
    </w:p>
    <w:p>
      <w:pPr>
        <w:pStyle w:val="Heading1"/>
        <w:spacing w:before="0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이더리움 런치(Ethereum Launch):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GLIP은 초기 단계에서 </w:t>
      </w:r>
      <w:r>
        <w:rPr>
          <w:rFonts w:ascii="맑은 고딕" w:eastAsia="맑은 고딕" w:hAnsi="맑은 고딕" w:cs="맑은 고딕" w:hint="default"/>
          <w:u w:color="auto"/>
        </w:rPr>
        <w:t>이더리움 PoS 네트워크</w:t>
      </w:r>
      <w:r>
        <w:rPr>
          <w:rFonts w:ascii="맑은 고딕" w:eastAsia="맑은 고딕" w:hAnsi="맑은 고딕" w:cs="맑은 고딕" w:hint="default"/>
          <w:u w:color="auto"/>
        </w:rPr>
        <w:t>를 기반으로 발행 및 관리되며, 커뮤니티가 성장하는 동안 안정적인 신뢰성과 보안을 제공합니다.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GLIP 메인넷: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GLIP은 </w:t>
      </w:r>
      <w:r>
        <w:rPr>
          <w:rFonts w:ascii="맑은 고딕" w:eastAsia="맑은 고딕" w:hAnsi="맑은 고딕" w:cs="맑은 고딕" w:hint="default"/>
          <w:u w:color="auto"/>
        </w:rPr>
        <w:t>위임지분증명(DPoS)</w:t>
      </w:r>
      <w:r>
        <w:rPr>
          <w:rFonts w:ascii="맑은 고딕" w:eastAsia="맑은 고딕" w:hAnsi="맑은 고딕" w:cs="맑은 고딕" w:hint="default"/>
          <w:u w:color="auto"/>
        </w:rPr>
        <w:t xml:space="preserve">구조를 채택하여 </w:t>
      </w:r>
      <w:r>
        <w:rPr>
          <w:rFonts w:ascii="맑은 고딕" w:eastAsia="맑은 고딕" w:hAnsi="맑은 고딕" w:cs="맑은 고딕" w:hint="default"/>
          <w:u w:color="auto"/>
        </w:rPr>
        <w:t>빠른 거래 확정성</w:t>
      </w:r>
      <w:r>
        <w:rPr>
          <w:rFonts w:ascii="맑은 고딕" w:eastAsia="맑은 고딕" w:hAnsi="맑은 고딕" w:cs="맑은 고딕" w:hint="default"/>
          <w:u w:color="auto"/>
        </w:rPr>
        <w:t xml:space="preserve">, </w:t>
      </w:r>
      <w:r>
        <w:rPr>
          <w:rFonts w:ascii="맑은 고딕" w:eastAsia="맑은 고딕" w:hAnsi="맑은 고딕" w:cs="맑은 고딕" w:hint="default"/>
          <w:u w:color="auto"/>
        </w:rPr>
        <w:t>EVM 호환성</w:t>
      </w:r>
      <w:r>
        <w:rPr>
          <w:rFonts w:ascii="맑은 고딕" w:eastAsia="맑은 고딕" w:hAnsi="맑은 고딕" w:cs="맑은 고딕" w:hint="default"/>
          <w:u w:color="auto"/>
        </w:rPr>
        <w:t>, 그리고 공식적으로 검증된 상태 전환을 통해 안정적이고 확장성 있는 블록체인 환경을 구축합니다.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브리징(Bridging):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스왑은 </w:t>
      </w:r>
      <w:r>
        <w:rPr>
          <w:rFonts w:ascii="맑은 고딕" w:eastAsia="맑은 고딕" w:hAnsi="맑은 고딕" w:cs="맑은 고딕" w:hint="default"/>
          <w:u w:color="auto"/>
        </w:rPr>
        <w:t>감사된 스마트 컨트랙트</w:t>
      </w:r>
      <w:r>
        <w:rPr>
          <w:rFonts w:ascii="맑은 고딕" w:eastAsia="맑은 고딕" w:hAnsi="맑은 고딕" w:cs="맑은 고딕" w:hint="default"/>
          <w:u w:color="auto"/>
        </w:rPr>
        <w:t xml:space="preserve">를 통해 안전하게 진행되며, 거버넌스 결과와 보안 검토에 따라 </w:t>
      </w:r>
      <w:r>
        <w:rPr>
          <w:rFonts w:ascii="맑은 고딕" w:eastAsia="맑은 고딕" w:hAnsi="맑은 고딕" w:cs="맑은 고딕" w:hint="default"/>
          <w:u w:color="auto"/>
        </w:rPr>
        <w:t>단방향 또는 양방향 페그 방식</w:t>
      </w:r>
      <w:r>
        <w:rPr>
          <w:rFonts w:ascii="맑은 고딕" w:eastAsia="맑은 고딕" w:hAnsi="맑은 고딕" w:cs="맑은 고딕" w:hint="default"/>
          <w:u w:color="auto"/>
        </w:rPr>
        <w:t>으로 운영됩니다.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👉 투자자들에게 GLIP은 </w:t>
      </w:r>
      <w:r>
        <w:rPr>
          <w:rFonts w:ascii="맑은 고딕" w:eastAsia="맑은 고딕" w:hAnsi="맑은 고딕" w:cs="맑은 고딕" w:hint="default"/>
          <w:u w:color="auto"/>
        </w:rPr>
        <w:t>안정성·속도·호환성</w:t>
      </w:r>
      <w:r>
        <w:rPr>
          <w:rFonts w:ascii="맑은 고딕" w:eastAsia="맑은 고딕" w:hAnsi="맑은 고딕" w:cs="맑은 고딕" w:hint="default"/>
          <w:u w:color="auto"/>
        </w:rPr>
        <w:t>을 동시에 갖춘 플랫폼으로, 장기적인 성장성과 보안성을 보장합니다.</w:t>
      </w:r>
    </w:p>
    <w:p>
      <w:pPr>
        <w:pStyle w:val="Heading1"/>
        <w:spacing w:before="0"/>
        <w:rPr>
          <w:lang/>
          <w:color w:val="000080"/>
          <w:rtl w:val="off"/>
        </w:rPr>
      </w:pPr>
    </w:p>
    <w:p>
      <w:pPr>
        <w:pStyle w:val="Heading1"/>
        <w:spacing w:before="0"/>
        <w:rPr>
          <w:lang/>
          <w:color w:val="000080"/>
          <w:rtl w:val="off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  <w:r>
        <w:rPr>
          <w:color w:val="000080"/>
        </w:rPr>
        <w:t xml:space="preserve">Transaction &amp; Rebate </w:t>
      </w:r>
      <w:r>
        <w:rPr>
          <w:color w:val="000080"/>
          <w:spacing w:val="-2"/>
        </w:rPr>
        <w:t>Mechanism</w:t>
      </w:r>
    </w:p>
    <w:p>
      <w:pPr>
        <w:pStyle w:val="Heading1"/>
        <w:spacing w:before="0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GLIP은 </w:t>
      </w:r>
      <w:r>
        <w:rPr>
          <w:rFonts w:ascii="맑은 고딕" w:eastAsia="맑은 고딕" w:hAnsi="맑은 고딕" w:cs="맑은 고딕" w:hint="default"/>
          <w:u w:color="auto"/>
        </w:rPr>
        <w:t>사용자가 거래할 때 지불하는 네트워크 수수료를 단순 비용이 아닌 혜택</w:t>
      </w:r>
      <w:r>
        <w:rPr>
          <w:rFonts w:ascii="맑은 고딕" w:eastAsia="맑은 고딕" w:hAnsi="맑은 고딕" w:cs="맑은 고딕" w:hint="default"/>
          <w:u w:color="auto"/>
        </w:rPr>
        <w:t>으로 전환합니다.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모든 수수료는 온체인에 투명하게 기록되며, </w:t>
      </w:r>
      <w:r>
        <w:rPr>
          <w:rFonts w:ascii="맑은 고딕" w:eastAsia="맑은 고딕" w:hAnsi="맑은 고딕" w:cs="맑은 고딕" w:hint="default"/>
          <w:u w:color="auto"/>
        </w:rPr>
        <w:t>분기마다 자동으로 계산된 리베이트</w:t>
      </w:r>
      <w:r>
        <w:rPr>
          <w:rFonts w:ascii="맑은 고딕" w:eastAsia="맑은 고딕" w:hAnsi="맑은 고딕" w:cs="맑은 고딕" w:hint="default"/>
          <w:u w:color="auto"/>
        </w:rPr>
        <w:t>가 네이티브 토큰 형태로 사용자 지갑에 에어드롭됩니다.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리베이트 비율은 </w:t>
      </w:r>
      <w:r>
        <w:rPr>
          <w:rFonts w:ascii="맑은 고딕" w:eastAsia="맑은 고딕" w:hAnsi="맑은 고딕" w:cs="맑은 고딕" w:hint="default"/>
          <w:u w:color="auto"/>
        </w:rPr>
        <w:t>거버넌스를 통해 조정</w:t>
      </w:r>
      <w:r>
        <w:rPr>
          <w:rFonts w:ascii="맑은 고딕" w:eastAsia="맑은 고딕" w:hAnsi="맑은 고딕" w:cs="맑은 고딕" w:hint="default"/>
          <w:u w:color="auto"/>
        </w:rPr>
        <w:t>되며, 지속 가능한 성장과 투자자 보상을 동시에 보장합니다.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 xml:space="preserve">즉, GLIP은 단순한 거래 네트워크가 아니라, </w:t>
      </w:r>
      <w:r>
        <w:rPr>
          <w:rFonts w:ascii="맑은 고딕" w:eastAsia="맑은 고딕" w:hAnsi="맑은 고딕" w:cs="맑은 고딕" w:hint="default"/>
          <w:u w:color="auto"/>
        </w:rPr>
        <w:t>참여할수록 더 많은 보상을 제공하는 생태계</w:t>
      </w:r>
      <w:r>
        <w:rPr>
          <w:rFonts w:ascii="맑은 고딕" w:eastAsia="맑은 고딕" w:hAnsi="맑은 고딕" w:cs="맑은 고딕" w:hint="default"/>
          <w:u w:color="auto"/>
        </w:rPr>
        <w:t>입니다.</w:t>
      </w:r>
    </w:p>
    <w:p>
      <w:pPr>
        <w:pStyle w:val="BodyText"/>
        <w:spacing w:before="8"/>
        <w:rPr>
          <w:sz w:val="33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  <w:r>
        <w:rPr>
          <w:color w:val="000080"/>
        </w:rPr>
        <w:t xml:space="preserve">Rebate Math </w:t>
      </w:r>
      <w:r>
        <w:rPr>
          <w:color w:val="000080"/>
          <w:spacing w:val="-2"/>
        </w:rPr>
        <w:t>(Illustrative)</w:t>
      </w:r>
    </w:p>
    <w:p>
      <w:pPr>
        <w:pStyle w:val="Heading1"/>
        <w:spacing w:before="0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GLIP의 </w:t>
      </w:r>
      <w:r>
        <w:rPr>
          <w:rFonts w:ascii="맑은 고딕" w:eastAsia="맑은 고딕" w:hAnsi="맑은 고딕" w:cs="맑은 고딕" w:hint="default"/>
          <w:u w:color="auto"/>
        </w:rPr>
        <w:t>리베이트 모델</w:t>
      </w:r>
      <w:r>
        <w:rPr>
          <w:rFonts w:ascii="맑은 고딕" w:eastAsia="맑은 고딕" w:hAnsi="맑은 고딕" w:cs="맑은 고딕" w:hint="default"/>
          <w:u w:color="auto"/>
        </w:rPr>
        <w:t>은 매우 단순하고 투명합니다.</w:t>
      </w: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분기 동안 사용자가 납부한 수수료(𝐹ᵢ)에 대해, 거버넌스가 정한 분기별 리베이트율(𝐑)을 적용합니다.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따라서 각 사용자는 </w:t>
      </w:r>
      <w:r>
        <w:rPr>
          <w:rFonts w:ascii="맑은 고딕" w:eastAsia="맑은 고딕" w:hAnsi="맑은 고딕" w:cs="맑은 고딕" w:hint="default"/>
          <w:u w:color="auto"/>
        </w:rPr>
        <w:t>𝐹ᵢ × 𝐑 만큼의 리베이트</w:t>
      </w:r>
      <w:r>
        <w:rPr>
          <w:rFonts w:ascii="맑은 고딕" w:eastAsia="맑은 고딕" w:hAnsi="맑은 고딕" w:cs="맑은 고딕" w:hint="default"/>
          <w:u w:color="auto"/>
        </w:rPr>
        <w:t>를 받게 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분기 전체 수수료 풀(∑𝐹)에 대해서는 총 </w:t>
      </w:r>
      <w:r>
        <w:rPr>
          <w:rFonts w:ascii="맑은 고딕" w:eastAsia="맑은 고딕" w:hAnsi="맑은 고딕" w:cs="맑은 고딕" w:hint="default"/>
          <w:u w:color="auto"/>
        </w:rPr>
        <w:t>∑𝐹 × 𝐑</w:t>
      </w:r>
      <w:r>
        <w:rPr>
          <w:rFonts w:ascii="맑은 고딕" w:eastAsia="맑은 고딕" w:hAnsi="맑은 고딕" w:cs="맑은 고딕" w:hint="default"/>
          <w:u w:color="auto"/>
        </w:rPr>
        <w:t>이 리베이트로 분배됩니다.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잔여분이 발생할 경우, 이는 </w:t>
      </w:r>
      <w:r>
        <w:rPr>
          <w:rFonts w:ascii="맑은 고딕" w:eastAsia="맑은 고딕" w:hAnsi="맑은 고딕" w:cs="맑은 고딕" w:hint="default"/>
          <w:u w:color="auto"/>
        </w:rPr>
        <w:t>생태계 펀드</w:t>
      </w:r>
      <w:r>
        <w:rPr>
          <w:rFonts w:ascii="맑은 고딕" w:eastAsia="맑은 고딕" w:hAnsi="맑은 고딕" w:cs="맑은 고딕" w:hint="default"/>
          <w:u w:color="auto"/>
        </w:rPr>
        <w:t>로 귀속되어 프로젝트의 지속 성장과 안정적 운영에 활용됩니다.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b/>
          <w:bCs/>
          <w:u w:color="auto"/>
        </w:rPr>
        <w:t xml:space="preserve">👉 </w:t>
      </w:r>
      <w:r>
        <w:rPr>
          <w:rFonts w:ascii="맑은 고딕" w:eastAsia="맑은 고딕" w:hAnsi="맑은 고딕" w:cs="맑은 고딕" w:hint="default"/>
          <w:u w:color="auto"/>
        </w:rPr>
        <w:t xml:space="preserve">즉, GLIP은 단순한 거래 수수료가 아닌, </w:t>
      </w:r>
      <w:r>
        <w:rPr>
          <w:rFonts w:ascii="맑은 고딕" w:eastAsia="맑은 고딕" w:hAnsi="맑은 고딕" w:cs="맑은 고딕" w:hint="default"/>
          <w:u w:color="auto"/>
        </w:rPr>
        <w:t>사용자와 생태계 모두에게 재투자되는 선순환 구조</w:t>
      </w:r>
      <w:r>
        <w:rPr>
          <w:rFonts w:ascii="맑은 고딕" w:eastAsia="맑은 고딕" w:hAnsi="맑은 고딕" w:cs="맑은 고딕" w:hint="default"/>
          <w:u w:color="auto"/>
        </w:rPr>
        <w:t>를 제공합니다.</w:t>
      </w:r>
    </w:p>
    <w:p>
      <w:pPr>
        <w:pStyle w:val="BodyTex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anchor distT="0" distB="0" distL="114300" distR="114300" behindDoc="1" locked="0" layoutInCell="1" simplePos="0" relativeHeight="251673600" allowOverlap="1" hidden="0">
                <wp:simplePos x="0" y="0"/>
                <wp:positionH relativeFrom="column">
                  <wp:posOffset>-314325</wp:posOffset>
                </wp:positionH>
                <wp:positionV relativeFrom="paragraph">
                  <wp:posOffset>-9</wp:posOffset>
                </wp:positionV>
                <wp:extent cx="7573010" cy="52070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4.75pt;margin-top:-0.000708661pt;width:596.3pt;height:41pt;mso-position-horizontal-relative:column;mso-position-vertical-relative:line;z-index:-251673600" coordorigin="-10,-10" coordsize="11926,820">
                <v:rect id="1035" style="position:absolute;left:0;top:0;width:11906;height:800" filled="t" fillcolor="#003366" stroked="f"/>
                <v:rect id="1036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BodyText"/>
        <w:rPr>
          <w:b/>
          <w:bCs/>
          <w:sz w:val="28"/>
          <w:szCs w:val="28"/>
        </w:rPr>
      </w:pPr>
      <w:r>
        <w:rPr>
          <w:b/>
          <w:bCs/>
          <w:color w:val="FFFFFF"/>
          <w:sz w:val="28"/>
          <w:szCs w:val="28"/>
        </w:rPr>
        <w:t xml:space="preserve">GLIP Token </w:t>
      </w:r>
      <w:r>
        <w:rPr>
          <w:b/>
          <w:bCs/>
          <w:color w:val="FFFFFF"/>
          <w:sz w:val="28"/>
          <w:szCs w:val="28"/>
          <w:spacing w:val="-2"/>
        </w:rPr>
        <w:t>Whitep</w:t>
      </w:r>
      <w:r>
        <w:rPr>
          <w:b/>
          <w:bCs/>
          <w:color w:val="FFFFFF"/>
          <w:sz w:val="28"/>
          <w:szCs w:val="28"/>
          <w:spacing w:val="-2"/>
        </w:rPr>
        <w:t>aper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jc w:val="left"/>
        <w:spacing w:after="0"/>
      </w:pPr>
      <w:r>
        <w:rPr>
          <w:color w:val="FFFFFF"/>
          <w:sz w:val="18"/>
        </w:rPr>
        <w:t>GLIP To</w:t>
      </w: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spacing w:before="7"/>
        <w:rPr>
          <w:b/>
          <w:sz w:val="19"/>
        </w:rPr>
      </w:pPr>
    </w:p>
    <w:p>
      <w:pPr>
        <w:ind w:left="420" w:right="0" w:firstLine="0"/>
        <w:jc w:val="left"/>
        <w:spacing w:before="91"/>
        <w:rPr>
          <w:lang/>
          <w:b/>
          <w:color w:val="000080"/>
          <w:sz w:val="28"/>
          <w:spacing w:val="-2"/>
          <w:rtl w:val="off"/>
        </w:rPr>
      </w:pPr>
      <w:r>
        <w:rPr>
          <w:b/>
          <w:color w:val="000080"/>
          <w:sz w:val="28"/>
          <w:spacing w:val="-2"/>
        </w:rPr>
        <w:t>Tokenomics</w:t>
      </w:r>
    </w:p>
    <w:p>
      <w:pPr>
        <w:ind w:left="420" w:right="0" w:firstLine="0"/>
        <w:jc w:val="left"/>
        <w:spacing w:before="91"/>
        <w:rPr>
          <w:b/>
          <w:sz w:val="28"/>
        </w:rPr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토큰 할당 (Allocation):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퍼블릭 세일: </w:t>
      </w:r>
      <w:r>
        <w:rPr>
          <w:rFonts w:ascii="맑은 고딕" w:eastAsia="맑은 고딕" w:hAnsi="맑은 고딕" w:cs="맑은 고딕" w:hint="default"/>
          <w:u w:color="auto"/>
        </w:rPr>
        <w:t>40%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팀 및 자문(Team &amp; Advisors): </w:t>
      </w:r>
      <w:r>
        <w:rPr>
          <w:rFonts w:ascii="맑은 고딕" w:eastAsia="맑은 고딕" w:hAnsi="맑은 고딕" w:cs="맑은 고딕" w:hint="default"/>
          <w:u w:color="auto"/>
        </w:rPr>
        <w:t>15%</w:t>
      </w:r>
      <w:r>
        <w:rPr>
          <w:rFonts w:ascii="맑은 고딕" w:eastAsia="맑은 고딕" w:hAnsi="맑은 고딕" w:cs="맑은 고딕" w:hint="default"/>
          <w:u w:color="auto"/>
        </w:rPr>
        <w:t>(3년 베스팅)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생태계 및 파트너십(Ecosystem &amp; Partnerships): </w:t>
      </w:r>
      <w:r>
        <w:rPr>
          <w:rFonts w:ascii="맑은 고딕" w:eastAsia="맑은 고딕" w:hAnsi="맑은 고딕" w:cs="맑은 고딕" w:hint="default"/>
          <w:u w:color="auto"/>
        </w:rPr>
        <w:t>25%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커뮤니티 및 스테이킹(Community &amp; Staking): </w:t>
      </w:r>
      <w:r>
        <w:rPr>
          <w:rFonts w:ascii="맑은 고딕" w:eastAsia="맑은 고딕" w:hAnsi="맑은 고딕" w:cs="맑은 고딕" w:hint="default"/>
          <w:u w:color="auto"/>
        </w:rPr>
        <w:t>15%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리저브(Reserve): </w:t>
      </w:r>
      <w:r>
        <w:rPr>
          <w:rFonts w:ascii="맑은 고딕" w:eastAsia="맑은 고딕" w:hAnsi="맑은 고딕" w:cs="맑은 고딕" w:hint="default"/>
          <w:u w:color="auto"/>
        </w:rPr>
        <w:t>5%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공급 (Supply):</w:t>
      </w: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**고정 발행량(Fixed Cap)**으로, 제네시스 이후 추가 발행은 없음.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인센티브 (Incentives):</w:t>
      </w:r>
    </w:p>
    <w:p>
      <w:pPr>
        <w:spacing w:line="360"/>
        <w:rPr/>
      </w:pPr>
      <w:r>
        <w:rPr>
          <w:rFonts w:ascii="맑은 고딕" w:eastAsia="맑은 고딕" w:hAnsi="맑은 고딕" w:cs="맑은 고딕" w:hint="default"/>
          <w:u w:color="auto"/>
        </w:rPr>
        <w:t>스테이킹 보상은 발행 스케줄(존재할 경우) 및 거버넌스에 따라 결정되는 프로토콜 수익에서 조달됨.</w:t>
      </w:r>
    </w:p>
    <w:tbl>
      <w:tblPr>
        <w:tblpPr w:vertAnchor="text" w:horzAnchor="page" w:tblpX="1803" w:tblpY="369"/>
        <w:tblW w:w="0" w:type="auto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00"/>
        <w:gridCol w:w="4000"/>
      </w:tblGrid>
      <w:tr>
        <w:trPr>
          <w:trHeight w:val="350" w:hRule="atLeast"/>
        </w:trPr>
        <w:tc>
          <w:tcPr>
            <w:tcW w:w="4000" w:type="dxa"/>
            <w:shd w:val="clear" w:color="auto" w:fill="003366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pacing w:val="-2"/>
              </w:rPr>
              <w:t>Category</w:t>
            </w:r>
          </w:p>
        </w:tc>
        <w:tc>
          <w:tcPr>
            <w:tcW w:w="4000" w:type="dxa"/>
            <w:shd w:val="clear" w:color="auto" w:fill="003366"/>
          </w:tcPr>
          <w:p>
            <w:pPr>
              <w:pStyle w:val="TableParagraph"/>
              <w:ind w:left="60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pacing w:val="-2"/>
              </w:rPr>
              <w:t>Allocation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Public </w:t>
            </w:r>
            <w:r>
              <w:rPr>
                <w:sz w:val="20"/>
                <w:spacing w:val="-4"/>
              </w:rPr>
              <w:t>Sale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40%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Team &amp; </w:t>
            </w:r>
            <w:r>
              <w:rPr>
                <w:sz w:val="20"/>
                <w:spacing w:val="-2"/>
              </w:rPr>
              <w:t>Advisors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15% (3-year </w:t>
            </w:r>
            <w:r>
              <w:rPr>
                <w:sz w:val="20"/>
                <w:spacing w:val="-2"/>
              </w:rPr>
              <w:t>vesting)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Ecosystem &amp; </w:t>
            </w:r>
            <w:r>
              <w:rPr>
                <w:sz w:val="20"/>
                <w:spacing w:val="-2"/>
              </w:rPr>
              <w:t>Partnerships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25%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Community Rewards &amp; </w:t>
            </w:r>
            <w:r>
              <w:rPr>
                <w:sz w:val="20"/>
                <w:spacing w:val="-2"/>
              </w:rPr>
              <w:t>Staking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15%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Reserve </w:t>
            </w:r>
            <w:r>
              <w:rPr>
                <w:sz w:val="20"/>
                <w:spacing w:val="-4"/>
              </w:rPr>
              <w:t>Fund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5%</w:t>
            </w:r>
          </w:p>
        </w:tc>
      </w:tr>
    </w:tbl>
    <w:p>
      <w:pPr>
        <w:pStyle w:val="BodyText"/>
        <w:ind w:left="420" w:right="384"/>
        <w:jc w:val="both"/>
        <w:spacing w:before="221" w:line="261" w:lineRule="auto"/>
      </w:pPr>
    </w:p>
    <w:p>
      <w:pPr>
        <w:pStyle w:val="BodyText"/>
        <w:rPr>
          <w:sz w:val="20"/>
        </w:rPr>
      </w:pPr>
    </w:p>
    <w:p>
      <w:pPr>
        <w:pStyle w:val="BodyText"/>
        <w:spacing w:after="1" w:before="2"/>
        <w:rPr>
          <w:sz w:val="1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72576" allowOverlap="1" hidden="0">
                <wp:simplePos x="0" y="0"/>
                <wp:positionH relativeFrom="column">
                  <wp:posOffset>-302895</wp:posOffset>
                </wp:positionH>
                <wp:positionV relativeFrom="paragraph">
                  <wp:posOffset>22482</wp:posOffset>
                </wp:positionV>
                <wp:extent cx="7573010" cy="52070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3.85pt;margin-top:1.77024pt;width:596.3pt;height:41pt;mso-position-horizontal-relative:column;mso-position-vertical-relative:line;z-index:-251672576" coordorigin="-10,-10" coordsize="11926,820">
                <v:rect id="1038" style="position:absolute;left:0;top:0;width:11906;height:800" filled="t" fillcolor="#003366" stroked="f"/>
                <v:rect id="1039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  <w:r>
        <w:rPr>
          <w:color w:val="FFFFFF"/>
          <w:sz w:val="28"/>
          <w:szCs w:val="28"/>
        </w:rPr>
        <w:t xml:space="preserve">GLIP Token </w:t>
      </w:r>
      <w:r>
        <w:rPr>
          <w:color w:val="FFFFFF"/>
          <w:sz w:val="28"/>
          <w:szCs w:val="28"/>
          <w:spacing w:val="-2"/>
        </w:rPr>
        <w:t>Whitepaper</w:t>
      </w: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</w:p>
    <w:p>
      <w:pPr>
        <w:pStyle w:val="Heading1"/>
        <w:spacing w:before="1"/>
        <w:rPr>
          <w:lang/>
          <w:color w:val="000080"/>
          <w:spacing w:val="-2"/>
          <w:rtl w:val="off"/>
        </w:rPr>
      </w:pPr>
      <w:r>
        <w:rPr>
          <w:color w:val="000080"/>
          <w:spacing w:val="-2"/>
        </w:rPr>
        <w:t>Governance</w:t>
      </w:r>
    </w:p>
    <w:p>
      <w:pPr>
        <w:pStyle w:val="Heading1"/>
        <w:spacing w:before="1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거버넌스 제안 (Proposals):</w:t>
      </w:r>
    </w:p>
    <w:p>
      <w:pPr>
        <w:spacing w:line="360"/>
        <w:rPr>
          <w:lang/>
          <w:rFonts w:ascii="맑은 고딕" w:eastAsia="맑은 고딕" w:hAnsi="맑은 고딕" w:cs="맑은 고딕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제안 사항에는 </w:t>
      </w:r>
      <w:r>
        <w:rPr>
          <w:rFonts w:ascii="맑은 고딕" w:eastAsia="맑은 고딕" w:hAnsi="맑은 고딕" w:cs="맑은 고딕" w:hint="default"/>
          <w:u w:color="auto"/>
        </w:rPr>
        <w:t>매개변수 변경</w:t>
      </w:r>
      <w:r>
        <w:rPr>
          <w:rFonts w:ascii="맑은 고딕" w:eastAsia="맑은 고딕" w:hAnsi="맑은 고딕" w:cs="맑은 고딕" w:hint="default"/>
          <w:u w:color="auto"/>
        </w:rPr>
        <w:t xml:space="preserve">(예: 리베이트율 R%), </w:t>
      </w:r>
      <w:r>
        <w:rPr>
          <w:rFonts w:ascii="맑은 고딕" w:eastAsia="맑은 고딕" w:hAnsi="맑은 고딕" w:cs="맑은 고딕" w:hint="default"/>
          <w:u w:color="auto"/>
        </w:rPr>
        <w:t>재무 운영(Treasury usage)</w:t>
      </w:r>
      <w:r>
        <w:rPr>
          <w:rFonts w:ascii="맑은 고딕" w:eastAsia="맑은 고딕" w:hAnsi="맑은 고딕" w:cs="맑은 고딕" w:hint="default"/>
          <w:u w:color="auto"/>
        </w:rPr>
        <w:t xml:space="preserve">, </w:t>
      </w:r>
      <w:r>
        <w:rPr>
          <w:rFonts w:ascii="맑은 고딕" w:eastAsia="맑은 고딕" w:hAnsi="맑은 고딕" w:cs="맑은 고딕" w:hint="default"/>
          <w:u w:color="auto"/>
        </w:rPr>
        <w:t>검증자 규칙(Validator rules)</w:t>
      </w:r>
      <w:r>
        <w:rPr>
          <w:rFonts w:ascii="맑은 고딕" w:eastAsia="맑은 고딕" w:hAnsi="맑은 고딕" w:cs="맑은 고딕" w:hint="default"/>
          <w:u w:color="auto"/>
        </w:rPr>
        <w:t xml:space="preserve">, 및 </w:t>
      </w:r>
      <w:r>
        <w:rPr>
          <w:rFonts w:ascii="맑은 고딕" w:eastAsia="맑은 고딕" w:hAnsi="맑은 고딕" w:cs="맑은 고딕" w:hint="default"/>
          <w:u w:color="auto"/>
        </w:rPr>
        <w:t>프로토콜 업그레이드</w:t>
      </w:r>
      <w:r>
        <w:rPr>
          <w:rFonts w:ascii="맑은 고딕" w:eastAsia="맑은 고딕" w:hAnsi="맑은 고딕" w:cs="맑은 고딕" w:hint="default"/>
          <w:u w:color="auto"/>
        </w:rPr>
        <w:t>가 포함됨.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투표 권한 (Voting Power):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투표 권한은 </w:t>
      </w:r>
      <w:r>
        <w:rPr>
          <w:rFonts w:ascii="맑은 고딕" w:eastAsia="맑은 고딕" w:hAnsi="맑은 고딕" w:cs="맑은 고딕" w:hint="default"/>
          <w:u w:color="auto"/>
        </w:rPr>
        <w:t>스테이킹된 GLIP 코인 비율</w:t>
      </w:r>
      <w:r>
        <w:rPr>
          <w:rFonts w:ascii="맑은 고딕" w:eastAsia="맑은 고딕" w:hAnsi="맑은 고딕" w:cs="맑은 고딕" w:hint="default"/>
          <w:u w:color="auto"/>
        </w:rPr>
        <w:t>에 비례하며, **쿼럼(quorum), 타임락(timelock), 긴급 정지(emergency pause)**와 같은 안전장치가 적용됨.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온체인 기록 (On-Chain Recording):</w:t>
      </w:r>
    </w:p>
    <w:p>
      <w:pPr>
        <w:spacing w:line="360"/>
        <w:rPr>
          <w:lang/>
          <w:rFonts w:ascii="맑은 고딕" w:eastAsia="맑은 고딕" w:hAnsi="맑은 고딕" w:cs="맑은 고딕"/>
          <w:u w:color="auto"/>
          <w:rtl w:val="off"/>
        </w:rPr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모든 제안, 투표, 및 결과는 </w:t>
      </w:r>
      <w:r>
        <w:rPr>
          <w:rFonts w:ascii="맑은 고딕" w:eastAsia="맑은 고딕" w:hAnsi="맑은 고딕" w:cs="맑은 고딕" w:hint="default"/>
          <w:u w:color="auto"/>
        </w:rPr>
        <w:t>온체인에 기록</w:t>
      </w:r>
      <w:r>
        <w:rPr>
          <w:rFonts w:ascii="맑은 고딕" w:eastAsia="맑은 고딕" w:hAnsi="맑은 고딕" w:cs="맑은 고딕" w:hint="default"/>
          <w:u w:color="auto"/>
        </w:rPr>
        <w:t>되어 투명성과 불변성을 보장함.</w:t>
      </w:r>
    </w:p>
    <w:p>
      <w:pPr>
        <w:pStyle w:val="BodyText"/>
        <w:rPr>
          <w:lang/>
          <w:color w:val="FFFFFF"/>
          <w:rtl w:val="off"/>
        </w:rPr>
      </w:pPr>
    </w:p>
    <w:p>
      <w:pPr>
        <w:pStyle w:val="BodyText"/>
        <w:rPr>
          <w:lang/>
          <w:sz w:val="24"/>
          <w:rtl w:val="off"/>
        </w:rPr>
      </w:pPr>
      <w:r>
        <w:rPr>
          <w:color w:val="FFFFFF"/>
          <w:sz w:val="28"/>
          <w:szCs w:val="28"/>
        </w:rPr>
        <w:t xml:space="preserve">GLIP Token </w:t>
      </w:r>
      <w:r>
        <w:rPr>
          <w:color w:val="FFFFFF"/>
          <w:sz w:val="28"/>
          <w:szCs w:val="28"/>
          <w:spacing w:val="-2"/>
        </w:rPr>
        <w:t>Whitepaper</w:t>
      </w: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  <w:r>
        <w:rPr>
          <w:color w:val="000080"/>
          <w:spacing w:val="-2"/>
        </w:rPr>
        <w:t>Security</w:t>
      </w:r>
    </w:p>
    <w:p>
      <w:pPr>
        <w:pStyle w:val="Heading1"/>
        <w:spacing w:before="0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감사 (Audits):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모든 코어 컨트랙트와 브리지는 메인넷 배포 이전에 </w:t>
      </w:r>
      <w:r>
        <w:rPr>
          <w:rFonts w:ascii="맑은 고딕" w:eastAsia="맑은 고딕" w:hAnsi="맑은 고딕" w:cs="맑은 고딕" w:hint="default"/>
          <w:u w:color="auto"/>
        </w:rPr>
        <w:t>독립적인 보안 감사</w:t>
      </w:r>
      <w:r>
        <w:rPr>
          <w:rFonts w:ascii="맑은 고딕" w:eastAsia="맑은 고딕" w:hAnsi="맑은 고딕" w:cs="맑은 고딕" w:hint="default"/>
          <w:u w:color="auto"/>
        </w:rPr>
        <w:t>를 수행함.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버그 바운티 (Bug Bounty):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공개 바운티 프로그램을 통해 </w:t>
      </w:r>
      <w:r>
        <w:rPr>
          <w:rFonts w:ascii="맑은 고딕" w:eastAsia="맑은 고딕" w:hAnsi="맑은 고딕" w:cs="맑은 고딕" w:hint="default"/>
          <w:u w:color="auto"/>
        </w:rPr>
        <w:t>책임 있는 취약점 공개</w:t>
      </w:r>
      <w:r>
        <w:rPr>
          <w:rFonts w:ascii="맑은 고딕" w:eastAsia="맑은 고딕" w:hAnsi="맑은 고딕" w:cs="맑은 고딕" w:hint="default"/>
          <w:u w:color="auto"/>
        </w:rPr>
        <w:t>를 장려함.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운영 보안 (Operational Security):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단계적 롤아웃(staged rollouts)</w:t>
      </w:r>
      <w:r>
        <w:rPr>
          <w:rFonts w:ascii="맑은 고딕" w:eastAsia="맑은 고딕" w:hAnsi="맑은 고딕" w:cs="맑은 고딕" w:hint="default"/>
          <w:u w:color="auto"/>
        </w:rPr>
        <w:t xml:space="preserve">, </w:t>
      </w:r>
      <w:r>
        <w:rPr>
          <w:rFonts w:ascii="맑은 고딕" w:eastAsia="맑은 고딕" w:hAnsi="맑은 고딕" w:cs="맑은 고딕" w:hint="default"/>
          <w:u w:color="auto"/>
        </w:rPr>
        <w:t>보호된 매개변수(guarded parameters)</w:t>
      </w:r>
      <w:r>
        <w:rPr>
          <w:rFonts w:ascii="맑은 고딕" w:eastAsia="맑은 고딕" w:hAnsi="맑은 고딕" w:cs="맑은 고딕" w:hint="default"/>
          <w:u w:color="auto"/>
        </w:rPr>
        <w:t>,</w:t>
      </w: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이상 탐지 시 분배를 중단하는 **회로 차단기(circuit breakers)**를 적용하여 보안성을 강화함.</w:t>
      </w: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lang/>
          <w:sz w:val="24"/>
          <w:rtl w:val="off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74624" allowOverlap="1" hidden="0">
                <wp:simplePos x="0" y="0"/>
                <wp:positionH relativeFrom="column">
                  <wp:posOffset>-314325</wp:posOffset>
                </wp:positionH>
                <wp:positionV relativeFrom="paragraph">
                  <wp:posOffset>75207</wp:posOffset>
                </wp:positionV>
                <wp:extent cx="7611110" cy="52070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111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4.75pt;margin-top:5.92181pt;width:599.3pt;height:41pt;mso-position-horizontal-relative:column;mso-position-vertical-relative:line;z-index:-251674624" coordorigin="-10,-10" coordsize="11926,820">
                <v:rect id="1041" style="position:absolute;left:0;top:0;width:11906;height:800" filled="t" fillcolor="#003366" stroked="f"/>
                <v:rect id="1042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BodyText"/>
        <w:spacing w:line="360"/>
        <w:rPr>
          <w:lang/>
          <w:sz w:val="24"/>
          <w:rtl w:val="off"/>
        </w:rPr>
      </w:pPr>
      <w:r>
        <w:rPr>
          <w:lang w:eastAsia="ko-KR"/>
          <w:b/>
          <w:bCs/>
          <w:color w:val="FFFFFF"/>
          <w:sz w:val="28"/>
          <w:szCs w:val="28"/>
          <w:rtl w:val="off"/>
        </w:rPr>
        <w:t>G</w:t>
      </w:r>
      <w:r>
        <w:rPr>
          <w:b/>
          <w:bCs/>
          <w:color w:val="FFFFFF"/>
          <w:sz w:val="28"/>
          <w:szCs w:val="28"/>
        </w:rPr>
        <w:t xml:space="preserve">LIP Token </w:t>
      </w:r>
      <w:r>
        <w:rPr>
          <w:b/>
          <w:bCs/>
          <w:color w:val="FFFFFF"/>
          <w:sz w:val="28"/>
          <w:szCs w:val="28"/>
          <w:spacing w:val="-2"/>
        </w:rPr>
        <w:t>Whitepaper</w:t>
      </w:r>
    </w:p>
    <w:p>
      <w:pPr>
        <w:pStyle w:val="BodyText"/>
        <w:spacing w:line="360"/>
        <w:rPr>
          <w:lang/>
          <w:sz w:val="24"/>
          <w:rtl w:val="off"/>
        </w:rPr>
      </w:pPr>
    </w:p>
    <w:p>
      <w:pPr>
        <w:pStyle w:val="BodyText"/>
        <w:spacing w:line="360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  <w:r>
        <w:rPr>
          <w:color w:val="000080"/>
        </w:rPr>
        <w:t xml:space="preserve">Swap &amp; </w:t>
      </w:r>
      <w:r>
        <w:rPr>
          <w:color w:val="000080"/>
          <w:spacing w:val="-2"/>
        </w:rPr>
        <w:t>Migration</w:t>
      </w:r>
    </w:p>
    <w:p>
      <w:pPr>
        <w:pStyle w:val="Heading1"/>
        <w:spacing w:before="0"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메인넷 전환 (Mainnet Migration):</w:t>
      </w: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GLIP 메인넷이 출시되면, </w:t>
      </w:r>
      <w:r>
        <w:rPr>
          <w:rFonts w:ascii="맑은 고딕" w:eastAsia="맑은 고딕" w:hAnsi="맑은 고딕" w:cs="맑은 고딕" w:hint="default"/>
          <w:u w:color="auto"/>
        </w:rPr>
        <w:t>ERC-20 GLIP 보유자들은 1:1 비율로 GLIP 코인으로 스왑</w:t>
      </w:r>
      <w:r>
        <w:rPr>
          <w:rFonts w:ascii="맑은 고딕" w:eastAsia="맑은 고딕" w:hAnsi="맑은 고딕" w:cs="맑은 고딕" w:hint="default"/>
          <w:u w:color="auto"/>
        </w:rPr>
        <w:t>할 수 있으며, 이는 **정식 브리지(canonical bridge)**를 통해 진행됨.</w:t>
      </w: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스왑 컨트랙트는 **Merkle Root 및 검증 데이터(proofs)**를 공개하여 투명성을 보장함.</w:t>
      </w:r>
    </w:p>
    <w:p>
      <w:pPr>
        <w:spacing w:line="360"/>
        <w:rPr>
          <w:b w:val="0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충분한 마이그레이션이 완료된 이후, ERC-20 토큰에 대한 </w:t>
      </w:r>
      <w:r>
        <w:rPr>
          <w:rFonts w:ascii="맑은 고딕" w:eastAsia="맑은 고딕" w:hAnsi="맑은 고딕" w:cs="맑은 고딕" w:hint="default"/>
          <w:u w:color="auto"/>
        </w:rPr>
        <w:t>폐기(deprecation) 일정</w:t>
      </w:r>
      <w:r>
        <w:rPr>
          <w:rFonts w:ascii="맑은 고딕" w:eastAsia="맑은 고딕" w:hAnsi="맑은 고딕" w:cs="맑은 고딕" w:hint="default"/>
          <w:u w:color="auto"/>
        </w:rPr>
        <w:t>이 공지될 수 있음.</w:t>
      </w:r>
    </w:p>
    <w:p>
      <w:pPr>
        <w:pStyle w:val="BodyText"/>
        <w:ind w:left="420" w:right="384"/>
        <w:jc w:val="both"/>
        <w:spacing w:before="221" w:line="252" w:lineRule="auto"/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1"/>
        <w:spacing w:before="1"/>
      </w:pPr>
      <w:r>
        <w:rPr>
          <w:color w:val="000080"/>
        </w:rPr>
        <w:t xml:space="preserve">Use </w:t>
      </w:r>
      <w:r>
        <w:rPr>
          <w:color w:val="000080"/>
          <w:spacing w:val="-2"/>
        </w:rPr>
        <w:t>Cases</w:t>
      </w:r>
    </w:p>
    <w:p>
      <w:pPr>
        <w:rPr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P2P 송금(Peer-to-Peer Transfers)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예측 가능한 순 비용(Predictable Net Costs)을 갖춘 상인 결제(Merchant Payments)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국제 송금(Remittances)</w:t>
      </w: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리베이트 기반 활동 모델(Rebate-Driven Activity Model)의 혜택을 활용하는 디파이 통합(DeFi Integrations)</w:t>
      </w:r>
    </w:p>
    <w:p>
      <w:pPr>
        <w:pStyle w:val="BodyText"/>
        <w:spacing w:before="6"/>
        <w:rPr>
          <w:lang/>
          <w:sz w:val="33"/>
          <w:rtl w:val="off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1"/>
        <w:spacing w:before="0"/>
        <w:rPr>
          <w:lang/>
          <w:color w:val="000080"/>
          <w:spacing w:val="-2"/>
          <w:rtl w:val="off"/>
        </w:rPr>
      </w:pPr>
      <w:r>
        <w:rPr>
          <w:color w:val="000080"/>
        </w:rPr>
        <w:t xml:space="preserve">Compliance &amp; </w:t>
      </w:r>
      <w:r>
        <w:rPr>
          <w:color w:val="000080"/>
          <w:spacing w:val="-2"/>
        </w:rPr>
        <w:t>Disclaimers</w:t>
      </w:r>
    </w:p>
    <w:p>
      <w:pPr>
        <w:pStyle w:val="Heading1"/>
        <w:spacing w:before="0"/>
      </w:pPr>
    </w:p>
    <w:p>
      <w:pPr>
        <w:rPr/>
      </w:pPr>
    </w:p>
    <w:p>
      <w:pPr>
        <w:spacing w:line="360"/>
        <w:rPr>
          <w:rFonts w:ascii="맑은 고딕" w:eastAsia="맑은 고딕" w:hAnsi="맑은 고딕" w:cs="맑은 고딕" w:hint="default"/>
          <w:b w:val="0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본 문서는 </w:t>
      </w:r>
      <w:r>
        <w:rPr>
          <w:rFonts w:ascii="맑은 고딕" w:eastAsia="맑은 고딕" w:hAnsi="맑은 고딕" w:cs="맑은 고딕" w:hint="default"/>
          <w:u w:color="auto"/>
        </w:rPr>
        <w:t>정보 제공 목적</w:t>
      </w:r>
      <w:r>
        <w:rPr>
          <w:rFonts w:ascii="맑은 고딕" w:eastAsia="맑은 고딕" w:hAnsi="맑은 고딕" w:cs="맑은 고딕" w:hint="default"/>
          <w:u w:color="auto"/>
        </w:rPr>
        <w:t xml:space="preserve">이며, </w:t>
      </w:r>
      <w:r>
        <w:rPr>
          <w:rFonts w:ascii="맑은 고딕" w:eastAsia="맑은 고딕" w:hAnsi="맑은 고딕" w:cs="맑은 고딕" w:hint="default"/>
          <w:u w:color="auto"/>
        </w:rPr>
        <w:t>투자 조언이 아님</w:t>
      </w:r>
      <w:r>
        <w:rPr>
          <w:rFonts w:ascii="맑은 고딕" w:eastAsia="맑은 고딕" w:hAnsi="맑은 고딕" w:cs="맑은 고딕" w:hint="default"/>
          <w:u w:color="auto"/>
        </w:rPr>
        <w:t>.</w:t>
      </w: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관할 지역 규제(Jurisdictional Restrictions), KYC/AML 요건, 세무상의 영향(Tax Implications)이 적용될 수 있음.</w:t>
      </w: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</w:p>
    <w:p>
      <w:pPr>
        <w:spacing w:line="36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모든 매개변수(Parameters), 일정(Timelines), 및 사양(Specifications)은 **거버넌스 및 기술적 준비 상황(Technical Readiness)**에 따라 변경될 수 있음.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ind w:left="100" w:right="0" w:firstLine="0"/>
        <w:jc w:val="left"/>
        <w:tabs>
          <w:tab w:val="left" w:pos="10235"/>
        </w:tabs>
        <w:spacing w:before="95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3</w:t>
      </w:r>
    </w:p>
    <w:p>
      <w:pPr>
        <w:jc w:val="left"/>
        <w:spacing w:after="0"/>
        <w:rPr>
          <w:sz w:val="18"/>
        </w:rPr>
        <w:sectPr>
          <w:pgSz w:w="11910" w:h="16840"/>
          <w:pgMar w:top="0" w:right="480" w:bottom="0" w:left="500" w:header="720" w:footer="720" w:gutter="0"/>
          <w:cols/>
          <w:docGrid w:linePitch="360"/>
        </w:sectPr>
      </w:pPr>
    </w:p>
    <w:p>
      <w:pPr>
        <w:pStyle w:val="BodyText"/>
        <w:spacing w:before="4"/>
        <w:rPr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5408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43" name="shape104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65408" coordorigin="-10,-10" coordsize="11926,820">
                <v:rect id="1044" style="position:absolute;left:0;top:0;width:11906;height:800" filled="t" fillcolor="#003366" stroked="f"/>
                <v:rect id="1045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ind w:left="420" w:right="0" w:firstLine="0"/>
        <w:jc w:val="left"/>
        <w:spacing w:before="91"/>
        <w:rPr>
          <w:b/>
          <w:sz w:val="28"/>
        </w:rPr>
      </w:pPr>
      <w:r>
        <w:rPr>
          <w:b/>
          <w:color w:val="000080"/>
          <w:sz w:val="28"/>
          <w:spacing w:val="-2"/>
        </w:rPr>
        <w:t>Roadmap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spacing w:val="31"/>
          <w:rtl w:val="off"/>
        </w:rPr>
      </w:pPr>
      <w:r>
        <w:rPr/>
        <w:t>Q4</w:t>
      </w:r>
      <w:r>
        <w:rPr>
          <w:spacing w:val="31"/>
        </w:rPr>
        <w:t xml:space="preserve"> </w:t>
      </w:r>
      <w:r>
        <w:rPr/>
        <w:t>2025:</w:t>
      </w:r>
      <w:r>
        <w:rPr>
          <w:spacing w:val="31"/>
        </w:rPr>
        <w:t xml:space="preserve"> </w:t>
      </w:r>
      <w:r>
        <w:rPr/>
        <w:t>token</w:t>
      </w:r>
      <w:r>
        <w:rPr>
          <w:spacing w:val="31"/>
        </w:rPr>
        <w:t xml:space="preserve"> </w:t>
      </w:r>
      <w:r>
        <w:rPr/>
        <w:t>distribution</w:t>
      </w:r>
      <w:r>
        <w:rPr>
          <w:spacing w:val="31"/>
        </w:rPr>
        <w:t xml:space="preserve"> </w:t>
      </w:r>
      <w:r>
        <w:rPr/>
        <w:t>and</w:t>
      </w:r>
      <w:r>
        <w:rPr>
          <w:spacing w:val="31"/>
        </w:rPr>
        <w:t xml:space="preserve"> </w:t>
      </w:r>
      <w:r>
        <w:rPr/>
        <w:t>listings;</w:t>
      </w:r>
      <w:r>
        <w:rPr>
          <w:spacing w:val="31"/>
        </w:rPr>
        <w:t xml:space="preserve"> 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spacing w:val="31"/>
          <w:rtl w:val="off"/>
        </w:rPr>
      </w:pPr>
      <w:r>
        <w:rPr/>
        <w:t>Q1</w:t>
      </w:r>
      <w:r>
        <w:rPr>
          <w:spacing w:val="31"/>
        </w:rPr>
        <w:t xml:space="preserve"> </w:t>
      </w:r>
      <w:r>
        <w:rPr/>
        <w:t>2026:</w:t>
      </w:r>
      <w:r>
        <w:rPr>
          <w:spacing w:val="31"/>
        </w:rPr>
        <w:t xml:space="preserve"> </w:t>
      </w:r>
      <w:r>
        <w:rPr/>
        <w:t>testnet;</w:t>
      </w:r>
      <w:r>
        <w:rPr>
          <w:spacing w:val="31"/>
        </w:rPr>
        <w:t xml:space="preserve"> 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rtl w:val="off"/>
        </w:rPr>
      </w:pPr>
      <w:r>
        <w:rPr/>
        <w:t>Q3</w:t>
      </w:r>
      <w:r>
        <w:rPr>
          <w:spacing w:val="31"/>
        </w:rPr>
        <w:t xml:space="preserve"> </w:t>
      </w:r>
      <w:r>
        <w:rPr/>
        <w:t>2026:</w:t>
      </w:r>
      <w:r>
        <w:rPr>
          <w:spacing w:val="31"/>
        </w:rPr>
        <w:t xml:space="preserve"> </w:t>
      </w:r>
      <w:r>
        <w:rPr/>
        <w:t>mainnet</w:t>
      </w:r>
      <w:r>
        <w:rPr>
          <w:spacing w:val="31"/>
        </w:rPr>
        <w:t xml:space="preserve"> </w:t>
      </w:r>
      <w:r>
        <w:rPr/>
        <w:t>beta;</w:t>
      </w:r>
      <w:r>
        <w:rPr>
          <w:spacing w:val="31"/>
        </w:rPr>
        <w:t xml:space="preserve"> </w:t>
      </w:r>
      <w:r>
        <w:rPr/>
        <w:t>Q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rtl w:val="off"/>
        </w:rPr>
      </w:pPr>
      <w:r>
        <w:rPr/>
        <w:t>4</w:t>
      </w:r>
      <w:r>
        <w:rPr>
          <w:spacing w:val="31"/>
        </w:rPr>
        <w:t xml:space="preserve"> </w:t>
      </w:r>
      <w:r>
        <w:rPr/>
        <w:t>2026:</w:t>
      </w:r>
      <w:r>
        <w:rPr>
          <w:spacing w:val="31"/>
        </w:rPr>
        <w:t xml:space="preserve"> </w:t>
      </w:r>
      <w:r>
        <w:rPr/>
        <w:t xml:space="preserve">swap; </w:t>
      </w:r>
    </w:p>
    <w:p>
      <w:pPr>
        <w:pStyle w:val="BodyText"/>
        <w:ind w:left="420"/>
        <w:spacing w:before="234" w:line="266" w:lineRule="auto"/>
      </w:pPr>
      <w:r>
        <w:rPr/>
        <w:t>2027+: ecosystem growth and governance enhancements.</w:t>
      </w:r>
    </w:p>
    <w:p>
      <w:pPr>
        <w:pStyle w:val="BodyText"/>
        <w:rPr>
          <w:lang w:eastAsia="ko-KR"/>
          <w:rFonts w:hint="eastAsia"/>
          <w:sz w:val="24"/>
          <w:rtl w:val="off"/>
        </w:rPr>
      </w:pPr>
    </w:p>
    <w:p>
      <w:pPr>
        <w:pStyle w:val="BodyText"/>
        <w:rPr>
          <w:lang w:eastAsia="ko-KR"/>
          <w:rFonts w:hint="eastAsia"/>
          <w:sz w:val="24"/>
          <w:rtl w:val="off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1"/>
        <w:spacing w:before="0"/>
      </w:pPr>
      <w:r>
        <w:rPr>
          <w:color w:val="000080"/>
        </w:rPr>
        <w:t xml:space="preserve">Diagram 1: GLIP Token </w:t>
      </w:r>
      <w:r>
        <w:rPr>
          <w:rFonts w:ascii="Symbol" w:hAnsi="Symbol"/>
          <w:b w:val="0"/>
          <w:color w:val="000080"/>
        </w:rPr>
        <w:t></w:t>
      </w:r>
      <w:r>
        <w:rPr>
          <w:rFonts w:ascii="Times New Roman" w:hAnsi="Times New Roman"/>
          <w:b w:val="0"/>
          <w:color w:val="000080"/>
          <w:spacing w:val="7"/>
        </w:rPr>
        <w:t xml:space="preserve"> </w:t>
      </w:r>
      <w:r>
        <w:rPr>
          <w:color w:val="000080"/>
        </w:rPr>
        <w:t xml:space="preserve">GLIP Coin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behindDoc="0" locked="0" layoutInCell="1" simplePos="0" relativeHeight="251669504" allowOverlap="1" hidden="0">
            <wp:simplePos x="0" y="0"/>
            <wp:positionH relativeFrom="column">
              <wp:posOffset>2505037</wp:posOffset>
            </wp:positionH>
            <wp:positionV relativeFrom="paragraph">
              <wp:posOffset>548724</wp:posOffset>
            </wp:positionV>
            <wp:extent cx="1929880" cy="4707255"/>
            <wp:effectExtent l="0" t="0" r="0" b="0"/>
            <wp:wrapTopAndBottom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880" cy="47072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ind w:left="100" w:right="0" w:firstLine="0"/>
        <w:jc w:val="left"/>
        <w:tabs>
          <w:tab w:val="left" w:pos="10235"/>
        </w:tabs>
        <w:spacing w:before="94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4</w:t>
      </w:r>
    </w:p>
    <w:p>
      <w:pPr>
        <w:jc w:val="left"/>
        <w:spacing w:after="0"/>
        <w:rPr>
          <w:sz w:val="18"/>
        </w:rPr>
        <w:sectPr>
          <w:pgSz w:w="11910" w:h="16840"/>
          <w:pgMar w:top="0" w:right="480" w:bottom="0" w:left="500" w:header="720" w:footer="720" w:gutter="0"/>
          <w:cols/>
          <w:docGrid w:linePitch="360"/>
        </w:sectPr>
      </w:pPr>
    </w:p>
    <w:p>
      <w:pPr>
        <w:pStyle w:val="BodyText"/>
        <w:spacing w:before="4"/>
        <w:rPr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7456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47" name="shape104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67456" coordorigin="-10,-10" coordsize="11926,820">
                <v:rect id="1048" style="position:absolute;left:0;top:0;width:11906;height:800" filled="t" fillcolor="#003366" stroked="f"/>
                <v:rect id="1049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behindDoc="0" locked="0" layoutInCell="1" simplePos="0" relativeHeight="251670528" allowOverlap="1" hidden="0">
            <wp:simplePos x="0" y="0"/>
            <wp:positionH relativeFrom="column">
              <wp:posOffset>2476462</wp:posOffset>
            </wp:positionH>
            <wp:positionV relativeFrom="paragraph">
              <wp:posOffset>2063204</wp:posOffset>
            </wp:positionV>
            <wp:extent cx="1929880" cy="4707255"/>
            <wp:effectExtent l="0" t="0" r="0" b="0"/>
            <wp:wrapTopAndBottom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880" cy="47072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>
          <w:lang w:eastAsia="ko-KR"/>
          <w:b/>
          <w:color w:val="000080"/>
          <w:sz w:val="28"/>
          <w:spacing w:val="-2"/>
          <w:rtl w:val="off"/>
        </w:rPr>
        <w:t xml:space="preserve">     </w:t>
      </w:r>
      <w:r>
        <w:rPr>
          <w:b/>
          <w:color w:val="000080"/>
          <w:sz w:val="28"/>
        </w:rPr>
        <w:t xml:space="preserve">Diagram 2: Quarterly Fee Rebate Cycle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ind w:left="100" w:right="0" w:firstLine="0"/>
        <w:jc w:val="left"/>
        <w:tabs>
          <w:tab w:val="left" w:pos="10235"/>
        </w:tabs>
        <w:spacing w:before="94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5</w:t>
      </w:r>
    </w:p>
    <w:sectPr>
      <w:pgSz w:w="11910" w:h="16840"/>
      <w:pgMar w:top="0" w:right="480" w:bottom="0" w:left="5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Symbol">
    <w:panose1 w:val="05050102010706020507"/>
    <w:family w:val="Symbol"/>
    <w:charset w:val="00"/>
    <w:notTrueType w:val="false"/>
    <w:sig w:usb0="00000001" w:usb1="00000001" w:usb2="00000001" w:usb3="00000001" w:csb0="80000000" w:csb1="00000001"/>
  </w:font>
  <w:font w:name="Arial">
    <w:panose1 w:val="020B0604020202020204"/>
    <w:family w:val="Arial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10"/>
  <w:drawingGridVerticalSpacing w:val="180"/>
  <w:displayHorizontalDrawingGridEvery w:val="2"/>
  <w:displayVerticalDrawingGridEvery w:val="1"/>
  <w:characterSpacingControl w:val="doNotCompress"/>
  <w:compat>
    <w:ulTrailSpace/>
    <w:shapeLayoutLikeWW8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ind w:left="0" w:right="0"/>
        <w:autoSpaceDE w:val="off"/>
        <w:autoSpaceDN w:val="off"/>
        <w:widowControl w:val="off"/>
        <w:jc w:val="left"/>
        <w:spacing w:after="0" w:before="0" w:line="24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</w:latentStyles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Table Normal"/>
    <w:uiPriority w:val="2"/>
    <w:qFormat/>
    <w:semiHidden/>
    <w:unhideWhenUsed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default="1" w:styleId="Normal">
    <w:name w:val="Normal"/>
    <w:uiPriority w:val="1"/>
    <w:qFormat/>
    <w:pPr/>
    <w:rPr>
      <w:lang w:val="en-US" w:eastAsia="en-US" w:bidi="ar-SA"/>
      <w:rFonts w:ascii="Arial" w:eastAsia="Arial" w:hAnsi="Arial" w:cs="Arial"/>
    </w:rPr>
  </w:style>
  <w:style w:type="paragraph" w:styleId="BodyText">
    <w:name w:val="Body Text"/>
    <w:uiPriority w:val="1"/>
    <w:basedOn w:val="Normal"/>
    <w:qFormat/>
    <w:pPr/>
    <w:rPr>
      <w:lang w:val="en-US" w:eastAsia="en-US" w:bidi="ar-SA"/>
      <w:rFonts w:ascii="Arial" w:eastAsia="Arial" w:hAnsi="Arial" w:cs="Arial"/>
      <w:sz w:val="22"/>
      <w:szCs w:val="22"/>
    </w:rPr>
  </w:style>
  <w:style w:type="paragraph" w:customStyle="1" w:styleId="Heading1">
    <w:name w:val="Heading 1"/>
    <w:uiPriority w:val="1"/>
    <w:basedOn w:val="Normal"/>
    <w:qFormat/>
    <w:pPr>
      <w:ind w:left="420"/>
      <w:outlineLvl w:val="1"/>
      <w:spacing w:before="91"/>
    </w:pPr>
    <w:rPr>
      <w:lang w:val="en-US" w:eastAsia="en-US" w:bidi="ar-SA"/>
      <w:rFonts w:ascii="Arial" w:eastAsia="Arial" w:hAnsi="Arial" w:cs="Arial"/>
      <w:b/>
      <w:bCs/>
      <w:sz w:val="28"/>
      <w:szCs w:val="28"/>
    </w:rPr>
  </w:style>
  <w:style w:type="paragraph" w:styleId="Title">
    <w:name w:val="Title"/>
    <w:uiPriority w:val="1"/>
    <w:basedOn w:val="Normal"/>
    <w:qFormat/>
    <w:pPr>
      <w:ind w:left="2287" w:right="2305"/>
      <w:jc w:val="center"/>
      <w:spacing w:before="82"/>
    </w:pPr>
    <w:rPr>
      <w:lang w:val="en-US" w:eastAsia="en-US" w:bidi="ar-SA"/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uiPriority w:val="1"/>
    <w:basedOn w:val="Normal"/>
    <w:qFormat/>
    <w:pPr/>
    <w:rPr>
      <w:lang w:val="en-US" w:eastAsia="en-US" w:bidi="ar-SA"/>
    </w:rPr>
  </w:style>
  <w:style w:type="paragraph" w:customStyle="1" w:styleId="TableParagraph">
    <w:name w:val="Table Paragraph"/>
    <w:uiPriority w:val="1"/>
    <w:basedOn w:val="Normal"/>
    <w:qFormat/>
    <w:pPr>
      <w:ind w:left="603" w:right="593"/>
      <w:jc w:val="center"/>
      <w:spacing w:before="67"/>
    </w:pPr>
    <w:rPr>
      <w:lang w:val="en-US" w:eastAsia="en-US" w:bidi="ar-SA"/>
      <w:rFonts w:ascii="Arial" w:eastAsia="Arial" w:hAnsi="Arial" w:cs="Arial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1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dc:description/>
  <cp:lastModifiedBy>1004</cp:lastModifiedBy>
  <cp:revision>1</cp:revision>
  <dcterms:created xsi:type="dcterms:W3CDTF">2025-09-15T06:59:49Z</dcterms:created>
  <dcterms:modified xsi:type="dcterms:W3CDTF">2025-09-16T02:25:30Z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(unspecified)</vt:lpwstr>
  </property>
  <property fmtid="{D5CDD505-2E9C-101B-9397-08002B2CF9AE}" pid="3" name="Producer">
    <vt:lpwstr>ReportLab PDF Library - www.reportlab.com</vt:lpwstr>
  </property>
</Properties>
</file>