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BodyText"/>
        <w:spacing w:before="4"/>
        <w:rPr>
          <w:rFonts w:ascii="Times New Roman"/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59264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59264" coordorigin="-10,-10" coordsize="11926,820">
                <v:rect id="1026" style="position:absolute;left:0;top:0;width:11906;height:800" filled="t" fillcolor="#003366" stroked="f"/>
                <v:rect id="1027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114300" distR="114300" behindDoc="1" locked="0" layoutInCell="1" simplePos="0" relativeHeight="251660288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10304650</wp:posOffset>
                </wp:positionV>
                <wp:extent cx="7573010" cy="39370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393700"/>
                          <a:chOff x="-6350" y="10304780"/>
                          <a:chExt cx="7573010" cy="393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811.39pt;width:596.3pt;height:31pt;mso-position-horizontal-relative:page;mso-position-vertical-relative:page;z-index:-251660288" coordorigin="-10,16228" coordsize="11926,620">
                <v:rect id="1029" style="position:absolute;left:0;top:16237;width:11906;height:600" filled="t" fillcolor="#003366" stroked="f"/>
                <v:rect id="1030" style="position:absolute;left:0;top:16237;width:11906;height:6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>
          <w:b/>
          <w:sz w:val="20"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column">
              <wp:posOffset>3029267</wp:posOffset>
            </wp:positionH>
            <wp:positionV relativeFrom="paragraph">
              <wp:posOffset>71735</wp:posOffset>
            </wp:positionV>
            <wp:extent cx="977900" cy="977900"/>
            <wp:effectExtent l="0" t="0" r="0" b="0"/>
            <wp:wrapNone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977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Title"/>
      </w:pPr>
      <w:r>
        <w:rPr>
          <w:color w:val="000080"/>
        </w:rPr>
        <w:t xml:space="preserve">GLIP Token </w:t>
      </w:r>
      <w:r>
        <w:rPr>
          <w:color w:val="000080"/>
          <w:spacing w:val="-2"/>
        </w:rPr>
        <w:t>Whitepaper</w:t>
      </w:r>
    </w:p>
    <w:p>
      <w:pPr>
        <w:pStyle w:val="BodyText"/>
        <w:rPr>
          <w:b/>
          <w:sz w:val="62"/>
        </w:rPr>
      </w:pPr>
    </w:p>
    <w:p>
      <w:pPr>
        <w:ind w:left="420" w:right="0" w:firstLine="0"/>
        <w:jc w:val="left"/>
        <w:spacing w:before="420"/>
        <w:rPr>
          <w:sz w:val="32"/>
        </w:rPr>
      </w:pPr>
      <w:r>
        <w:rPr>
          <w:sz w:val="32"/>
        </w:rPr>
        <w:t xml:space="preserve">Version 1.0 — </w:t>
      </w:r>
      <w:r>
        <w:rPr>
          <w:sz w:val="32"/>
          <w:spacing w:val="-4"/>
        </w:rPr>
        <w:t>2025</w:t>
      </w:r>
    </w:p>
    <w:p>
      <w:pPr>
        <w:pStyle w:val="BodyText"/>
        <w:spacing w:before="1"/>
        <w:rPr>
          <w:sz w:val="51"/>
        </w:rPr>
      </w:pPr>
    </w:p>
    <w:p>
      <w:pPr>
        <w:ind w:left="420" w:right="0" w:firstLine="0"/>
        <w:jc w:val="left"/>
        <w:spacing w:before="0"/>
        <w:rPr>
          <w:i/>
          <w:sz w:val="24"/>
        </w:rPr>
      </w:pPr>
      <w:r>
        <w:rPr>
          <w:i/>
          <w:color w:val="808080"/>
          <w:sz w:val="24"/>
        </w:rPr>
        <w:t xml:space="preserve">Prepared for the launch of GLIP Mainnet and GLIP </w:t>
      </w:r>
      <w:r>
        <w:rPr>
          <w:i/>
          <w:color w:val="808080"/>
          <w:sz w:val="24"/>
          <w:spacing w:val="-4"/>
        </w:rPr>
        <w:t>Coin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6"/>
        </w:rPr>
      </w:pPr>
    </w:p>
    <w:p>
      <w:pPr>
        <w:ind w:left="100" w:right="0" w:firstLine="0"/>
        <w:jc w:val="left"/>
        <w:tabs>
          <w:tab w:val="left" w:pos="10235"/>
        </w:tabs>
        <w:spacing w:before="95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1</w:t>
      </w:r>
    </w:p>
    <w:p>
      <w:pPr>
        <w:jc w:val="left"/>
        <w:spacing w:after="0"/>
        <w:rPr>
          <w:sz w:val="18"/>
        </w:rPr>
        <w:sectPr>
          <w:type w:val="continuous"/>
          <w:pgSz w:w="11910" w:h="16840"/>
          <w:pgMar w:top="0" w:right="480" w:bottom="0" w:left="500" w:header="720" w:footer="720" w:gutter="0"/>
          <w:cols/>
          <w:docGrid w:linePitch="360"/>
        </w:sectPr>
      </w:pPr>
    </w:p>
    <w:p>
      <w:pPr>
        <w:pStyle w:val="BodyText"/>
        <w:spacing w:before="4"/>
        <w:rPr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61312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61312" coordorigin="-10,-10" coordsize="11926,820">
                <v:rect id="1033" style="position:absolute;left:0;top:0;width:11906;height:800" filled="t" fillcolor="#003366" stroked="f"/>
                <v:rect id="1034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114300" distR="114300" behindDoc="1" locked="0" layoutInCell="1" simplePos="0" relativeHeight="251662336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10304650</wp:posOffset>
                </wp:positionV>
                <wp:extent cx="7573010" cy="393700"/>
                <wp:effectExtent l="0" t="0" r="0" b="0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393700"/>
                          <a:chOff x="-6350" y="10304780"/>
                          <a:chExt cx="7573010" cy="393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811.39pt;width:596.3pt;height:31pt;mso-position-horizontal-relative:page;mso-position-vertical-relative:page;z-index:-251662336" coordorigin="-10,16228" coordsize="11926,620">
                <v:rect id="1036" style="position:absolute;left:0;top:16237;width:11906;height:600" filled="t" fillcolor="#003366" stroked="f"/>
                <v:rect id="1037" style="position:absolute;left:0;top:16237;width:11906;height:6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ind w:left="420" w:right="0" w:firstLine="0"/>
        <w:jc w:val="left"/>
        <w:spacing w:before="91"/>
        <w:rPr>
          <w:b/>
          <w:sz w:val="28"/>
        </w:rPr>
      </w:pPr>
      <w:r>
        <w:rPr>
          <w:b/>
          <w:color w:val="000080"/>
          <w:sz w:val="28"/>
          <w:spacing w:val="-2"/>
        </w:rPr>
        <w:t>Abstract</w:t>
      </w:r>
    </w:p>
    <w:p>
      <w:pPr>
        <w:pStyle w:val="BodyText"/>
        <w:ind w:left="420" w:right="332"/>
        <w:jc w:val="both"/>
        <w:spacing w:before="221"/>
      </w:pPr>
      <w:r>
        <w:rPr/>
        <w:t>GLIP Token is an ERC</w:t>
      </w:r>
      <w:r>
        <w:rPr>
          <w:lang w:eastAsia="ko-KR"/>
          <w:rFonts w:ascii="MS Gothic" w:hAnsi="MS Gothic"/>
          <w:rtl w:val="off"/>
        </w:rPr>
        <w:t>-</w:t>
      </w:r>
      <w:r>
        <w:rPr/>
        <w:t>20 asset on Ethereum Mainnet (PoS) designed as the on</w:t>
      </w:r>
      <w:r>
        <w:rPr>
          <w:lang w:eastAsia="ko-KR"/>
          <w:rFonts w:ascii="MS Gothic" w:hAnsi="MS Gothic"/>
          <w:rtl w:val="off"/>
        </w:rPr>
        <w:t>-</w:t>
      </w:r>
      <w:r>
        <w:rPr/>
        <w:t>ramp to an independent GLIP Mainnet and its native GLIP Coin. It introduces a usage</w:t>
      </w:r>
      <w:r>
        <w:rPr>
          <w:lang w:eastAsia="ko-KR"/>
          <w:rFonts w:ascii="MS Gothic" w:hAnsi="MS Gothic"/>
          <w:rtl w:val="off"/>
        </w:rPr>
        <w:t>-</w:t>
      </w:r>
      <w:r>
        <w:rPr/>
        <w:t xml:space="preserve">driven </w:t>
      </w:r>
      <w:r>
        <w:rPr/>
        <w:t>fee</w:t>
      </w:r>
      <w:r>
        <w:rPr>
          <w:lang w:eastAsia="ko-KR"/>
          <w:rFonts w:ascii="MS Gothic" w:hAnsi="MS Gothic"/>
          <w:rtl w:val="off"/>
        </w:rPr>
        <w:t>-</w:t>
      </w:r>
      <w:r>
        <w:rPr/>
        <w:t>rebate mechanism that periodically returns a portion of network fees to the sending wallet via on</w:t>
      </w:r>
      <w:r>
        <w:rPr>
          <w:lang w:eastAsia="ko-KR"/>
          <w:rFonts w:ascii="MS Gothic" w:hAnsi="MS Gothic"/>
          <w:rtl w:val="off"/>
        </w:rPr>
        <w:t>-</w:t>
      </w:r>
      <w:r>
        <w:rPr/>
        <w:t>chain airdrops. The objective is to reduce effective transfer costs, encourage healthy on</w:t>
      </w:r>
      <w:r>
        <w:rPr>
          <w:lang w:eastAsia="ko-KR"/>
          <w:rFonts w:ascii="MS Gothic" w:hAnsi="MS Gothic"/>
          <w:rtl w:val="off"/>
        </w:rPr>
        <w:t>-</w:t>
      </w:r>
      <w:r>
        <w:rPr/>
        <w:t>chain activity, and create a more user</w:t>
      </w:r>
      <w:r>
        <w:rPr>
          <w:lang w:eastAsia="ko-KR"/>
          <w:rFonts w:ascii="MS Gothic" w:hAnsi="MS Gothic"/>
          <w:rtl w:val="off"/>
        </w:rPr>
        <w:t>-</w:t>
      </w:r>
      <w:r>
        <w:rPr/>
        <w:t>aligned transaction experience.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33"/>
        </w:rPr>
      </w:pPr>
    </w:p>
    <w:p>
      <w:pPr>
        <w:pStyle w:val="Heading1"/>
        <w:spacing w:before="0"/>
      </w:pPr>
      <w:r>
        <w:rPr>
          <w:color w:val="000080"/>
        </w:rPr>
        <w:t xml:space="preserve">Problem </w:t>
      </w:r>
      <w:r>
        <w:rPr>
          <w:color w:val="000080"/>
          <w:spacing w:val="-2"/>
        </w:rPr>
        <w:t>Statement</w:t>
      </w:r>
    </w:p>
    <w:p>
      <w:pPr>
        <w:pStyle w:val="BodyText"/>
        <w:ind w:left="420" w:right="257"/>
        <w:spacing w:before="221" w:line="254" w:lineRule="auto"/>
      </w:pPr>
      <w:r>
        <w:rPr/>
        <w:t>Layer</w:t>
      </w:r>
      <w:r>
        <w:rPr>
          <w:lang w:eastAsia="ko-KR"/>
          <w:rFonts w:ascii="MS Gothic" w:hAnsi="MS Gothic"/>
          <w:rtl w:val="off"/>
        </w:rPr>
        <w:t>-</w:t>
      </w:r>
      <w:r>
        <w:rPr/>
        <w:t>1</w:t>
      </w:r>
      <w:r>
        <w:rPr>
          <w:spacing w:val="24"/>
        </w:rPr>
        <w:t xml:space="preserve"> </w:t>
      </w:r>
      <w:r>
        <w:rPr/>
        <w:t>and</w:t>
      </w:r>
      <w:r>
        <w:rPr>
          <w:spacing w:val="24"/>
        </w:rPr>
        <w:t xml:space="preserve"> </w:t>
      </w:r>
      <w:r>
        <w:rPr/>
        <w:t>Layer</w:t>
      </w:r>
      <w:r>
        <w:rPr>
          <w:lang w:eastAsia="ko-KR"/>
          <w:rFonts w:ascii="MS Gothic" w:hAnsi="MS Gothic"/>
          <w:rtl w:val="off"/>
        </w:rPr>
        <w:t>-</w:t>
      </w:r>
      <w:r>
        <w:rPr/>
        <w:t>2</w:t>
      </w:r>
      <w:r>
        <w:rPr>
          <w:spacing w:val="24"/>
        </w:rPr>
        <w:t xml:space="preserve"> </w:t>
      </w:r>
      <w:r>
        <w:rPr/>
        <w:t>networks</w:t>
      </w:r>
      <w:r>
        <w:rPr>
          <w:spacing w:val="24"/>
        </w:rPr>
        <w:t xml:space="preserve"> </w:t>
      </w:r>
      <w:r>
        <w:rPr/>
        <w:t>still</w:t>
      </w:r>
      <w:r>
        <w:rPr>
          <w:spacing w:val="24"/>
        </w:rPr>
        <w:t xml:space="preserve"> </w:t>
      </w:r>
      <w:r>
        <w:rPr/>
        <w:t>suffer</w:t>
      </w:r>
      <w:r>
        <w:rPr>
          <w:spacing w:val="24"/>
        </w:rPr>
        <w:t xml:space="preserve"> </w:t>
      </w:r>
      <w:r>
        <w:rPr/>
        <w:t>from</w:t>
      </w:r>
      <w:r>
        <w:rPr>
          <w:spacing w:val="24"/>
        </w:rPr>
        <w:t xml:space="preserve"> </w:t>
      </w:r>
      <w:r>
        <w:rPr/>
        <w:t>a</w:t>
      </w:r>
      <w:r>
        <w:rPr>
          <w:spacing w:val="24"/>
        </w:rPr>
        <w:t xml:space="preserve"> </w:t>
      </w:r>
      <w:r>
        <w:rPr/>
        <w:t>trade</w:t>
      </w:r>
      <w:r>
        <w:rPr>
          <w:lang w:eastAsia="ko-KR"/>
          <w:rFonts w:ascii="MS Gothic" w:hAnsi="MS Gothic"/>
          <w:rtl w:val="off"/>
        </w:rPr>
        <w:t>-</w:t>
      </w:r>
      <w:r>
        <w:rPr/>
        <w:t>off</w:t>
      </w:r>
      <w:r>
        <w:rPr>
          <w:spacing w:val="24"/>
        </w:rPr>
        <w:t xml:space="preserve"> </w:t>
      </w:r>
      <w:r>
        <w:rPr/>
        <w:t>among</w:t>
      </w:r>
      <w:r>
        <w:rPr>
          <w:spacing w:val="24"/>
        </w:rPr>
        <w:t xml:space="preserve"> </w:t>
      </w:r>
      <w:r>
        <w:rPr/>
        <w:t>speed,</w:t>
      </w:r>
      <w:r>
        <w:rPr>
          <w:spacing w:val="24"/>
        </w:rPr>
        <w:t xml:space="preserve"> </w:t>
      </w:r>
      <w:r>
        <w:rPr/>
        <w:t>security,</w:t>
      </w:r>
      <w:r>
        <w:rPr>
          <w:spacing w:val="24"/>
        </w:rPr>
        <w:t xml:space="preserve"> </w:t>
      </w:r>
      <w:r>
        <w:rPr/>
        <w:t>and</w:t>
      </w:r>
      <w:r>
        <w:rPr>
          <w:spacing w:val="24"/>
        </w:rPr>
        <w:t xml:space="preserve"> </w:t>
      </w:r>
      <w:r>
        <w:rPr/>
        <w:t>cost.</w:t>
      </w:r>
      <w:r>
        <w:rPr>
          <w:spacing w:val="24"/>
        </w:rPr>
        <w:t xml:space="preserve"> </w:t>
      </w:r>
      <w:r>
        <w:rPr/>
        <w:t>Users face unpredictable fees during congestion; merchants and remittance users struggle to forecast costs; and</w:t>
      </w:r>
      <w:r>
        <w:rPr>
          <w:spacing w:val="40"/>
        </w:rPr>
        <w:t xml:space="preserve"> </w:t>
      </w:r>
      <w:r>
        <w:rPr/>
        <w:t>security</w:t>
      </w:r>
      <w:r>
        <w:rPr>
          <w:spacing w:val="40"/>
        </w:rPr>
        <w:t xml:space="preserve"> </w:t>
      </w:r>
      <w:r>
        <w:rPr/>
        <w:t>incidents—especially</w:t>
      </w:r>
      <w:r>
        <w:rPr>
          <w:spacing w:val="40"/>
        </w:rPr>
        <w:t xml:space="preserve"> </w:t>
      </w:r>
      <w:r>
        <w:rPr/>
        <w:t>around</w:t>
      </w:r>
      <w:r>
        <w:rPr>
          <w:spacing w:val="40"/>
        </w:rPr>
        <w:t xml:space="preserve"> </w:t>
      </w:r>
      <w:r>
        <w:rPr/>
        <w:t>bridges—have</w:t>
      </w:r>
      <w:r>
        <w:rPr>
          <w:spacing w:val="40"/>
        </w:rPr>
        <w:t xml:space="preserve"> </w:t>
      </w:r>
      <w:r>
        <w:rPr/>
        <w:t>caused</w:t>
      </w:r>
      <w:r>
        <w:rPr>
          <w:spacing w:val="40"/>
        </w:rPr>
        <w:t xml:space="preserve"> </w:t>
      </w:r>
      <w:r>
        <w:rPr/>
        <w:t>real</w:t>
      </w:r>
      <w:r>
        <w:rPr>
          <w:spacing w:val="40"/>
        </w:rPr>
        <w:t xml:space="preserve"> </w:t>
      </w:r>
      <w:r>
        <w:rPr/>
        <w:t>losses.</w:t>
      </w:r>
      <w:r>
        <w:rPr>
          <w:spacing w:val="40"/>
        </w:rPr>
        <w:t xml:space="preserve"> </w:t>
      </w:r>
      <w:r>
        <w:rPr/>
        <w:t>GLIP</w:t>
      </w:r>
      <w:r>
        <w:rPr>
          <w:spacing w:val="40"/>
        </w:rPr>
        <w:t xml:space="preserve"> </w:t>
      </w:r>
      <w:r>
        <w:rPr/>
        <w:t>aims</w:t>
      </w:r>
      <w:r>
        <w:rPr>
          <w:spacing w:val="40"/>
        </w:rPr>
        <w:t xml:space="preserve"> </w:t>
      </w:r>
      <w:r>
        <w:rPr/>
        <w:t>to</w:t>
      </w:r>
      <w:r>
        <w:rPr>
          <w:spacing w:val="40"/>
        </w:rPr>
        <w:t xml:space="preserve"> </w:t>
      </w:r>
      <w:r>
        <w:rPr/>
        <w:t>deliver</w:t>
      </w:r>
      <w:r>
        <w:rPr>
          <w:spacing w:val="40"/>
        </w:rPr>
        <w:t xml:space="preserve"> </w:t>
      </w:r>
      <w:r>
        <w:rPr/>
        <w:t>a practical alternative: predictable performance, strong security assumptions, and a cost</w:t>
      </w:r>
      <w:r>
        <w:rPr>
          <w:lang w:eastAsia="ko-KR"/>
          <w:rFonts w:ascii="MS Gothic" w:hAnsi="MS Gothic"/>
          <w:rtl w:val="off"/>
        </w:rPr>
        <w:t>-</w:t>
      </w:r>
      <w:r>
        <w:rPr/>
        <w:t>rebate system that directly benefits end users.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1"/>
        <w:spacing w:before="1"/>
      </w:pPr>
      <w:r>
        <w:rPr>
          <w:color w:val="000080"/>
        </w:rPr>
        <w:t xml:space="preserve">GLIP </w:t>
      </w:r>
      <w:r>
        <w:rPr>
          <w:color w:val="000080"/>
          <w:spacing w:val="-2"/>
        </w:rPr>
        <w:t>Overview</w:t>
      </w:r>
    </w:p>
    <w:p>
      <w:pPr>
        <w:pStyle w:val="BodyText"/>
        <w:ind w:left="420" w:right="384"/>
        <w:jc w:val="both"/>
        <w:spacing w:before="220" w:line="261" w:lineRule="auto"/>
      </w:pPr>
      <w:r>
        <w:rPr/>
        <w:t>Phase 1 launches GLIP as an ERC</w:t>
      </w:r>
      <w:r>
        <w:rPr>
          <w:lang w:eastAsia="ko-KR"/>
          <w:rFonts w:ascii="MS Gothic" w:hAnsi="MS Gothic"/>
          <w:rtl w:val="off"/>
        </w:rPr>
        <w:t>-</w:t>
      </w:r>
      <w:r>
        <w:rPr/>
        <w:t>20 for immediate liquidity and integrations. Phase 2 migrates to GLIP Mainnet via a 1:1 swap. On GLIP Mainnet, GLIP Coin powers transactions, staking, and governance. The rebate model aggregates paid fees and airdrops a configurable portion back to sender wallets each quarter, reducing lifetime transaction costs.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2"/>
        </w:rPr>
      </w:pPr>
    </w:p>
    <w:p>
      <w:pPr>
        <w:pStyle w:val="Heading1"/>
        <w:spacing w:before="0"/>
      </w:pPr>
      <w:r>
        <w:rPr>
          <w:color w:val="000080"/>
          <w:spacing w:val="-2"/>
        </w:rPr>
        <w:t>Architecture</w:t>
      </w:r>
    </w:p>
    <w:p>
      <w:pPr>
        <w:pStyle w:val="BodyText"/>
        <w:ind w:left="420" w:right="353"/>
        <w:spacing w:before="234" w:line="242" w:lineRule="auto"/>
      </w:pPr>
      <w:r>
        <w:rPr/>
        <w:t>Ethereum Launch: GLIP uses Ethereum (PoS) for issuance and custody while the community grows.</w:t>
      </w:r>
      <w:r>
        <w:rPr>
          <w:spacing w:val="80"/>
        </w:rPr>
        <w:t xml:space="preserve"> </w:t>
      </w:r>
      <w:r>
        <w:rPr/>
        <w:t>GLIP</w:t>
      </w:r>
      <w:r>
        <w:rPr>
          <w:spacing w:val="25"/>
        </w:rPr>
        <w:t xml:space="preserve"> </w:t>
      </w:r>
      <w:r>
        <w:rPr/>
        <w:t>Mainnet:</w:t>
      </w:r>
      <w:r>
        <w:rPr>
          <w:spacing w:val="25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Delegated</w:t>
      </w:r>
      <w:r>
        <w:rPr>
          <w:spacing w:val="25"/>
        </w:rPr>
        <w:t xml:space="preserve"> </w:t>
      </w:r>
      <w:r>
        <w:rPr/>
        <w:t>Proof</w:t>
      </w:r>
      <w:r>
        <w:rPr>
          <w:lang w:eastAsia="ko-KR"/>
          <w:rFonts w:ascii="MS Gothic" w:hAnsi="MS Gothic"/>
          <w:rtl w:val="off"/>
        </w:rPr>
        <w:t>-</w:t>
      </w:r>
      <w:r>
        <w:rPr/>
        <w:t>of</w:t>
      </w:r>
      <w:r>
        <w:rPr>
          <w:lang w:eastAsia="ko-KR"/>
          <w:rFonts w:ascii="MS Gothic" w:hAnsi="MS Gothic"/>
          <w:rtl w:val="off"/>
        </w:rPr>
        <w:t>-</w:t>
      </w:r>
      <w:r>
        <w:rPr/>
        <w:t>Stake</w:t>
      </w:r>
      <w:r>
        <w:rPr>
          <w:spacing w:val="25"/>
        </w:rPr>
        <w:t xml:space="preserve"> </w:t>
      </w:r>
      <w:r>
        <w:rPr/>
        <w:t>(DPoS)</w:t>
      </w:r>
      <w:r>
        <w:rPr>
          <w:spacing w:val="25"/>
        </w:rPr>
        <w:t xml:space="preserve"> </w:t>
      </w:r>
      <w:r>
        <w:rPr/>
        <w:t>design</w:t>
      </w:r>
      <w:r>
        <w:rPr>
          <w:spacing w:val="25"/>
        </w:rPr>
        <w:t xml:space="preserve"> </w:t>
      </w:r>
      <w:r>
        <w:rPr/>
        <w:t>with</w:t>
      </w:r>
      <w:r>
        <w:rPr>
          <w:spacing w:val="25"/>
        </w:rPr>
        <w:t xml:space="preserve"> </w:t>
      </w:r>
      <w:r>
        <w:rPr/>
        <w:t>fast</w:t>
      </w:r>
      <w:r>
        <w:rPr>
          <w:spacing w:val="25"/>
        </w:rPr>
        <w:t xml:space="preserve"> </w:t>
      </w:r>
      <w:r>
        <w:rPr/>
        <w:t>finality,</w:t>
      </w:r>
      <w:r>
        <w:rPr>
          <w:spacing w:val="25"/>
        </w:rPr>
        <w:t xml:space="preserve"> </w:t>
      </w:r>
      <w:r>
        <w:rPr/>
        <w:t>EVM</w:t>
      </w:r>
      <w:r>
        <w:rPr>
          <w:spacing w:val="25"/>
        </w:rPr>
        <w:t xml:space="preserve"> </w:t>
      </w:r>
      <w:r>
        <w:rPr/>
        <w:t>compatibility,</w:t>
      </w:r>
      <w:r>
        <w:rPr>
          <w:spacing w:val="25"/>
        </w:rPr>
        <w:t xml:space="preserve"> </w:t>
      </w:r>
      <w:r>
        <w:rPr/>
        <w:t>and formally specified state transitions. Bridging: swaps occur via audited smart contracts with a one</w:t>
      </w:r>
      <w:r>
        <w:rPr>
          <w:lang w:eastAsia="ko-KR"/>
          <w:rFonts w:ascii="MS Gothic" w:hAnsi="MS Gothic"/>
          <w:rtl w:val="off"/>
        </w:rPr>
        <w:t>-</w:t>
      </w:r>
      <w:r>
        <w:rPr/>
        <w:t>way</w:t>
      </w:r>
      <w:r>
        <w:rPr>
          <w:spacing w:val="40"/>
        </w:rPr>
        <w:t xml:space="preserve"> </w:t>
      </w:r>
      <w:r>
        <w:rPr/>
        <w:t>or two</w:t>
      </w:r>
      <w:r>
        <w:rPr>
          <w:lang w:eastAsia="ko-KR"/>
          <w:rFonts w:ascii="MS Gothic" w:hAnsi="MS Gothic"/>
          <w:rtl w:val="off"/>
        </w:rPr>
        <w:t>-</w:t>
      </w:r>
      <w:r>
        <w:rPr/>
        <w:t>way peg depending on governance outcomes and security reviews.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1"/>
        <w:spacing w:before="0"/>
      </w:pPr>
      <w:r>
        <w:rPr>
          <w:color w:val="000080"/>
        </w:rPr>
        <w:t xml:space="preserve">Transaction &amp; Rebate </w:t>
      </w:r>
      <w:r>
        <w:rPr>
          <w:color w:val="000080"/>
          <w:spacing w:val="-2"/>
        </w:rPr>
        <w:t>Mechanism</w:t>
      </w:r>
    </w:p>
    <w:p>
      <w:pPr>
        <w:pStyle w:val="BodyText"/>
        <w:ind w:left="420" w:right="384"/>
        <w:jc w:val="both"/>
        <w:spacing w:before="221" w:line="254" w:lineRule="auto"/>
      </w:pPr>
      <w:r>
        <w:rPr/>
        <w:t>When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user</w:t>
      </w:r>
      <w:r>
        <w:rPr>
          <w:spacing w:val="-5"/>
        </w:rPr>
        <w:t xml:space="preserve"> </w:t>
      </w:r>
      <w:r>
        <w:rPr/>
        <w:t>sends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transaction,</w:t>
      </w:r>
      <w:r>
        <w:rPr>
          <w:spacing w:val="-5"/>
        </w:rPr>
        <w:t xml:space="preserve"> </w:t>
      </w:r>
      <w:r>
        <w:rPr/>
        <w:t>they</w:t>
      </w:r>
      <w:r>
        <w:rPr>
          <w:spacing w:val="-5"/>
        </w:rPr>
        <w:t xml:space="preserve"> </w:t>
      </w:r>
      <w:r>
        <w:rPr/>
        <w:t>pay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network</w:t>
      </w:r>
      <w:r>
        <w:rPr>
          <w:spacing w:val="-5"/>
        </w:rPr>
        <w:t xml:space="preserve"> </w:t>
      </w:r>
      <w:r>
        <w:rPr/>
        <w:t>fee.</w:t>
      </w:r>
      <w:r>
        <w:rPr>
          <w:spacing w:val="-5"/>
        </w:rPr>
        <w:t xml:space="preserve"> </w:t>
      </w:r>
      <w:r>
        <w:rPr/>
        <w:t>All</w:t>
      </w:r>
      <w:r>
        <w:rPr>
          <w:spacing w:val="-5"/>
        </w:rPr>
        <w:t xml:space="preserve"> </w:t>
      </w:r>
      <w:r>
        <w:rPr/>
        <w:t>fees</w:t>
      </w:r>
      <w:r>
        <w:rPr>
          <w:spacing w:val="-5"/>
        </w:rPr>
        <w:t xml:space="preserve"> </w:t>
      </w:r>
      <w:r>
        <w:rPr/>
        <w:t>are</w:t>
      </w:r>
      <w:r>
        <w:rPr>
          <w:spacing w:val="-5"/>
        </w:rPr>
        <w:t xml:space="preserve"> </w:t>
      </w:r>
      <w:r>
        <w:rPr/>
        <w:t>recorded</w:t>
      </w:r>
      <w:r>
        <w:rPr>
          <w:spacing w:val="-5"/>
        </w:rPr>
        <w:t xml:space="preserve"> </w:t>
      </w:r>
      <w:r>
        <w:rPr/>
        <w:t>on</w:t>
      </w:r>
      <w:r>
        <w:rPr>
          <w:lang w:eastAsia="ko-KR"/>
          <w:rFonts w:ascii="MS Gothic" w:hAnsi="MS Gothic"/>
          <w:rtl w:val="off"/>
        </w:rPr>
        <w:t>-</w:t>
      </w:r>
      <w:r>
        <w:rPr/>
        <w:t>chain</w:t>
      </w:r>
      <w:r>
        <w:rPr>
          <w:spacing w:val="-5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attributed to the sender address. At the end of each quarter, an on</w:t>
      </w:r>
      <w:r>
        <w:rPr>
          <w:lang w:eastAsia="ko-KR"/>
          <w:rFonts w:ascii="MS Gothic" w:hAnsi="MS Gothic"/>
          <w:rtl w:val="off"/>
        </w:rPr>
        <w:t>-</w:t>
      </w:r>
      <w:r>
        <w:rPr/>
        <w:t>chain distributor contract computes rebate shares for all eligible senders and executes a batched airdrop in a native token on GLIP Mainnet. The rebate percentage (e.g., R%) is set by governance within a min/max range and may vary by quarter to balance sustainability and incentives.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3"/>
        </w:rPr>
      </w:pPr>
    </w:p>
    <w:p>
      <w:pPr>
        <w:pStyle w:val="Heading1"/>
        <w:spacing w:before="0"/>
      </w:pPr>
      <w:r>
        <w:rPr>
          <w:color w:val="000080"/>
        </w:rPr>
        <w:t xml:space="preserve">Rebate Math </w:t>
      </w:r>
      <w:r>
        <w:rPr>
          <w:color w:val="000080"/>
          <w:spacing w:val="-2"/>
        </w:rPr>
        <w:t>(Illustrative)</w:t>
      </w:r>
    </w:p>
    <w:p>
      <w:pPr>
        <w:pStyle w:val="BodyText"/>
        <w:ind w:left="420" w:right="437"/>
        <w:jc w:val="both"/>
        <w:spacing w:before="234" w:line="259" w:lineRule="auto"/>
      </w:pPr>
      <w:r>
        <w:rPr/>
        <w:t xml:space="preserve">Let F_i be the total fees paid by sender i during a quarter, and R the quarterly rebate rate. Then </w:t>
      </w:r>
      <w:r>
        <w:rPr/>
        <w:t xml:space="preserve">sender i’s rebate is Rebate_i = F_i × R, subject to eligibility rules (e.g., no sybil behaviors). If quarterly fee pool equals </w:t>
      </w:r>
      <w:r>
        <w:rPr>
          <w:rFonts w:ascii="Symbol" w:hAnsi="Symbol"/>
        </w:rPr>
        <w:t></w:t>
      </w:r>
      <w:r>
        <w:rPr/>
        <w:t xml:space="preserve">F, then total rebates distributed equal </w:t>
      </w:r>
      <w:r>
        <w:rPr>
          <w:rFonts w:ascii="Symbol" w:hAnsi="Symbol"/>
        </w:rPr>
        <w:t></w:t>
      </w:r>
      <w:r>
        <w:rPr/>
        <w:t>F × R. Any residual may accrue to an ecosystem fund per governance.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ind w:left="100" w:right="0" w:firstLine="0"/>
        <w:jc w:val="left"/>
        <w:tabs>
          <w:tab w:val="left" w:pos="10235"/>
        </w:tabs>
        <w:spacing w:before="95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2</w:t>
      </w:r>
    </w:p>
    <w:p>
      <w:pPr>
        <w:jc w:val="left"/>
        <w:spacing w:after="0"/>
        <w:rPr>
          <w:sz w:val="18"/>
        </w:rPr>
        <w:sectPr>
          <w:pgSz w:w="11910" w:h="16840"/>
          <w:pgMar w:top="0" w:right="480" w:bottom="0" w:left="500" w:header="720" w:footer="720" w:gutter="0"/>
          <w:cols/>
          <w:docGrid w:linePitch="360"/>
        </w:sectPr>
      </w:pPr>
    </w:p>
    <w:p>
      <w:pPr>
        <w:pStyle w:val="BodyText"/>
        <w:spacing w:before="4"/>
        <w:rPr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63360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63360" coordorigin="-10,-10" coordsize="11926,820">
                <v:rect id="1039" style="position:absolute;left:0;top:0;width:11906;height:800" filled="t" fillcolor="#003366" stroked="f"/>
                <v:rect id="1040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114300" distR="114300" behindDoc="1" locked="0" layoutInCell="1" simplePos="0" relativeHeight="251664384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10304650</wp:posOffset>
                </wp:positionV>
                <wp:extent cx="7573010" cy="393700"/>
                <wp:effectExtent l="0" t="0" r="0" b="0"/>
                <wp:wrapNone/>
                <wp:docPr id="1041" name="shape104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393700"/>
                          <a:chOff x="-6350" y="10304780"/>
                          <a:chExt cx="7573010" cy="393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811.39pt;width:596.3pt;height:31pt;mso-position-horizontal-relative:page;mso-position-vertical-relative:page;z-index:-251664384" coordorigin="-10,16228" coordsize="11926,620">
                <v:rect id="1042" style="position:absolute;left:0;top:16237;width:11906;height:600" filled="t" fillcolor="#003366" stroked="f"/>
                <v:rect id="1043" style="position:absolute;left:0;top:16237;width:11906;height:6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ind w:left="420" w:right="0" w:firstLine="0"/>
        <w:jc w:val="left"/>
        <w:spacing w:before="91"/>
        <w:rPr>
          <w:b/>
          <w:sz w:val="28"/>
        </w:rPr>
      </w:pPr>
      <w:r>
        <w:rPr>
          <w:b/>
          <w:color w:val="000080"/>
          <w:sz w:val="28"/>
          <w:spacing w:val="-2"/>
        </w:rPr>
        <w:t>Tokenomics</w:t>
      </w:r>
    </w:p>
    <w:p>
      <w:pPr>
        <w:pStyle w:val="BodyText"/>
        <w:ind w:left="420" w:right="384"/>
        <w:jc w:val="both"/>
        <w:spacing w:before="221" w:line="261" w:lineRule="auto"/>
      </w:pPr>
      <w:r>
        <w:rPr/>
        <w:t>Allocation: Public Sale 40%, Team &amp; Advisors 15% (3</w:t>
      </w:r>
      <w:r>
        <w:rPr>
          <w:lang w:eastAsia="ko-KR"/>
          <w:rFonts w:ascii="MS Gothic" w:hAnsi="MS Gothic"/>
          <w:rtl w:val="off"/>
        </w:rPr>
        <w:t>-</w:t>
      </w:r>
      <w:r>
        <w:rPr/>
        <w:t>year vesting), Ecosystem &amp; Partnerships 25%, Community &amp; Staking 15%, Reserve 5%. Supply: fixed cap with no additional mint after genesis on</w:t>
      </w:r>
      <w:r>
        <w:rPr>
          <w:spacing w:val="40"/>
        </w:rPr>
        <w:t xml:space="preserve"> </w:t>
      </w:r>
      <w:r>
        <w:rPr/>
        <w:t>GLIP Mainnet. Incentives: staking rewards funded from emissions schedule (if any) and protocol revenues per governance.</w:t>
      </w:r>
    </w:p>
    <w:p>
      <w:pPr>
        <w:pStyle w:val="BodyText"/>
        <w:rPr>
          <w:sz w:val="20"/>
        </w:rPr>
      </w:pPr>
    </w:p>
    <w:p>
      <w:pPr>
        <w:pStyle w:val="BodyText"/>
        <w:spacing w:after="1" w:before="2"/>
        <w:rPr>
          <w:sz w:val="17"/>
        </w:rPr>
      </w:pPr>
    </w:p>
    <w:tbl>
      <w:tblPr>
        <w:tblW w:w="0" w:type="auto"/>
        <w:tblInd w:w="1457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00"/>
        <w:gridCol w:w="4000"/>
      </w:tblGrid>
      <w:tr>
        <w:trPr>
          <w:trHeight w:val="350" w:hRule="atLeast"/>
        </w:trPr>
        <w:tc>
          <w:tcPr>
            <w:tcW w:w="4000" w:type="dxa"/>
            <w:shd w:val="clear" w:color="auto" w:fill="003366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pacing w:val="-2"/>
              </w:rPr>
              <w:t>Category</w:t>
            </w:r>
          </w:p>
        </w:tc>
        <w:tc>
          <w:tcPr>
            <w:tcW w:w="4000" w:type="dxa"/>
            <w:shd w:val="clear" w:color="auto" w:fill="003366"/>
          </w:tcPr>
          <w:p>
            <w:pPr>
              <w:pStyle w:val="TableParagraph"/>
              <w:ind w:left="60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  <w:spacing w:val="-2"/>
              </w:rPr>
              <w:t>Allocation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Public </w:t>
            </w:r>
            <w:r>
              <w:rPr>
                <w:sz w:val="20"/>
                <w:spacing w:val="-4"/>
              </w:rPr>
              <w:t>Sale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  <w:spacing w:val="-5"/>
              </w:rPr>
              <w:t>40%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Team &amp; </w:t>
            </w:r>
            <w:r>
              <w:rPr>
                <w:sz w:val="20"/>
                <w:spacing w:val="-2"/>
              </w:rPr>
              <w:t>Advisors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15% (3-year </w:t>
            </w:r>
            <w:r>
              <w:rPr>
                <w:sz w:val="20"/>
                <w:spacing w:val="-2"/>
              </w:rPr>
              <w:t>vesting)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Ecosystem &amp; </w:t>
            </w:r>
            <w:r>
              <w:rPr>
                <w:sz w:val="20"/>
                <w:spacing w:val="-2"/>
              </w:rPr>
              <w:t>Partnerships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  <w:spacing w:val="-5"/>
              </w:rPr>
              <w:t>25%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Community Rewards &amp; </w:t>
            </w:r>
            <w:r>
              <w:rPr>
                <w:sz w:val="20"/>
                <w:spacing w:val="-2"/>
              </w:rPr>
              <w:t>Staking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  <w:spacing w:val="-5"/>
              </w:rPr>
              <w:t>15%</w:t>
            </w:r>
          </w:p>
        </w:tc>
      </w:tr>
      <w:tr>
        <w:trPr>
          <w:trHeight w:val="350" w:hRule="atLeast"/>
        </w:trPr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Reserve </w:t>
            </w:r>
            <w:r>
              <w:rPr>
                <w:sz w:val="20"/>
                <w:spacing w:val="-4"/>
              </w:rPr>
              <w:t>Fund</w:t>
            </w:r>
          </w:p>
        </w:tc>
        <w:tc>
          <w:tcPr>
            <w:tcW w:w="4000" w:type="dxa"/>
            <w:shd w:val="clear" w:color="auto" w:fill="E6F2FF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  <w:spacing w:val="-5"/>
              </w:rPr>
              <w:t>5%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  <w:spacing w:before="1"/>
      </w:pPr>
      <w:r>
        <w:rPr>
          <w:color w:val="000080"/>
          <w:spacing w:val="-2"/>
        </w:rPr>
        <w:t>Governance</w:t>
      </w:r>
    </w:p>
    <w:p>
      <w:pPr>
        <w:pStyle w:val="BodyText"/>
        <w:ind w:left="420" w:right="437"/>
        <w:jc w:val="both"/>
        <w:spacing w:before="234" w:line="259" w:lineRule="auto"/>
      </w:pPr>
      <w:r>
        <w:rPr/>
        <w:t xml:space="preserve">Proposals cover parameter changes (e.g., R%), treasury usage, validator rules, and upgrades. </w:t>
      </w:r>
      <w:r>
        <w:rPr/>
        <w:t>Voting power is proportional to staked GLIP Coin with safeguards (quorum, timelock, emergency pause). All proposals, votes, and outcomes are recorded on</w:t>
      </w:r>
      <w:r>
        <w:rPr>
          <w:lang w:eastAsia="ko-KR"/>
          <w:rFonts w:ascii="MS Gothic" w:hAnsi="MS Gothic"/>
          <w:rtl w:val="off"/>
        </w:rPr>
        <w:t>-</w:t>
      </w:r>
      <w:r>
        <w:rPr/>
        <w:t>chain.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1"/>
        <w:spacing w:before="0"/>
      </w:pPr>
      <w:r>
        <w:rPr>
          <w:color w:val="000080"/>
          <w:spacing w:val="-2"/>
        </w:rPr>
        <w:t>Security</w:t>
      </w:r>
    </w:p>
    <w:p>
      <w:pPr>
        <w:pStyle w:val="BodyText"/>
        <w:ind w:left="420" w:right="436"/>
        <w:jc w:val="both"/>
        <w:spacing w:before="235" w:line="266" w:lineRule="auto"/>
      </w:pPr>
      <w:r>
        <w:rPr/>
        <w:t xml:space="preserve">Audits: all core contracts and bridges undergo independent audits prior to mainnet. Bug Bounty: public bounty program encourages responsible disclosure. Operational Security: staged rollouts, </w:t>
      </w:r>
      <w:r>
        <w:rPr/>
        <w:t>guarded parameters, and circuit breakers to pause distribution if anomalies are detected.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1"/>
        <w:spacing w:before="0"/>
      </w:pPr>
      <w:r>
        <w:rPr>
          <w:color w:val="000080"/>
        </w:rPr>
        <w:t xml:space="preserve">Swap &amp; </w:t>
      </w:r>
      <w:r>
        <w:rPr>
          <w:color w:val="000080"/>
          <w:spacing w:val="-2"/>
        </w:rPr>
        <w:t>Migration</w:t>
      </w:r>
    </w:p>
    <w:p>
      <w:pPr>
        <w:pStyle w:val="BodyText"/>
        <w:ind w:left="420" w:right="384"/>
        <w:jc w:val="both"/>
        <w:spacing w:before="221" w:line="252" w:lineRule="auto"/>
      </w:pPr>
      <w:r>
        <w:rPr/>
        <w:t>Upon</w:t>
      </w:r>
      <w:r>
        <w:rPr>
          <w:spacing w:val="-4"/>
        </w:rPr>
        <w:t xml:space="preserve"> </w:t>
      </w:r>
      <w:r>
        <w:rPr/>
        <w:t>GLIP</w:t>
      </w:r>
      <w:r>
        <w:rPr>
          <w:spacing w:val="-4"/>
        </w:rPr>
        <w:t xml:space="preserve"> </w:t>
      </w:r>
      <w:r>
        <w:rPr/>
        <w:t>Mainnet</w:t>
      </w:r>
      <w:r>
        <w:rPr>
          <w:spacing w:val="-4"/>
        </w:rPr>
        <w:t xml:space="preserve"> </w:t>
      </w:r>
      <w:r>
        <w:rPr/>
        <w:t>launch,</w:t>
      </w:r>
      <w:r>
        <w:rPr>
          <w:spacing w:val="-4"/>
        </w:rPr>
        <w:t xml:space="preserve"> </w:t>
      </w:r>
      <w:r>
        <w:rPr/>
        <w:t>ERC</w:t>
      </w:r>
      <w:r>
        <w:rPr>
          <w:lang w:eastAsia="ko-KR"/>
          <w:rFonts w:ascii="MS Gothic" w:hAnsi="MS Gothic"/>
          <w:rtl w:val="off"/>
        </w:rPr>
        <w:t>-</w:t>
      </w:r>
      <w:r>
        <w:rPr/>
        <w:t>20</w:t>
      </w:r>
      <w:r>
        <w:rPr>
          <w:spacing w:val="-4"/>
        </w:rPr>
        <w:t xml:space="preserve"> </w:t>
      </w:r>
      <w:r>
        <w:rPr/>
        <w:t>GLIP</w:t>
      </w:r>
      <w:r>
        <w:rPr>
          <w:spacing w:val="-4"/>
        </w:rPr>
        <w:t xml:space="preserve"> </w:t>
      </w:r>
      <w:r>
        <w:rPr/>
        <w:t>holders</w:t>
      </w:r>
      <w:r>
        <w:rPr>
          <w:spacing w:val="-4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swap</w:t>
      </w:r>
      <w:r>
        <w:rPr>
          <w:spacing w:val="-4"/>
        </w:rPr>
        <w:t xml:space="preserve"> </w:t>
      </w:r>
      <w:r>
        <w:rPr/>
        <w:t>1:1</w:t>
      </w:r>
      <w:r>
        <w:rPr>
          <w:spacing w:val="-4"/>
        </w:rPr>
        <w:t xml:space="preserve"> </w:t>
      </w:r>
      <w:r>
        <w:rPr/>
        <w:t>into</w:t>
      </w:r>
      <w:r>
        <w:rPr>
          <w:spacing w:val="-4"/>
        </w:rPr>
        <w:t xml:space="preserve"> </w:t>
      </w:r>
      <w:r>
        <w:rPr/>
        <w:t>GLIP</w:t>
      </w:r>
      <w:r>
        <w:rPr>
          <w:spacing w:val="-4"/>
        </w:rPr>
        <w:t xml:space="preserve"> </w:t>
      </w:r>
      <w:r>
        <w:rPr/>
        <w:t>Coin</w:t>
      </w:r>
      <w:r>
        <w:rPr>
          <w:spacing w:val="-4"/>
        </w:rPr>
        <w:t xml:space="preserve"> </w:t>
      </w:r>
      <w:r>
        <w:rPr/>
        <w:t>via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canonical</w:t>
      </w:r>
      <w:r>
        <w:rPr>
          <w:spacing w:val="-4"/>
        </w:rPr>
        <w:t xml:space="preserve"> </w:t>
      </w:r>
      <w:r>
        <w:rPr/>
        <w:t>bridge. The swap contract will publish merkle roots and proofs for transparency. A deprecation schedule may</w:t>
      </w:r>
      <w:r>
        <w:rPr>
          <w:spacing w:val="40"/>
        </w:rPr>
        <w:t xml:space="preserve"> </w:t>
      </w:r>
      <w:r>
        <w:rPr/>
        <w:t>be announced for the ERC</w:t>
      </w:r>
      <w:r>
        <w:rPr>
          <w:lang w:eastAsia="ko-KR"/>
          <w:rFonts w:ascii="MS Gothic" w:hAnsi="MS Gothic"/>
          <w:rtl w:val="off"/>
        </w:rPr>
        <w:t>-</w:t>
      </w:r>
      <w:r>
        <w:rPr/>
        <w:t>20 after sufficient migration.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1"/>
        <w:spacing w:before="1"/>
      </w:pPr>
      <w:r>
        <w:rPr>
          <w:color w:val="000080"/>
        </w:rPr>
        <w:t xml:space="preserve">Use </w:t>
      </w:r>
      <w:r>
        <w:rPr>
          <w:color w:val="000080"/>
          <w:spacing w:val="-2"/>
        </w:rPr>
        <w:t>Cases</w:t>
      </w:r>
    </w:p>
    <w:p>
      <w:pPr>
        <w:pStyle w:val="BodyText"/>
        <w:ind w:left="420" w:right="332"/>
        <w:jc w:val="both"/>
        <w:spacing w:before="220"/>
      </w:pPr>
      <w:r>
        <w:rPr/>
        <w:t>Peer</w:t>
      </w:r>
      <w:r>
        <w:rPr>
          <w:lang w:eastAsia="ko-KR"/>
          <w:rFonts w:ascii="MS Gothic" w:hAnsi="MS Gothic"/>
          <w:rtl w:val="off"/>
        </w:rPr>
        <w:t>-</w:t>
      </w:r>
      <w:r>
        <w:rPr/>
        <w:t>to</w:t>
      </w:r>
      <w:r>
        <w:rPr>
          <w:lang w:eastAsia="ko-KR"/>
          <w:rFonts w:ascii="MS Gothic" w:hAnsi="MS Gothic"/>
          <w:rtl w:val="off"/>
        </w:rPr>
        <w:t>-</w:t>
      </w:r>
      <w:r>
        <w:rPr/>
        <w:t xml:space="preserve">peer transfers, merchant payments with predictable net costs, remittances, and </w:t>
      </w:r>
      <w:r>
        <w:rPr/>
        <w:t>DeFi integrations that benefit from the rebate</w:t>
      </w:r>
      <w:r>
        <w:rPr>
          <w:lang w:eastAsia="ko-KR"/>
          <w:rFonts w:ascii="MS Gothic" w:hAnsi="MS Gothic"/>
          <w:rtl w:val="off"/>
        </w:rPr>
        <w:t>-</w:t>
      </w:r>
      <w:r>
        <w:rPr/>
        <w:t>driven activity model.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1"/>
        <w:spacing w:before="0"/>
      </w:pPr>
      <w:r>
        <w:rPr>
          <w:color w:val="000080"/>
        </w:rPr>
        <w:t xml:space="preserve">Compliance &amp; </w:t>
      </w:r>
      <w:r>
        <w:rPr>
          <w:color w:val="000080"/>
          <w:spacing w:val="-2"/>
        </w:rPr>
        <w:t>Disclaimers</w:t>
      </w:r>
    </w:p>
    <w:p>
      <w:pPr>
        <w:pStyle w:val="BodyText"/>
        <w:ind w:left="420" w:right="437"/>
        <w:jc w:val="both"/>
        <w:spacing w:before="235" w:line="266" w:lineRule="auto"/>
      </w:pPr>
      <w:r>
        <w:rPr/>
        <w:t xml:space="preserve">This document is informational and not investment advice. Jurisdictional restrictions, </w:t>
      </w:r>
      <w:r>
        <w:rPr/>
        <w:t>KYC/AML requirements, and tax implications may apply. Parameters, timelines, and specifications are subject to governance and technical readiness.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ind w:left="100" w:right="0" w:firstLine="0"/>
        <w:jc w:val="left"/>
        <w:tabs>
          <w:tab w:val="left" w:pos="10235"/>
        </w:tabs>
        <w:spacing w:before="95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3</w:t>
      </w:r>
    </w:p>
    <w:p>
      <w:pPr>
        <w:jc w:val="left"/>
        <w:spacing w:after="0"/>
        <w:rPr>
          <w:sz w:val="18"/>
        </w:rPr>
        <w:sectPr>
          <w:pgSz w:w="11910" w:h="16840"/>
          <w:pgMar w:top="0" w:right="480" w:bottom="0" w:left="500" w:header="720" w:footer="720" w:gutter="0"/>
          <w:cols/>
          <w:docGrid w:linePitch="360"/>
        </w:sectPr>
      </w:pPr>
    </w:p>
    <w:p>
      <w:pPr>
        <w:pStyle w:val="BodyText"/>
        <w:spacing w:before="4"/>
        <w:rPr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65408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44" name="shape104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65408" coordorigin="-10,-10" coordsize="11926,820">
                <v:rect id="1045" style="position:absolute;left:0;top:0;width:11906;height:800" filled="t" fillcolor="#003366" stroked="f"/>
                <v:rect id="1046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114300" distR="114300" behindDoc="1" locked="0" layoutInCell="1" simplePos="0" relativeHeight="251666432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10304650</wp:posOffset>
                </wp:positionV>
                <wp:extent cx="7573010" cy="393700"/>
                <wp:effectExtent l="0" t="0" r="0" b="0"/>
                <wp:wrapNone/>
                <wp:docPr id="1047" name="shape104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393700"/>
                          <a:chOff x="-6350" y="10304780"/>
                          <a:chExt cx="7573010" cy="393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811.39pt;width:596.3pt;height:31pt;mso-position-horizontal-relative:page;mso-position-vertical-relative:page;z-index:-251666432" coordorigin="-10,16228" coordsize="11926,620">
                <v:rect id="1048" style="position:absolute;left:0;top:16237;width:11906;height:600" filled="t" fillcolor="#003366" stroked="f"/>
                <v:rect id="1049" style="position:absolute;left:0;top:16237;width:11906;height:6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ind w:left="420" w:right="0" w:firstLine="0"/>
        <w:jc w:val="left"/>
        <w:spacing w:before="91"/>
        <w:rPr>
          <w:b/>
          <w:sz w:val="28"/>
        </w:rPr>
      </w:pPr>
      <w:r>
        <w:rPr>
          <w:b/>
          <w:color w:val="000080"/>
          <w:sz w:val="28"/>
          <w:spacing w:val="-2"/>
        </w:rPr>
        <w:t>Roadmap</w:t>
      </w:r>
    </w:p>
    <w:p>
      <w:pPr>
        <w:pStyle w:val="BodyText"/>
        <w:ind w:left="420"/>
        <w:spacing w:before="234" w:line="266" w:lineRule="auto"/>
        <w:rPr>
          <w:lang w:eastAsia="ko-KR"/>
          <w:rFonts w:hint="eastAsia"/>
          <w:spacing w:val="31"/>
          <w:rtl w:val="off"/>
        </w:rPr>
      </w:pPr>
      <w:r>
        <w:rPr/>
        <w:t>Q4</w:t>
      </w:r>
      <w:r>
        <w:rPr>
          <w:spacing w:val="31"/>
        </w:rPr>
        <w:t xml:space="preserve"> </w:t>
      </w:r>
      <w:r>
        <w:rPr/>
        <w:t>2025:</w:t>
      </w:r>
      <w:r>
        <w:rPr>
          <w:spacing w:val="31"/>
        </w:rPr>
        <w:t xml:space="preserve"> </w:t>
      </w:r>
      <w:r>
        <w:rPr/>
        <w:t>token</w:t>
      </w:r>
      <w:r>
        <w:rPr>
          <w:spacing w:val="31"/>
        </w:rPr>
        <w:t xml:space="preserve"> </w:t>
      </w:r>
      <w:r>
        <w:rPr/>
        <w:t>distribution</w:t>
      </w:r>
      <w:r>
        <w:rPr>
          <w:spacing w:val="31"/>
        </w:rPr>
        <w:t xml:space="preserve"> </w:t>
      </w:r>
      <w:r>
        <w:rPr/>
        <w:t>and</w:t>
      </w:r>
      <w:r>
        <w:rPr>
          <w:spacing w:val="31"/>
        </w:rPr>
        <w:t xml:space="preserve"> </w:t>
      </w:r>
      <w:r>
        <w:rPr/>
        <w:t>listings;</w:t>
      </w:r>
      <w:r>
        <w:rPr>
          <w:spacing w:val="31"/>
        </w:rPr>
        <w:t xml:space="preserve"> </w:t>
      </w:r>
    </w:p>
    <w:p>
      <w:pPr>
        <w:pStyle w:val="BodyText"/>
        <w:ind w:left="420"/>
        <w:spacing w:before="234" w:line="266" w:lineRule="auto"/>
        <w:rPr>
          <w:lang w:eastAsia="ko-KR"/>
          <w:rFonts w:hint="eastAsia"/>
          <w:spacing w:val="31"/>
          <w:rtl w:val="off"/>
        </w:rPr>
      </w:pPr>
      <w:r>
        <w:rPr/>
        <w:t>Q1</w:t>
      </w:r>
      <w:r>
        <w:rPr>
          <w:spacing w:val="31"/>
        </w:rPr>
        <w:t xml:space="preserve"> </w:t>
      </w:r>
      <w:r>
        <w:rPr/>
        <w:t>2026:</w:t>
      </w:r>
      <w:r>
        <w:rPr>
          <w:spacing w:val="31"/>
        </w:rPr>
        <w:t xml:space="preserve"> </w:t>
      </w:r>
      <w:r>
        <w:rPr/>
        <w:t>testnet;</w:t>
      </w:r>
      <w:r>
        <w:rPr>
          <w:spacing w:val="31"/>
        </w:rPr>
        <w:t xml:space="preserve"> </w:t>
      </w:r>
    </w:p>
    <w:p>
      <w:pPr>
        <w:pStyle w:val="BodyText"/>
        <w:ind w:left="420"/>
        <w:spacing w:before="234" w:line="266" w:lineRule="auto"/>
        <w:rPr>
          <w:lang w:eastAsia="ko-KR"/>
          <w:rFonts w:hint="eastAsia"/>
          <w:rtl w:val="off"/>
        </w:rPr>
      </w:pPr>
      <w:r>
        <w:rPr/>
        <w:t>Q3</w:t>
      </w:r>
      <w:r>
        <w:rPr>
          <w:spacing w:val="31"/>
        </w:rPr>
        <w:t xml:space="preserve"> </w:t>
      </w:r>
      <w:r>
        <w:rPr/>
        <w:t>2026:</w:t>
      </w:r>
      <w:r>
        <w:rPr>
          <w:spacing w:val="31"/>
        </w:rPr>
        <w:t xml:space="preserve"> </w:t>
      </w:r>
      <w:r>
        <w:rPr/>
        <w:t>mainnet</w:t>
      </w:r>
      <w:r>
        <w:rPr>
          <w:spacing w:val="31"/>
        </w:rPr>
        <w:t xml:space="preserve"> </w:t>
      </w:r>
      <w:r>
        <w:rPr/>
        <w:t>beta;</w:t>
      </w:r>
      <w:r>
        <w:rPr>
          <w:spacing w:val="31"/>
        </w:rPr>
        <w:t xml:space="preserve"> </w:t>
      </w:r>
      <w:r>
        <w:rPr/>
        <w:t>Q</w:t>
      </w:r>
    </w:p>
    <w:p>
      <w:pPr>
        <w:pStyle w:val="BodyText"/>
        <w:ind w:left="420"/>
        <w:spacing w:before="234" w:line="266" w:lineRule="auto"/>
        <w:rPr>
          <w:lang w:eastAsia="ko-KR"/>
          <w:rFonts w:hint="eastAsia"/>
          <w:rtl w:val="off"/>
        </w:rPr>
      </w:pPr>
      <w:r>
        <w:rPr/>
        <w:t>4</w:t>
      </w:r>
      <w:r>
        <w:rPr>
          <w:spacing w:val="31"/>
        </w:rPr>
        <w:t xml:space="preserve"> </w:t>
      </w:r>
      <w:r>
        <w:rPr/>
        <w:t>2026:</w:t>
      </w:r>
      <w:r>
        <w:rPr>
          <w:spacing w:val="31"/>
        </w:rPr>
        <w:t xml:space="preserve"> </w:t>
      </w:r>
      <w:r>
        <w:rPr/>
        <w:t xml:space="preserve">swap; </w:t>
      </w:r>
    </w:p>
    <w:p>
      <w:pPr>
        <w:pStyle w:val="BodyText"/>
        <w:ind w:left="420"/>
        <w:spacing w:before="234" w:line="266" w:lineRule="auto"/>
      </w:pPr>
      <w:r>
        <w:rPr/>
        <w:t>2027+: ecosystem growth and governance enhancements.</w:t>
      </w:r>
    </w:p>
    <w:p>
      <w:pPr>
        <w:pStyle w:val="BodyText"/>
        <w:rPr>
          <w:lang w:eastAsia="ko-KR"/>
          <w:rFonts w:hint="eastAsia"/>
          <w:sz w:val="24"/>
          <w:rtl w:val="off"/>
        </w:rPr>
      </w:pPr>
    </w:p>
    <w:p>
      <w:pPr>
        <w:pStyle w:val="BodyText"/>
        <w:rPr>
          <w:lang w:eastAsia="ko-KR"/>
          <w:rFonts w:hint="eastAsia"/>
          <w:sz w:val="24"/>
          <w:rtl w:val="off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1"/>
        <w:spacing w:before="0"/>
      </w:pPr>
      <w:r>
        <w:rPr>
          <w:color w:val="000080"/>
        </w:rPr>
        <w:t xml:space="preserve">Diagram 1: GLIP Token </w:t>
      </w:r>
      <w:r>
        <w:rPr>
          <w:rFonts w:ascii="Symbol" w:hAnsi="Symbol"/>
          <w:b w:val="0"/>
          <w:color w:val="000080"/>
        </w:rPr>
        <w:t></w:t>
      </w:r>
      <w:r>
        <w:rPr>
          <w:rFonts w:ascii="Times New Roman" w:hAnsi="Times New Roman"/>
          <w:b w:val="0"/>
          <w:color w:val="000080"/>
          <w:spacing w:val="7"/>
        </w:rPr>
        <w:t xml:space="preserve"> </w:t>
      </w:r>
      <w:r>
        <w:rPr>
          <w:color w:val="000080"/>
        </w:rPr>
        <w:t xml:space="preserve">GLIP Coin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behindDoc="0" locked="0" layoutInCell="1" simplePos="0" relativeHeight="251669504" allowOverlap="1" hidden="0">
            <wp:simplePos x="0" y="0"/>
            <wp:positionH relativeFrom="column">
              <wp:posOffset>2505037</wp:posOffset>
            </wp:positionH>
            <wp:positionV relativeFrom="paragraph">
              <wp:posOffset>548724</wp:posOffset>
            </wp:positionV>
            <wp:extent cx="1929880" cy="4707255"/>
            <wp:effectExtent l="0" t="0" r="0" b="0"/>
            <wp:wrapTopAndBottom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880" cy="47072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ind w:left="100" w:right="0" w:firstLine="0"/>
        <w:jc w:val="left"/>
        <w:tabs>
          <w:tab w:val="left" w:pos="10235"/>
        </w:tabs>
        <w:spacing w:before="94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4</w:t>
      </w:r>
    </w:p>
    <w:p>
      <w:pPr>
        <w:jc w:val="left"/>
        <w:spacing w:after="0"/>
        <w:rPr>
          <w:sz w:val="18"/>
        </w:rPr>
        <w:sectPr>
          <w:pgSz w:w="11910" w:h="16840"/>
          <w:pgMar w:top="0" w:right="480" w:bottom="0" w:left="500" w:header="720" w:footer="720" w:gutter="0"/>
          <w:cols/>
          <w:docGrid w:linePitch="360"/>
        </w:sectPr>
      </w:pPr>
    </w:p>
    <w:p>
      <w:pPr>
        <w:pStyle w:val="BodyText"/>
        <w:spacing w:before="4"/>
        <w:rPr>
          <w:sz w:val="16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67456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73010" cy="520700"/>
                <wp:effectExtent l="0" t="0" r="0" b="0"/>
                <wp:wrapNone/>
                <wp:docPr id="1051" name="shape105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520700"/>
                          <a:chOff x="-6350" y="-6350"/>
                          <a:chExt cx="7573010" cy="520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60310" cy="50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-0.5pt;width:596.3pt;height:41pt;mso-position-horizontal-relative:page;mso-position-vertical-relative:page;z-index:-251667456" coordorigin="-10,-10" coordsize="11926,820">
                <v:rect id="1052" style="position:absolute;left:0;top:0;width:11906;height:800" filled="t" fillcolor="#003366" stroked="f"/>
                <v:rect id="1053" style="position:absolute;left:0;top:0;width:11906;height:800" filled="f" stroked="t" strokecolor="#0" strokeweight="1pt">
                  <v:stroke/>
                </v:rect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114300" distR="114300" behindDoc="1" locked="0" layoutInCell="1" simplePos="0" relativeHeight="251668480" allowOverlap="1" hidden="0">
                <wp:simplePos x="0" y="0"/>
                <wp:positionH relativeFrom="page">
                  <wp:posOffset>-6350</wp:posOffset>
                </wp:positionH>
                <wp:positionV relativeFrom="page">
                  <wp:posOffset>10304650</wp:posOffset>
                </wp:positionV>
                <wp:extent cx="7573010" cy="393700"/>
                <wp:effectExtent l="0" t="0" r="0" b="0"/>
                <wp:wrapNone/>
                <wp:docPr id="1054" name="shape105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010" cy="393700"/>
                          <a:chOff x="-6350" y="10304780"/>
                          <a:chExt cx="7573010" cy="3937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solidFill>
                            <a:srgbClr val="003366"/>
                          </a:solidFill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10310495"/>
                            <a:ext cx="7560310" cy="381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5pt;margin-top:811.39pt;width:596.3pt;height:31pt;mso-position-horizontal-relative:page;mso-position-vertical-relative:page;z-index:-251668480" coordorigin="-10,16228" coordsize="11926,620">
                <v:rect id="1055" style="position:absolute;left:0;top:16237;width:11906;height:600" filled="t" fillcolor="#003366" stroked="f"/>
                <v:rect id="1056" style="position:absolute;left:0;top:16237;width:11906;height:600" filled="f" stroked="t" strokecolor="#0" strokeweight="1pt">
                  <v:stroke/>
                </v:rect>
              </v:group>
            </w:pict>
          </mc:Fallback>
        </mc:AlternateContent>
      </w:r>
    </w:p>
    <w:p>
      <w:pPr>
        <w:pStyle w:val="Heading1"/>
        <w:ind w:left="100"/>
      </w:pPr>
      <w:r>
        <w:rPr>
          <w:color w:val="FFFFFF"/>
        </w:rPr>
        <w:t xml:space="preserve">GLIP Token </w:t>
      </w:r>
      <w:r>
        <w:rPr>
          <w:color w:val="FFFFFF"/>
          <w:spacing w:val="-2"/>
        </w:rPr>
        <w:t>Whitepaper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behindDoc="0" locked="0" layoutInCell="1" simplePos="0" relativeHeight="251670528" allowOverlap="1" hidden="0">
            <wp:simplePos x="0" y="0"/>
            <wp:positionH relativeFrom="column">
              <wp:posOffset>2476462</wp:posOffset>
            </wp:positionH>
            <wp:positionV relativeFrom="paragraph">
              <wp:posOffset>2063204</wp:posOffset>
            </wp:positionV>
            <wp:extent cx="1929880" cy="4707255"/>
            <wp:effectExtent l="0" t="0" r="0" b="0"/>
            <wp:wrapTopAndBottom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880" cy="47072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  <w:r>
        <w:rPr>
          <w:lang w:eastAsia="ko-KR"/>
          <w:b/>
          <w:color w:val="000080"/>
          <w:sz w:val="28"/>
          <w:spacing w:val="-2"/>
          <w:rtl w:val="off"/>
        </w:rPr>
        <w:t xml:space="preserve">     </w:t>
      </w:r>
      <w:r>
        <w:rPr>
          <w:b/>
          <w:color w:val="000080"/>
          <w:sz w:val="28"/>
        </w:rPr>
        <w:t xml:space="preserve">Diagram 2: Quarterly Fee Rebate Cycle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ind w:left="100" w:right="0" w:firstLine="0"/>
        <w:jc w:val="left"/>
        <w:tabs>
          <w:tab w:val="left" w:pos="10235"/>
        </w:tabs>
        <w:spacing w:before="94"/>
        <w:rPr>
          <w:sz w:val="18"/>
        </w:rPr>
      </w:pPr>
      <w:r>
        <w:rPr>
          <w:color w:val="FFFFFF"/>
          <w:sz w:val="18"/>
        </w:rPr>
        <w:t xml:space="preserve">GLIP Token | </w:t>
      </w:r>
      <w:r>
        <w:rPr>
          <w:color w:val="FFFFFF"/>
          <w:sz w:val="18"/>
          <w:spacing w:val="-4"/>
        </w:rPr>
        <w:t>2025</w:t>
      </w:r>
      <w:r>
        <w:rPr>
          <w:color w:val="FFFFFF"/>
          <w:sz w:val="18"/>
        </w:rPr>
        <w:tab/>
      </w:r>
      <w:r>
        <w:rPr>
          <w:color w:val="FFFFFF"/>
          <w:sz w:val="18"/>
        </w:rPr>
        <w:t xml:space="preserve">Page </w:t>
      </w:r>
      <w:r>
        <w:rPr>
          <w:color w:val="FFFFFF"/>
          <w:sz w:val="18"/>
          <w:spacing w:val="-10"/>
        </w:rPr>
        <w:t>5</w:t>
      </w:r>
    </w:p>
    <w:sectPr>
      <w:pgSz w:w="11910" w:h="16840"/>
      <w:pgMar w:top="0" w:right="480" w:bottom="0" w:left="50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  <w:font w:name="MS Gothic">
    <w:panose1 w:val="020B0609070205080204"/>
    <w:family w:val="MS Gothic"/>
    <w:charset w:val="00"/>
    <w:notTrueType w:val="false"/>
    <w:sig w:usb0="E00002FF" w:usb1="6AC7FDFB" w:usb2="08000012" w:usb3="00000001" w:csb0="4002009F" w:csb1="DFD70000"/>
  </w:font>
  <w:font w:name="Symbol">
    <w:panose1 w:val="05050102010706020507"/>
    <w:family w:val="Symbol"/>
    <w:charset w:val="00"/>
    <w:notTrueType w:val="false"/>
    <w:sig w:usb0="00000001" w:usb1="00000001" w:usb2="00000001" w:usb3="00000001" w:csb0="80000000" w:csb1="00000001"/>
  </w:font>
  <w:font w:name="Arial">
    <w:panose1 w:val="020B0604020202020204"/>
    <w:family w:val="Arial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10"/>
  <w:drawingGridVerticalSpacing w:val="180"/>
  <w:displayHorizontalDrawingGridEvery w:val="2"/>
  <w:displayVerticalDrawingGridEvery w:val="1"/>
  <w:characterSpacingControl w:val="doNotCompress"/>
  <w:compat>
    <w:ulTrailSpace/>
    <w:shapeLayoutLikeWW8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ind w:left="0" w:right="0"/>
        <w:autoSpaceDE w:val="off"/>
        <w:autoSpaceDN w:val="off"/>
        <w:widowControl w:val="off"/>
        <w:jc w:val="left"/>
        <w:spacing w:after="0" w:before="0" w:line="24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7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 w:uiPriority="2085"/>
    <w:lsdException w:name="Medium Shading 2" w:uiPriority="5170"/>
    <w:lsdException w:name="Medium List 1" w:uiPriority="5171"/>
    <w:lsdException w:name="Medium List 2" w:uiPriority="5430"/>
    <w:lsdException w:name="Medium Grid 1" w:uiPriority="5431"/>
    <w:lsdException w:name="Medium Grid 2" w:uiPriority="5444"/>
    <w:lsdException w:name="Medium Grid 3" w:uiPriority="5445"/>
    <w:lsdException w:name="Dark List" w:uiPriority="5494"/>
    <w:lsdException w:name="Colorful Shading" w:uiPriority="5495"/>
    <w:lsdException w:name="Colorful List" w:uiPriority="5508"/>
    <w:lsdException w:name="Colorful Grid" w:uiPriority="5509"/>
    <w:lsdException w:name="Light Shading Accent 1" w:uiPriority="2082"/>
    <w:lsdException w:name="Light List Accent 1" w:uiPriority="2083"/>
    <w:lsdException w:name="Light Grid Accent 1" w:uiPriority="2084"/>
    <w:lsdException w:name="Medium Shading 1 Accent 1" w:uiPriority="2085"/>
    <w:lsdException w:name="Medium Shading 2 Accent 1" w:uiPriority="5170"/>
    <w:lsdException w:name="Medium List 1 Accent 1" w:uiPriority="5171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5430"/>
    <w:lsdException w:name="Medium Grid 1 Accent 1" w:uiPriority="5431"/>
    <w:lsdException w:name="Medium Grid 2 Accent 1" w:uiPriority="5444"/>
    <w:lsdException w:name="Medium Grid 3 Accent 1" w:uiPriority="5445"/>
    <w:lsdException w:name="Dark List Accent 1" w:uiPriority="5494"/>
    <w:lsdException w:name="Colorful Shading Accent 1" w:uiPriority="5495"/>
    <w:lsdException w:name="Colorful List Accent 1" w:uiPriority="5508"/>
    <w:lsdException w:name="Colorful Grid Accent 1" w:uiPriority="5509"/>
    <w:lsdException w:name="Light Shading Accent 2" w:uiPriority="2082"/>
    <w:lsdException w:name="Light List Accent 2" w:uiPriority="2083"/>
    <w:lsdException w:name="Light Grid Accent 2" w:uiPriority="2084"/>
    <w:lsdException w:name="Medium Shading 1 Accent 2" w:uiPriority="2085"/>
    <w:lsdException w:name="Medium Shading 2 Accent 2" w:uiPriority="5170"/>
    <w:lsdException w:name="Medium List 1 Accent 2" w:uiPriority="5171"/>
    <w:lsdException w:name="Medium List 2 Accent 2" w:uiPriority="5430"/>
    <w:lsdException w:name="Medium Grid 1 Accent 2" w:uiPriority="5431"/>
    <w:lsdException w:name="Medium Grid 2 Accent 2" w:uiPriority="5444"/>
    <w:lsdException w:name="Medium Grid 3 Accent 2" w:uiPriority="5445"/>
    <w:lsdException w:name="Dark List Accent 2" w:uiPriority="5494"/>
    <w:lsdException w:name="Colorful Shading Accent 2" w:uiPriority="5495"/>
    <w:lsdException w:name="Colorful List Accent 2" w:uiPriority="5508"/>
    <w:lsdException w:name="Colorful Grid Accent 2" w:uiPriority="5509"/>
    <w:lsdException w:name="Light Shading Accent 3" w:uiPriority="2082"/>
    <w:lsdException w:name="Light List Accent 3" w:uiPriority="2083"/>
    <w:lsdException w:name="Light Grid Accent 3" w:uiPriority="2084"/>
    <w:lsdException w:name="Medium Shading 1 Accent 3" w:uiPriority="2085"/>
    <w:lsdException w:name="Medium Shading 2 Accent 3" w:uiPriority="5170"/>
    <w:lsdException w:name="Medium List 1 Accent 3" w:uiPriority="5171"/>
    <w:lsdException w:name="Medium List 2 Accent 3" w:uiPriority="5430"/>
    <w:lsdException w:name="Medium Grid 1 Accent 3" w:uiPriority="5431"/>
    <w:lsdException w:name="Medium Grid 2 Accent 3" w:uiPriority="5444"/>
    <w:lsdException w:name="Medium Grid 3 Accent 3" w:uiPriority="5445"/>
    <w:lsdException w:name="Dark List Accent 3" w:uiPriority="5494"/>
    <w:lsdException w:name="Colorful Shading Accent 3" w:uiPriority="5495"/>
    <w:lsdException w:name="Colorful List Accent 3" w:uiPriority="5508"/>
    <w:lsdException w:name="Colorful Grid Accent 3" w:uiPriority="5509"/>
    <w:lsdException w:name="Light Shading Accent 4" w:uiPriority="2082"/>
    <w:lsdException w:name="Light List Accent 4" w:uiPriority="2083"/>
    <w:lsdException w:name="Light Grid Accent 4" w:uiPriority="2084"/>
    <w:lsdException w:name="Medium Shading 1 Accent 4" w:uiPriority="2085"/>
    <w:lsdException w:name="Medium Shading 2 Accent 4" w:uiPriority="5170"/>
    <w:lsdException w:name="Medium List 1 Accent 4" w:uiPriority="5171"/>
    <w:lsdException w:name="Medium List 2 Accent 4" w:uiPriority="5430"/>
    <w:lsdException w:name="Medium Grid 1 Accent 4" w:uiPriority="5431"/>
    <w:lsdException w:name="Medium Grid 2 Accent 4" w:uiPriority="5444"/>
    <w:lsdException w:name="Medium Grid 3 Accent 4" w:uiPriority="5445"/>
    <w:lsdException w:name="Dark List Accent 4" w:uiPriority="5494"/>
    <w:lsdException w:name="Colorful Shading Accent 4" w:uiPriority="5495"/>
    <w:lsdException w:name="Colorful List Accent 4" w:uiPriority="5508"/>
    <w:lsdException w:name="Colorful Grid Accent 4" w:uiPriority="5509"/>
    <w:lsdException w:name="Light Shading Accent 5" w:uiPriority="2082"/>
    <w:lsdException w:name="Light List Accent 5" w:uiPriority="2083"/>
    <w:lsdException w:name="Light Grid Accent 5" w:uiPriority="2084"/>
    <w:lsdException w:name="Medium Shading 1 Accent 5" w:uiPriority="2085"/>
    <w:lsdException w:name="Medium Shading 2 Accent 5" w:uiPriority="5170"/>
    <w:lsdException w:name="Medium List 1 Accent 5" w:uiPriority="5171"/>
    <w:lsdException w:name="Medium List 2 Accent 5" w:uiPriority="5430"/>
    <w:lsdException w:name="Medium Grid 1 Accent 5" w:uiPriority="5431"/>
    <w:lsdException w:name="Medium Grid 2 Accent 5" w:uiPriority="5444"/>
    <w:lsdException w:name="Medium Grid 3 Accent 5" w:uiPriority="5445"/>
    <w:lsdException w:name="Dark List Accent 5" w:uiPriority="5494"/>
    <w:lsdException w:name="Colorful Shading Accent 5" w:uiPriority="5495"/>
    <w:lsdException w:name="Colorful List Accent 5" w:uiPriority="5508"/>
    <w:lsdException w:name="Colorful Grid Accent 5" w:uiPriority="5509"/>
    <w:lsdException w:name="Light Shading Accent 6" w:uiPriority="2082"/>
    <w:lsdException w:name="Light List Accent 6" w:uiPriority="2083"/>
    <w:lsdException w:name="Light Grid Accent 6" w:uiPriority="2084"/>
    <w:lsdException w:name="Medium Shading 1 Accent 6" w:uiPriority="2085"/>
    <w:lsdException w:name="Medium Shading 2 Accent 6" w:uiPriority="5170"/>
    <w:lsdException w:name="Medium List 1 Accent 6" w:uiPriority="5171"/>
    <w:lsdException w:name="Medium List 2 Accent 6" w:uiPriority="5430"/>
    <w:lsdException w:name="Medium Grid 1 Accent 6" w:uiPriority="5431"/>
    <w:lsdException w:name="Medium Grid 2 Accent 6" w:uiPriority="5444"/>
    <w:lsdException w:name="Medium Grid 3 Accent 6" w:uiPriority="5445"/>
    <w:lsdException w:name="Dark List Accent 6" w:uiPriority="5494"/>
    <w:lsdException w:name="Colorful Shading Accent 6" w:uiPriority="5495"/>
    <w:lsdException w:name="Colorful List Accent 6" w:uiPriority="5508"/>
    <w:lsdException w:name="Colorful Grid Accent 6" w:uiPriority="5509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</w:latentStyles>
  <w:style w:type="character" w:default="1" w:styleId="DefaultParagraphFont">
    <w:name w:val="Default Paragraph Font"/>
    <w:uiPriority w:val="1"/>
    <w:semiHidden/>
    <w:unhideWhenUsed/>
  </w:style>
  <w:style w:type="table" w:customStyle="1" w:styleId="TableNormal">
    <w:name w:val="Table Normal"/>
    <w:uiPriority w:val="2"/>
    <w:qFormat/>
    <w:semiHidden/>
    <w:unhideWhenUsed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default="1" w:styleId="Normal">
    <w:name w:val="Normal"/>
    <w:uiPriority w:val="1"/>
    <w:qFormat/>
    <w:pPr/>
    <w:rPr>
      <w:lang w:val="en-US" w:eastAsia="en-US" w:bidi="ar-SA"/>
      <w:rFonts w:ascii="Arial" w:eastAsia="Arial" w:hAnsi="Arial" w:cs="Arial"/>
    </w:rPr>
  </w:style>
  <w:style w:type="paragraph" w:styleId="BodyText">
    <w:name w:val="Body Text"/>
    <w:uiPriority w:val="1"/>
    <w:basedOn w:val="Normal"/>
    <w:qFormat/>
    <w:pPr/>
    <w:rPr>
      <w:lang w:val="en-US" w:eastAsia="en-US" w:bidi="ar-SA"/>
      <w:rFonts w:ascii="Arial" w:eastAsia="Arial" w:hAnsi="Arial" w:cs="Arial"/>
      <w:sz w:val="22"/>
      <w:szCs w:val="22"/>
    </w:rPr>
  </w:style>
  <w:style w:type="paragraph" w:customStyle="1" w:styleId="Heading1">
    <w:name w:val="Heading 1"/>
    <w:uiPriority w:val="1"/>
    <w:basedOn w:val="Normal"/>
    <w:qFormat/>
    <w:pPr>
      <w:ind w:left="420"/>
      <w:outlineLvl w:val="1"/>
      <w:spacing w:before="91"/>
    </w:pPr>
    <w:rPr>
      <w:lang w:val="en-US" w:eastAsia="en-US" w:bidi="ar-SA"/>
      <w:rFonts w:ascii="Arial" w:eastAsia="Arial" w:hAnsi="Arial" w:cs="Arial"/>
      <w:b/>
      <w:bCs/>
      <w:sz w:val="28"/>
      <w:szCs w:val="28"/>
    </w:rPr>
  </w:style>
  <w:style w:type="paragraph" w:styleId="Title">
    <w:name w:val="Title"/>
    <w:uiPriority w:val="1"/>
    <w:basedOn w:val="Normal"/>
    <w:qFormat/>
    <w:pPr>
      <w:ind w:left="2287" w:right="2305"/>
      <w:jc w:val="center"/>
      <w:spacing w:before="82"/>
    </w:pPr>
    <w:rPr>
      <w:lang w:val="en-US" w:eastAsia="en-US" w:bidi="ar-SA"/>
      <w:rFonts w:ascii="Arial" w:eastAsia="Arial" w:hAnsi="Arial" w:cs="Arial"/>
      <w:b/>
      <w:bCs/>
      <w:sz w:val="56"/>
      <w:szCs w:val="56"/>
    </w:rPr>
  </w:style>
  <w:style w:type="paragraph" w:styleId="ListParagraph">
    <w:name w:val="List Paragraph"/>
    <w:uiPriority w:val="1"/>
    <w:basedOn w:val="Normal"/>
    <w:qFormat/>
    <w:pPr/>
    <w:rPr>
      <w:lang w:val="en-US" w:eastAsia="en-US" w:bidi="ar-SA"/>
    </w:rPr>
  </w:style>
  <w:style w:type="paragraph" w:customStyle="1" w:styleId="TableParagraph">
    <w:name w:val="Table Paragraph"/>
    <w:uiPriority w:val="1"/>
    <w:basedOn w:val="Normal"/>
    <w:qFormat/>
    <w:pPr>
      <w:ind w:left="603" w:right="593"/>
      <w:jc w:val="center"/>
      <w:spacing w:before="67"/>
    </w:pPr>
    <w:rPr>
      <w:lang w:val="en-US" w:eastAsia="en-US" w:bidi="ar-SA"/>
      <w:rFonts w:ascii="Arial" w:eastAsia="Arial" w:hAnsi="Arial" w:cs="Arial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1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  <a:font script="Mym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dc:description/>
  <cp:lastModifiedBy>1004</cp:lastModifiedBy>
  <cp:revision>1</cp:revision>
  <dcterms:created xsi:type="dcterms:W3CDTF">2025-09-15T06:59:49Z</dcterms:created>
  <dcterms:modified xsi:type="dcterms:W3CDTF">2025-09-19T01:31:21Z</dcterms:modified>
  <cp:version>1200.0100.01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(unspecified)</vt:lpwstr>
  </property>
  <property fmtid="{D5CDD505-2E9C-101B-9397-08002B2CF9AE}" pid="3" name="Producer">
    <vt:lpwstr>ReportLab PDF Library - www.reportlab.com</vt:lpwstr>
  </property>
</Properties>
</file>