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9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Proyecto ENPIC</w:t>
      </w:r>
    </w:p>
    <w:p>
      <w:pPr>
        <w:pStyle w:val="Author"/>
      </w:pPr>
      <w:r>
        <w:t xml:space="preserve">Guillem Lluís i Luengo</w:t>
      </w:r>
    </w:p>
    <w:p>
      <w:pPr>
        <w:pStyle w:val="Date"/>
      </w:pPr>
      <w:r>
        <w:t xml:space="preserve">2026-05-05</w:t>
      </w:r>
    </w:p>
    <w:bookmarkStart w:id="36" w:name="resultados"/>
    <w:p>
      <w:pPr>
        <w:pStyle w:val="Heading1"/>
      </w:pPr>
      <w:r>
        <w:t xml:space="preserve">Resultados</w:t>
      </w:r>
    </w:p>
    <w:p>
      <w:pPr>
        <w:pStyle w:val="FirstParagraph"/>
      </w:pPr>
      <w:r>
        <w:t xml:space="preserve">Los resultados de los indicadores se presentan como porcentajes y intervalos de confianza (IC) al 95%. Cuando el estándar de referencia es el 100%, no tiene sentido realizar contrastes de hipótesis porque, al comparar con el objetivo ideal, siempre se obtendrá significación. En caso contrario, se indicará también el valor</w:t>
      </w:r>
      <w:r>
        <w:t xml:space="preserve"> </w:t>
      </w:r>
      <m:oMath>
        <m:r>
          <m:t>p</m:t>
        </m:r>
      </m:oMath>
      <w:r>
        <w:t xml:space="preserve">. Se considera que existe significación estadística si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.</w:t>
      </w:r>
    </w:p>
    <w:bookmarkStart w:id="12" w:name="X07cd3233686d34d9a19c8509302aef46c91d4af"/>
    <w:p>
      <w:pPr>
        <w:pStyle w:val="Heading2"/>
      </w:pPr>
      <w:r>
        <w:t xml:space="preserve">Identificación de enfermos en riesgo nutricional (100%)</w:t>
      </w:r>
    </w:p>
    <w:p>
      <w:pPr>
        <w:pStyle w:val="FirstParagraph"/>
      </w:pPr>
      <w:r>
        <w:t xml:space="preserve">Todos los pacientes incluidos en el estudio tuvieron una estancia en la UCI superior a 48h. Se valoró el riesgo nutricional con la herramienta NUTRIC Score en 509 de los 525 casos (96,95%, IC 94,99-98,19). Este valor indica una adherencia alta al protocolo.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 NAs </w:t>
      </w:r>
      <w:r>
        <w:br/>
      </w:r>
      <w:r>
        <w:rPr>
          <w:rStyle w:val="VerbatimChar"/>
        </w:rPr>
        <w:t xml:space="preserve">  0.000   3.000   4.000   4.208   6.000  11.000      16 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3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valoración-del-estado-nutricional-100"/>
    <w:p>
      <w:pPr>
        <w:pStyle w:val="Heading2"/>
      </w:pPr>
      <w:r>
        <w:t xml:space="preserve">Valoración del estado nutricional (100%)</w:t>
      </w:r>
    </w:p>
    <w:p>
      <w:pPr>
        <w:pStyle w:val="FirstParagraph"/>
      </w:pPr>
      <w:r>
        <w:t xml:space="preserve">Se realizó la valoración del EN en 233 de los 233 pacientes con RN (100%, IC 97,98-100). Es necesario tener en cuenta, no obstante, que existen 16 casos en los que no se pudo objetivar el RN mediante el NUTRIC Score y que, por este motivo, no se han incluido en el cálculo.</w:t>
      </w:r>
    </w:p>
    <w:bookmarkEnd w:id="13"/>
    <w:bookmarkStart w:id="23" w:name="X352865889068c48ba8fb8f9c4e4d45e1a50b1b3"/>
    <w:p>
      <w:pPr>
        <w:pStyle w:val="Heading2"/>
      </w:pPr>
      <w:r>
        <w:t xml:space="preserve">Adecuación del aporte calórico y proteico del soporte nutricional (&gt;80%)</w:t>
      </w:r>
    </w:p>
    <w:p>
      <w:pPr>
        <w:pStyle w:val="FirstParagraph"/>
      </w:pPr>
      <w:r>
        <w:t xml:space="preserve">El cumplimiento de los requerimientos nutricionales en los pacientes que alcanzan el 4º día tras el ingreso en la UCI es bajo: 58 de 508 pacientes para el aporte calórico (11,42%, IC 8,85-14,59) y 117 de 508 para el aporte proteico (23,03%, 19,49-26,99).</w:t>
      </w:r>
    </w:p>
    <w:p>
      <w:pPr>
        <w:pStyle w:val="BodyText"/>
      </w:pPr>
      <w:r>
        <w:t xml:space="preserve">De los pacientes que no cumplen los requerimientos de aporte calórico, 425 no llegan al límite inferior, mientas que 25 superan el límite superior, lo cual indica una tendencia a la hiponutrición (ver Tabla). Se añade también un gráfico con la distribución de días dentro de los rangos teóricos de aporte nutricional.</w:t>
      </w:r>
    </w:p>
    <w:p>
      <w:pPr>
        <w:pStyle w:val="BodyText"/>
      </w:pPr>
      <w:r>
        <w:rPr>
          <w:i/>
          <w:iCs/>
        </w:rPr>
        <w:t xml:space="preserve">Fórmulas:</w:t>
      </w:r>
      <w:r>
        <w:t xml:space="preserve"> </w:t>
      </w:r>
      <w:r>
        <w:t xml:space="preserve">[1]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j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u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,</m:t>
          </m:r>
          <m:r>
            <m:t>33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TableCaption"/>
      </w:pPr>
      <w:r>
        <w:t xml:space="preserve">Análisis de:</w:t>
      </w:r>
      <w:r>
        <w:t xml:space="preserve"> </w:t>
      </w:r>
      <w:r>
        <w:rPr>
          <w:b/>
          <w:bCs/>
        </w:rPr>
        <w:t xml:space="preserve">aporte calórico en fase aguda (kcal/kg/día)</w:t>
      </w:r>
      <w:r>
        <w:t xml:space="preserve"> </w:t>
      </w:r>
      <w:r>
        <w:t xml:space="preserve">| Intervalo de referencia: 15 - 20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álisis de: aporte calórico en fase aguda (kcal/kg/día) | Intervalo de referencia: 15 - 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Nº de pacientes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Borderline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12.76</w:t>
            </w:r>
          </w:p>
        </w:tc>
      </w:tr>
    </w:tbl>
    <w:p/>
    <w:p>
      <w:pPr>
        <w:pStyle w:val="TableCaption"/>
      </w:pPr>
      <w:r>
        <w:t xml:space="preserve">Análisis de:</w:t>
      </w:r>
      <w:r>
        <w:t xml:space="preserve"> </w:t>
      </w:r>
      <w:r>
        <w:rPr>
          <w:b/>
          <w:bCs/>
        </w:rPr>
        <w:t xml:space="preserve">aporte calórico en fase estable (kcal/kg/día)</w:t>
      </w:r>
      <w:r>
        <w:t xml:space="preserve"> </w:t>
      </w:r>
      <w:r>
        <w:t xml:space="preserve">| Intervalo de referencia: 25 - 30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álisis de: aporte calórico en fase estable (kcal/kg/día) | Intervalo de referencia: 25 - 3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Nº de pacientes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Borderline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2.95</w:t>
            </w:r>
          </w:p>
        </w:tc>
      </w:tr>
    </w:tbl>
    <w:p/>
    <w:p>
      <w:pPr>
        <w:pStyle w:val="TableCaption"/>
      </w:pPr>
      <w:r>
        <w:t xml:space="preserve">Análisis de:</w:t>
      </w:r>
      <w:r>
        <w:t xml:space="preserve"> </w:t>
      </w:r>
      <w:r>
        <w:rPr>
          <w:b/>
          <w:bCs/>
        </w:rPr>
        <w:t xml:space="preserve">aporte proteico en fase aguda (g/kg/día)</w:t>
      </w:r>
      <w:r>
        <w:t xml:space="preserve"> </w:t>
      </w:r>
      <w:r>
        <w:t xml:space="preserve">| Intervalo de referencia: 0.8 - 1.2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álisis de: aporte proteico en fase aguda (g/kg/día) | Intervalo de referencia: 0.8 - 1.2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Nº de pacientes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Borderline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</w:t>
            </w:r>
          </w:p>
        </w:tc>
      </w:tr>
    </w:tbl>
    <w:p/>
    <w:p>
      <w:pPr>
        <w:pStyle w:val="TableCaption"/>
      </w:pPr>
      <w:r>
        <w:t xml:space="preserve">Análisis de:</w:t>
      </w:r>
      <w:r>
        <w:t xml:space="preserve"> </w:t>
      </w:r>
      <w:r>
        <w:rPr>
          <w:b/>
          <w:bCs/>
        </w:rPr>
        <w:t xml:space="preserve">aporte proteico en fase estable (g/kg/día)</w:t>
      </w:r>
      <w:r>
        <w:t xml:space="preserve"> </w:t>
      </w:r>
      <w:r>
        <w:t xml:space="preserve">| Intervalo de referencia: 1.3 - 1.5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álisis de: aporte proteico en fase estable (g/kg/día) | Intervalo de referencia: 1.3 - 1.5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Nº de pacientes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Hiponutrición (&lt;60%)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Borderline (60-80%)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Aporte adecuado (80-110%)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Hipernutrición (&gt;110%)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</w:t>
            </w:r>
          </w:p>
        </w:tc>
      </w:tr>
    </w:tbl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7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80999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7-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nutrición-enteral-precoz-100"/>
    <w:p>
      <w:pPr>
        <w:pStyle w:val="Heading2"/>
      </w:pPr>
      <w:r>
        <w:t xml:space="preserve">Nutrición enteral precoz (100%)</w:t>
      </w:r>
    </w:p>
    <w:p>
      <w:pPr>
        <w:pStyle w:val="FirstParagraph"/>
      </w:pPr>
      <w:r>
        <w:t xml:space="preserve">El nivel de adherencia en este caso es notable: 279 de 375 pacientes (74,4%, IC 69,61-78,68) reciben nutrición enteral (NE) durante las primeras 48h de evolución. Aun así, está lejos del estándar, lo cual indica un retraso sistémico en el inicio de la NE.</w:t>
      </w:r>
    </w:p>
    <w:bookmarkEnd w:id="24"/>
    <w:bookmarkStart w:id="25" w:name="Xd12f88368c68bf8e8810f1a69c202d221beea91"/>
    <w:p>
      <w:pPr>
        <w:pStyle w:val="Heading2"/>
      </w:pPr>
      <w:r>
        <w:t xml:space="preserve">Uso adecuado de nutrición parenteral total (&gt;90%)</w:t>
      </w:r>
    </w:p>
    <w:p>
      <w:pPr>
        <w:pStyle w:val="FirstParagraph"/>
      </w:pPr>
      <w:r>
        <w:t xml:space="preserve">Existe indicación de nutrición parenteral total (NPT) en 132 de los 193 pacientes (68,4%, IC 61,26-74,78) que reciben NPT. Este resultado también se aleja del estándar de referencia del 90%.</w:t>
      </w:r>
    </w:p>
    <w:bookmarkEnd w:id="25"/>
    <w:bookmarkStart w:id="26" w:name="X77dbf7ea32e8cee10ba108161d8ead269d83bc6"/>
    <w:p>
      <w:pPr>
        <w:pStyle w:val="Heading2"/>
      </w:pPr>
      <w:r>
        <w:t xml:space="preserve">Adecuación temporal del inicio de la nutrición parenteral complementaria (&gt;90%)</w:t>
      </w:r>
    </w:p>
    <w:p>
      <w:pPr>
        <w:pStyle w:val="FirstParagraph"/>
      </w:pPr>
      <w:r>
        <w:t xml:space="preserve">Solo 10 de 163 pacientes (6,13%, IC 3,15-11,30) que al 4º día no alcanzan al menos el 60% de los requerimientos nutricionales (15 kcal/kg/día y 0,8 g/kg/día) reciben nutrición parenteral complementaria (NPC). El resultado es muy bajo en comparación con el estándar del 90%.</w:t>
      </w:r>
    </w:p>
    <w:bookmarkEnd w:id="26"/>
    <w:bookmarkStart w:id="30" w:name="X79dda0d7110aed0576258da4f71a1b9d22021b7"/>
    <w:p>
      <w:pPr>
        <w:pStyle w:val="Heading2"/>
      </w:pPr>
      <w:r>
        <w:t xml:space="preserve">Monitorización de la nutrición enteral (100%)</w:t>
      </w:r>
    </w:p>
    <w:p>
      <w:pPr>
        <w:pStyle w:val="FirstParagraph"/>
      </w:pPr>
      <w:r>
        <w:t xml:space="preserve">La monitorización de la NE es correcta en 101 de los 444 que reciben NE (22,75%, IC 18,99-26,99). En el gráfico se muestran los porcentajes de cumplimiento para cada uno de los controles.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14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ac28a3da69befe7d42be65fe6edcb03ddf4edfe"/>
    <w:p>
      <w:pPr>
        <w:pStyle w:val="Heading2"/>
      </w:pPr>
      <w:r>
        <w:t xml:space="preserve">Definición Disfunción Hepática Asociada a la Nutrición Parenteral (&lt;20%)</w:t>
      </w:r>
    </w:p>
    <w:p>
      <w:pPr>
        <w:pStyle w:val="FirstParagraph"/>
      </w:pPr>
      <w:r>
        <w:t xml:space="preserve">De los 101 pacientes que pasan más de 7 días con NP, 76 (75,2%, IC 65,48-83,06) cumplen los criterios de Disfunción Hepática Asociada a la Nutrición Parenteral (DHANP). Es un valor muy elevado en comparación con el estándar de referencia del 20%, debido principalmente a la presencia de colestasis (98,7% de pacientes).</w:t>
      </w:r>
    </w:p>
    <w:p>
      <w:pPr>
        <w:pStyle w:val="TableCaption"/>
      </w:pPr>
      <w:r>
        <w:t xml:space="preserve">Tabla de frecuencias de DHANP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a de frecuencias de DHANP"/>
      </w:tblPr>
      <w:tblGrid>
        <w:gridCol w:w="2445"/>
        <w:gridCol w:w="1048"/>
        <w:gridCol w:w="1747"/>
        <w:gridCol w:w="26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Criterio 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Recuento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Porcentaje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Valores faltantes (NA)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Colestasis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Necrosis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</w:tr>
    </w:tbl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RM_Indicadors_files/RM_Indicadors_files/figure-docx/unnamed-chunk-16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resumen-de-indicadores"/>
    <w:p>
      <w:pPr>
        <w:pStyle w:val="Heading2"/>
      </w:pPr>
      <w:r>
        <w:t xml:space="preserve">Resumen de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920"/>
        <w:gridCol w:w="1105"/>
        <w:gridCol w:w="1289"/>
        <w:gridCol w:w="1749"/>
        <w:gridCol w:w="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Numerador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Denominador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 (inf – sup)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Riesgo nutricional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(94.99 – 98.19)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Estado nutricional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(97.98 – 100.00)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4a. Aporte calórico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(33.59 – 42.19)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4b. Aporte proteico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(39.16 – 47.95)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NE precoz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(69.61 – 78.68)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NPT adecuada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(61.26 – 74.78)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NPC adecuada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(3.15 – 11.30)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Monitorización 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(18.99 – 26.99)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DHANP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(65.48 – 83.06)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&lt;20%</w:t>
            </w:r>
          </w:p>
        </w:tc>
      </w:tr>
    </w:tbl>
    <w:bookmarkEnd w:id="35"/>
    <w:bookmarkEnd w:id="36"/>
    <w:bookmarkStart w:id="37" w:name="anexo.-código-r"/>
    <w:p>
      <w:pPr>
        <w:pStyle w:val="Heading1"/>
      </w:pPr>
      <w:r>
        <w:t xml:space="preserve">Anexo. Código R</w:t>
      </w:r>
    </w:p>
    <w:p>
      <w:pPr>
        <w:pStyle w:val="SourceCode"/>
      </w:pPr>
      <w:r>
        <w:rPr>
          <w:rStyle w:val="FunctionTok"/>
        </w:rPr>
        <w:t xml:space="preserve">require</w:t>
      </w:r>
      <w:r>
        <w:rPr>
          <w:rStyle w:val="NormalTok"/>
        </w:rPr>
        <w:t xml:space="preserve">(knitr)</w:t>
      </w:r>
      <w:r>
        <w:br/>
      </w:r>
      <w:r>
        <w:br/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echo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tidy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prompt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tidy.opts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width.cutoff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Sys.setlocale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"LC_TIME"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 Instalación de paquetes ----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"ggVennDiagram"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"ggVennDiagram"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(ggVennDiagram)</w:t>
      </w:r>
      <w:r>
        <w:br/>
      </w:r>
      <w:r>
        <w:br/>
      </w:r>
      <w:r>
        <w:rPr>
          <w:rStyle w:val="CommentTok"/>
        </w:rPr>
        <w:t xml:space="preserve"># ---- Preparación de los datos ----</w:t>
      </w:r>
      <w:r>
        <w:br/>
      </w:r>
      <w:r>
        <w:br/>
      </w:r>
      <w:r>
        <w:rPr>
          <w:rStyle w:val="CommentTok"/>
        </w:rPr>
        <w:t xml:space="preserve"># Carga de datos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"ENPIC_BMI_525.sav"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Valores faltantes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(FINICNE2)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(FINICNPT2))</w:t>
      </w:r>
      <w:r>
        <w:br/>
      </w:r>
      <w:r>
        <w:br/>
      </w:r>
      <w:r>
        <w:rPr>
          <w:rStyle w:val="CommentTok"/>
        </w:rPr>
        <w:t xml:space="preserve"># Corrección de errores</w:t>
      </w:r>
      <w:r>
        <w:br/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FINICNPT2[datos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FINICNPT2[datos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4007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lubridate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TIPO_SN_Grupo[datos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TIPO_SN_Grupo[datos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IDICOMEP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---- I1. Identificación de enfermos en riesgo nutricional ----</w:t>
      </w:r>
      <w:r>
        <w:br/>
      </w:r>
      <w:r>
        <w:br/>
      </w:r>
      <w:r>
        <w:rPr>
          <w:rStyle w:val="NormalTok"/>
        </w:rPr>
        <w:t xml:space="preserve">resumen_i1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estancia &gt; 48 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(DIASUCI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Todos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Riesgo nutricional"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(NUTRIC_Score)),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Distribución del NUTRIC Score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NUTRIC_Score)</w:t>
      </w:r>
      <w:r>
        <w:br/>
      </w:r>
      <w:r>
        <w:br/>
      </w:r>
      <w:r>
        <w:rPr>
          <w:rStyle w:val="CommentTok"/>
        </w:rPr>
        <w:t xml:space="preserve"># Gráfico de barras</w:t>
      </w:r>
      <w:r>
        <w:br/>
      </w:r>
      <w:r>
        <w:rPr>
          <w:rStyle w:val="NormalTok"/>
        </w:rPr>
        <w:t xml:space="preserve">plot_nutric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(NUTRIC_Score))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Riesgo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(NUTRIC_Score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(NUTRIC_Score),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Riesgo))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"Distribución de puntuaciones de NUTRIC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"NUTRIC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"Número de casos"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plot_nutric</w:t>
      </w:r>
      <w:r>
        <w:br/>
      </w:r>
      <w:r>
        <w:br/>
      </w:r>
      <w:r>
        <w:rPr>
          <w:rStyle w:val="CommentTok"/>
        </w:rPr>
        <w:t xml:space="preserve"># ¿NUTRIC Score = 11 es correcto?</w:t>
      </w:r>
      <w:r>
        <w:br/>
      </w:r>
      <w:r>
        <w:rPr>
          <w:rStyle w:val="CommentTok"/>
        </w:rPr>
        <w:t xml:space="preserve"># ¿Punto de corte &gt;= 5 o &gt;= 6? Sin IL-6, la literatura sugiere la 1a opción (Reis et al.)</w:t>
      </w:r>
      <w:r>
        <w:br/>
      </w:r>
      <w:r>
        <w:rPr>
          <w:rStyle w:val="CommentTok"/>
        </w:rPr>
        <w:t xml:space="preserve"># NA: ¿se puede calcular la puntuación con los datos disponibles?</w:t>
      </w:r>
      <w:r>
        <w:br/>
      </w:r>
      <w:r>
        <w:br/>
      </w:r>
      <w:r>
        <w:rPr>
          <w:rStyle w:val="CommentTok"/>
        </w:rPr>
        <w:t xml:space="preserve"># Inferencia:</w:t>
      </w:r>
      <w:r>
        <w:br/>
      </w:r>
      <w:r>
        <w:rPr>
          <w:rStyle w:val="CommentTok"/>
        </w:rPr>
        <w:t xml:space="preserve"># - ¿Riesgo nutricional afecta al tiempo en la UCI / mortalidad?</w:t>
      </w:r>
      <w:r>
        <w:br/>
      </w:r>
      <w:r>
        <w:rPr>
          <w:rStyle w:val="CommentTok"/>
        </w:rPr>
        <w:t xml:space="preserve"># - ¿Hay diferencias en outcomes según grupo de riesgo y cumplimiento de objetivos?</w:t>
      </w:r>
      <w:r>
        <w:br/>
      </w:r>
      <w:r>
        <w:rPr>
          <w:rStyle w:val="CommentTok"/>
        </w:rPr>
        <w:t xml:space="preserve"># - ¿Predicciones?</w:t>
      </w:r>
      <w:r>
        <w:br/>
      </w:r>
      <w:r>
        <w:br/>
      </w:r>
      <w:r>
        <w:rPr>
          <w:rStyle w:val="CommentTok"/>
        </w:rPr>
        <w:t xml:space="preserve"># ---- I2. Valoración del estado nutricional ----</w:t>
      </w:r>
      <w:r>
        <w:br/>
      </w:r>
      <w:r>
        <w:br/>
      </w:r>
      <w:r>
        <w:rPr>
          <w:rStyle w:val="NormalTok"/>
        </w:rPr>
        <w:t xml:space="preserve">resumen_i2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riesgo nutricional (NUTRIC Score &gt; 5)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(NUTRIC_Score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 Estado nutricional"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(VGSING2)),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I4. Adecuación del aporte calórico y proteico ----</w:t>
      </w:r>
      <w:r>
        <w:br/>
      </w:r>
      <w:r>
        <w:br/>
      </w:r>
      <w:r>
        <w:rPr>
          <w:rStyle w:val="CommentTok"/>
        </w:rPr>
        <w:t xml:space="preserve"># Cálculos adicionales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Cálculo del peso ideal y del peso ajustado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Peso_ideal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(TALLA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Peso_ajustado =</w:t>
      </w:r>
      <w:r>
        <w:rPr>
          <w:rStyle w:val="NormalTok"/>
        </w:rPr>
        <w:t xml:space="preserve"> (PESOACT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Peso_ideal)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Peso_ideal,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Peso a utilizar según IMC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Peso_calculo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(BMI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PESOACT, Peso_ajustado),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Media del aporte calórico los 3 primeros días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Media_cal_aguda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Media del aporte calórico a partir del 4º día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Media_cal_estable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Media del aporte proteico los 3 primeros días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Media_prot_aguda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Media del aporte proteico a partir del 4º día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Media_prot_estable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pick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num_range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Aporte calórico</w:t>
      </w:r>
      <w:r>
        <w:br/>
      </w:r>
      <w:r>
        <w:rPr>
          <w:rStyle w:val="NormalTok"/>
        </w:rPr>
        <w:t xml:space="preserve">resumen_i4_cal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datos en fase estable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(Media_cal_estable))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"4a. Aporte calórico"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(Media_cal_estable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Media_cal_estable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"&gt;80%"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Aporte proteico</w:t>
      </w:r>
      <w:r>
        <w:br/>
      </w:r>
      <w:r>
        <w:rPr>
          <w:rStyle w:val="NormalTok"/>
        </w:rPr>
        <w:t xml:space="preserve">resumen_i4_prot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datos en fase estable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(Media_prot_estable))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"4b. Aporte proteico"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(Media_prot_estable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"&gt;80%"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resumen_i4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(resumen_i4_cal, resumen_i4_prot)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(resumen_i4_cal, resumen_i4_prot)</w:t>
      </w:r>
      <w:r>
        <w:br/>
      </w:r>
      <w:r>
        <w:br/>
      </w:r>
      <w:r>
        <w:rPr>
          <w:rStyle w:val="CommentTok"/>
        </w:rPr>
        <w:t xml:space="preserve">#' Análisis del error en el aporte nutricional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@description</w:t>
      </w:r>
      <w:r>
        <w:br/>
      </w:r>
      <w:r>
        <w:rPr>
          <w:rStyle w:val="CommentTok"/>
        </w:rPr>
        <w:t xml:space="preserve">#' Clasifica las observaciones en cuatro categorías según un intervalo de</w:t>
      </w:r>
      <w:r>
        <w:br/>
      </w:r>
      <w:r>
        <w:rPr>
          <w:rStyle w:val="CommentTok"/>
        </w:rPr>
        <w:t xml:space="preserve">#' referencia y devuelve una tabla formatada con `knitr::kable`.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datos Un \code{data.frame} o \code{tibble} que contiene los datos.</w:t>
      </w:r>
      <w:r>
        <w:br/>
      </w:r>
      <w:r>
        <w:rPr>
          <w:rStyle w:val="CommentTok"/>
        </w:rPr>
        <w:t xml:space="preserve">#' @param columna El nombre de la columna a analizar (sin comillas).</w:t>
      </w:r>
      <w:r>
        <w:br/>
      </w:r>
      <w:r>
        <w:rPr>
          <w:rStyle w:val="CommentTok"/>
        </w:rPr>
        <w:t xml:space="preserve">#' @param valor_inf Numérico. Límite inferior del intervalo de referencia.</w:t>
      </w:r>
      <w:r>
        <w:br/>
      </w:r>
      <w:r>
        <w:rPr>
          <w:rStyle w:val="CommentTok"/>
        </w:rPr>
        <w:t xml:space="preserve">#' @param valor_sup Numérico. Límite superior del intervalo de referencia.</w:t>
      </w:r>
      <w:r>
        <w:br/>
      </w:r>
      <w:r>
        <w:rPr>
          <w:rStyle w:val="CommentTok"/>
        </w:rPr>
        <w:t xml:space="preserve">#' @param etiqueta Cadena de texto (opcional). El nombre de la variable que</w:t>
      </w:r>
      <w:r>
        <w:br/>
      </w:r>
      <w:r>
        <w:rPr>
          <w:rStyle w:val="CommentTok"/>
        </w:rPr>
        <w:t xml:space="preserve">#' aparecerá en el título de la tabla. Por defecto es "variable".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@returns Una tabla objeto \code{knitr_kable} con el resumen de fercuencias</w:t>
      </w:r>
      <w:r>
        <w:br/>
      </w:r>
      <w:r>
        <w:rPr>
          <w:rStyle w:val="CommentTok"/>
        </w:rPr>
        <w:t xml:space="preserve">#' y porcentajes por categoría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@importFrom dplyr %&gt;% filter mutate case_when group_by summarise n</w:t>
      </w:r>
      <w:r>
        <w:br/>
      </w:r>
      <w:r>
        <w:rPr>
          <w:rStyle w:val="CommentTok"/>
        </w:rPr>
        <w:t xml:space="preserve">#' @importFrom knitr kable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\dontrun{</w:t>
      </w:r>
      <w:r>
        <w:br/>
      </w:r>
      <w:r>
        <w:rPr>
          <w:rStyle w:val="CommentTok"/>
        </w:rPr>
        <w:t xml:space="preserve">#' # Ejemplo de uso con datos hipotéticos</w:t>
      </w:r>
      <w:r>
        <w:br/>
      </w:r>
      <w:r>
        <w:rPr>
          <w:rStyle w:val="CommentTok"/>
        </w:rPr>
        <w:t xml:space="preserve">#' analisis_error(df, media_calorias, 25, 30, "Calorías")</w:t>
      </w:r>
      <w:r>
        <w:br/>
      </w:r>
      <w:r>
        <w:rPr>
          <w:rStyle w:val="CommentTok"/>
        </w:rPr>
        <w:t xml:space="preserve">#' }</w:t>
      </w:r>
      <w:r>
        <w:br/>
      </w:r>
      <w:r>
        <w:rPr>
          <w:rStyle w:val="NormalTok"/>
        </w:rPr>
        <w:t xml:space="preserve">analisis_error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(datos, columna, valor_inf, valor_sup,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Intervalo de referencia</w:t>
      </w:r>
      <w:r>
        <w:br/>
      </w:r>
      <w:r>
        <w:rPr>
          <w:rStyle w:val="NormalTok"/>
        </w:rPr>
        <w:t xml:space="preserve">  intervalo_ref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(valor_inf,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valor_sup)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Filtrado de pacientes con datos en la fase de estudio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columna }}))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Casos de error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"Hiponutrición (&lt;60%)"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{{ columna }}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"Borderline (60-80%)"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valor_inf)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{{ columna }}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valor_sup)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"Aporte adecuado (80-110%)"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{{ columna }}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valor_sup)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"Hipernutrición (&gt;110%)"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(Categoria,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"Hiponutrición (&lt;60%)"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"Borderline (60-80%)"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"Aporte adecuado (80-110%)"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"Hipernutrición (&gt;110%)"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Resumen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(Categoria)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Total_grupo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Porcentaje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((Total_grupo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(Total_grupo))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(error,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"Nº de pacientes"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"Análisis de: **"</w:t>
      </w:r>
      <w:r>
        <w:rPr>
          <w:rStyle w:val="NormalTok"/>
        </w:rPr>
        <w:t xml:space="preserve">, etiqueta,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"** | Intervalo de referencia: "</w:t>
      </w:r>
      <w:r>
        <w:rPr>
          <w:rStyle w:val="NormalTok"/>
        </w:rPr>
        <w:t xml:space="preserve">, intervalo_ref</w:t>
      </w:r>
      <w:r>
        <w:br/>
      </w:r>
      <w:r>
        <w:rPr>
          <w:rStyle w:val="NormalTok"/>
        </w:rPr>
        <w:t xml:space="preserve">               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Tablas</w:t>
      </w:r>
      <w:r>
        <w:br/>
      </w:r>
      <w:r>
        <w:rPr>
          <w:rStyle w:val="FunctionTok"/>
        </w:rPr>
        <w:t xml:space="preserve">analisis_error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Media_cal_aguda,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calórico en fase aguda (kcal/kg/día)"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analisis_error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Media_cal_estable,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calórico en fase estable (kcal/kg/día)"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analisis_error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Media_prot_aguda,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proteico en fase aguda (g/kg/día)"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analisis_error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columna =</w:t>
      </w:r>
      <w:r>
        <w:rPr>
          <w:rStyle w:val="NormalTok"/>
        </w:rPr>
        <w:t xml:space="preserve"> Media_prot_estable,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valor_inf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valor_sup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etiqueta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 proteico en fase estable (g/kg/día)"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#' Progresión del aporte nutricional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@description</w:t>
      </w:r>
      <w:r>
        <w:br/>
      </w:r>
      <w:r>
        <w:rPr>
          <w:rStyle w:val="CommentTok"/>
        </w:rPr>
        <w:t xml:space="preserve">#' Calcula la mediana y el rango intercuartílico del aporte nutricional por día</w:t>
      </w:r>
      <w:r>
        <w:br/>
      </w:r>
      <w:r>
        <w:rPr>
          <w:rStyle w:val="CommentTok"/>
        </w:rPr>
        <w:t xml:space="preserve">#' y devuelve el gráfico de progresión temporal formatado con `ggplot2`.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datos Un \code{data.frame} o \code{tibble} que contiene los datos.</w:t>
      </w:r>
      <w:r>
        <w:br/>
      </w:r>
      <w:r>
        <w:rPr>
          <w:rStyle w:val="CommentTok"/>
        </w:rPr>
        <w:t xml:space="preserve">#' @param categoria El nombre de la variable a analizar ("CALORIA" o "PROT").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@returns Un objeto `ggplot` con la representació visual de la aportación.</w:t>
      </w:r>
      <w: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@importFrom dplyr %&gt;% select starts_with mutate filter group_by summarise if_else</w:t>
      </w:r>
      <w:r>
        <w:br/>
      </w:r>
      <w:r>
        <w:rPr>
          <w:rStyle w:val="CommentTok"/>
        </w:rPr>
        <w:t xml:space="preserve">#' @importFrom tidyr pivot_longer</w:t>
      </w:r>
      <w:r>
        <w:br/>
      </w:r>
      <w:r>
        <w:rPr>
          <w:rStyle w:val="CommentTok"/>
        </w:rPr>
        <w:t xml:space="preserve">#' @importFrom ggplot2 ggplot aes geom_ribbon geom_line geom_point annotate scale_color_viridis_c scale_fill_viridis_c scale_x_continuous scale_y_continuous theme_minimal labs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\dontrun{</w:t>
      </w:r>
      <w:r>
        <w:br/>
      </w:r>
      <w:r>
        <w:rPr>
          <w:rStyle w:val="CommentTok"/>
        </w:rPr>
        <w:t xml:space="preserve">#' # Ejemplo de uso con datos hipotéticos</w:t>
      </w:r>
      <w:r>
        <w:br/>
      </w:r>
      <w:r>
        <w:rPr>
          <w:rStyle w:val="CommentTok"/>
        </w:rPr>
        <w:t xml:space="preserve">#' progresion_aporte(df, "CALORIA")</w:t>
      </w:r>
      <w:r>
        <w:br/>
      </w:r>
      <w:r>
        <w:rPr>
          <w:rStyle w:val="CommentTok"/>
        </w:rPr>
        <w:t xml:space="preserve">#' progresion_aporte(df, "PROT")</w:t>
      </w:r>
      <w:r>
        <w:br/>
      </w:r>
      <w:r>
        <w:rPr>
          <w:rStyle w:val="CommentTok"/>
        </w:rPr>
        <w:t xml:space="preserve">#' }</w:t>
      </w:r>
      <w:r>
        <w:br/>
      </w:r>
      <w:r>
        <w:rPr>
          <w:rStyle w:val="NormalTok"/>
        </w:rPr>
        <w:t xml:space="preserve">progresion_aporte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(datos, categoria)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Determinación de variables según la categoría</w:t>
      </w:r>
      <w:r>
        <w:br/>
      </w:r>
      <w:r>
        <w:rPr>
          <w:rStyle w:val="NormalTok"/>
        </w:rPr>
        <w:t xml:space="preserve">  caloria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categoria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"CALORIA"</w:t>
      </w:r>
      <w:r>
        <w:br/>
      </w:r>
      <w:r>
        <w:rPr>
          <w:rStyle w:val="NormalTok"/>
        </w:rPr>
        <w:t xml:space="preserve">  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StringTok"/>
        </w:rPr>
        <w:t xml:space="preserve">"calórico"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"proteico"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unidades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StringTok"/>
        </w:rPr>
        <w:t xml:space="preserve">"kcal/kg/día"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"g/kg/día"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Objetivos dinámicos</w:t>
      </w:r>
      <w:r>
        <w:br/>
      </w:r>
      <w:r>
        <w:rPr>
          <w:rStyle w:val="NormalTok"/>
        </w:rPr>
        <w:t xml:space="preserve">  fase_aguda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fase_estable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(caloria,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Procesamiento de datos</w:t>
      </w:r>
      <w:r>
        <w:br/>
      </w:r>
      <w:r>
        <w:rPr>
          <w:rStyle w:val="NormalTok"/>
        </w:rPr>
        <w:t xml:space="preserve">  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Selección de categoría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(Peso_calculo,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(categoria))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Cálculo del aporte por kg y día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(categoria),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categoria,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"Aporte"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Día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(Día),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Aporte =</w:t>
      </w:r>
      <w:r>
        <w:rPr>
          <w:rStyle w:val="NormalTok"/>
        </w:rPr>
        <w:t xml:space="preserve"> Aporte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Cálculo de mediana y RIQ por día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(Día),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(Aporte))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(Día)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Mediana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(Aporte,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P25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(Aporte,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P75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(Aporte,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Gráfico de progresión temporal</w:t>
      </w:r>
      <w:r>
        <w:br/>
      </w:r>
      <w:r>
        <w:rPr>
          <w:rStyle w:val="NormalTok"/>
        </w:rPr>
        <w:t xml:space="preserve">  plot_out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Día,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Mediana))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Sombreado del RIQ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P25,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P75),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"#21918C"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Línea de tendencia principal y puntos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"#3B528B"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"#3B528B"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Líneas de objetivo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"segment"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fase_aguda,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fase_aguda,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"#440154"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"segment"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fase_estable,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fase_estable,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"#5EC962"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Estética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P75)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Texto y etiquetas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"Progresión del aporte "</w:t>
      </w:r>
      <w:r>
        <w:rPr>
          <w:rStyle w:val="NormalTok"/>
        </w:rPr>
        <w:t xml:space="preserve">, variable, </w:t>
      </w:r>
      <w:r>
        <w:rPr>
          <w:rStyle w:val="StringTok"/>
        </w:rPr>
        <w:t xml:space="preserve">" diario"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"Mediana de "</w:t>
      </w:r>
      <w:r>
        <w:rPr>
          <w:rStyle w:val="NormalTok"/>
        </w:rPr>
        <w:t xml:space="preserve">, unidades, </w:t>
      </w:r>
      <w:r>
        <w:rPr>
          <w:rStyle w:val="StringTok"/>
        </w:rPr>
        <w:t xml:space="preserve">" con rango intercuartílico"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"Día"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"Aporte ("</w:t>
      </w:r>
      <w:r>
        <w:rPr>
          <w:rStyle w:val="NormalTok"/>
        </w:rPr>
        <w:t xml:space="preserve">, unidades,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 líneas discontinuas marcan los objetivos para cada fase"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Anotaciones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fase_aguda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"Fase aguda"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"#440154"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fase_estable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"Fase estable"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"#5EC962"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(plot_out)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Gráficos</w:t>
      </w:r>
      <w:r>
        <w:br/>
      </w:r>
      <w:r>
        <w:rPr>
          <w:rStyle w:val="NormalTok"/>
        </w:rPr>
        <w:t xml:space="preserve">plot_calorias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progresion_aporte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plot_proteinas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progresion_aporte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datos =</w:t>
      </w:r>
      <w:r>
        <w:rPr>
          <w:rStyle w:val="NormalTok"/>
        </w:rPr>
        <w:t xml:space="preserve"> datos, </w:t>
      </w:r>
      <w:r>
        <w:rPr>
          <w:rStyle w:val="AttributeTok"/>
        </w:rPr>
        <w:t xml:space="preserve">categoria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plot_calorias</w:t>
      </w:r>
      <w:r>
        <w:br/>
      </w:r>
      <w:r>
        <w:rPr>
          <w:rStyle w:val="NormalTok"/>
        </w:rPr>
        <w:t xml:space="preserve">plot_proteinas</w:t>
      </w:r>
      <w:r>
        <w:br/>
      </w:r>
      <w:r>
        <w:br/>
      </w:r>
      <w:r>
        <w:rPr>
          <w:rStyle w:val="CommentTok"/>
        </w:rPr>
        <w:t xml:space="preserve"># Días dentro del rango objetivo (calorías)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rowwise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con datos (no NA)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(CALORIA4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CALORIA14))),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dentro del rango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n_dias_rango_cal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(CALORIA4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CALORIA14)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(CALORIA4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CALORIA14)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Porcentaje de cumplimiento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cumplimiento_cal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(n_dias_cal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(n_dias_rango_cal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n_dias_cal)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Días dentro del rango objetivo (proteínas)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rowwise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con datos (no NA)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n_dias_prot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(PROT4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PROT14))),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Días dentro del rango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n_dias_rango_prot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(PROT4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PROT14)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Porcentaje de cumplimiento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cumplimiento_prot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(n_dias_prot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(n_dias_rango_prot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n_dias_prot)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Boxplot</w:t>
      </w:r>
      <w:r>
        <w:br/>
      </w:r>
      <w:r>
        <w:rPr>
          <w:rStyle w:val="NormalTok"/>
        </w:rPr>
        <w:t xml:space="preserve">plot_cumplimiento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(cumplimiento_cal, cumplimiento_prot)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"Indicador"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"Porcentaje"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(Indicador,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"cumplimiento_cal"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"Calorías"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"cumplimiento_prot"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"Proteínas"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(Porcentaje))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Indicador,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Porcentaje,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Indicador))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"Distribución del aporte nutricional en fase estable"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de días en rango por paciente"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plot_cumplimiento</w:t>
      </w:r>
      <w:r>
        <w:br/>
      </w:r>
      <w:r>
        <w:br/>
      </w:r>
      <w:r>
        <w:rPr>
          <w:rStyle w:val="CommentTok"/>
        </w:rPr>
        <w:t xml:space="preserve"># Para inferencia: tabla de contingencia fase aguda - fase estable</w:t>
      </w:r>
      <w:r>
        <w:br/>
      </w:r>
      <w:r>
        <w:br/>
      </w:r>
      <w:r>
        <w:rPr>
          <w:rStyle w:val="CommentTok"/>
        </w:rPr>
        <w:t xml:space="preserve"># ---- I6. Nutrición enteral precoz ----</w:t>
      </w:r>
      <w:r>
        <w:br/>
      </w:r>
      <w:r>
        <w:br/>
      </w:r>
      <w:r>
        <w:rPr>
          <w:rStyle w:val="NormalTok"/>
        </w:rPr>
        <w:t xml:space="preserve">resumen_i6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NE o NE-NPT e indicación de 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(INDICA_NE))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"6. NE precoz"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(SN_Menos48h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I7. Uso adecuado de NPT ----</w:t>
      </w:r>
      <w:r>
        <w:br/>
      </w:r>
      <w:r>
        <w:br/>
      </w:r>
      <w:r>
        <w:rPr>
          <w:rStyle w:val="NormalTok"/>
        </w:rPr>
        <w:t xml:space="preserve">resumen_i7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que reciben NPT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(FINICNPT2))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 NPT adecuada"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(INDICA_NTP)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(INDICA_NTP_PocoAporte)),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"&gt;90%"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I8. Adecuación temporal de la NPC ----</w:t>
      </w:r>
      <w:r>
        <w:br/>
      </w:r>
      <w:r>
        <w:br/>
      </w:r>
      <w:r>
        <w:rPr>
          <w:rStyle w:val="NormalTok"/>
        </w:rPr>
        <w:t xml:space="preserve">resumen_i8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Pacientes con NE o NE-NPT y valores registradps del 4º día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(CALORIA4),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(PROT4))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Pacientes con &lt;60% del aporte nutricional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(CALORIA4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Peso_calculo)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PROT4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Peso_calculo))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Tiempo hasta inicio de NPC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FINICNE2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ymd_hms</w:t>
      </w:r>
      <w:r>
        <w:rPr>
          <w:rStyle w:val="NormalTok"/>
        </w:rPr>
        <w:t xml:space="preserve">(FINICNE2),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FINICNPT2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ymd_hms</w:t>
      </w:r>
      <w:r>
        <w:rPr>
          <w:rStyle w:val="NormalTok"/>
        </w:rPr>
        <w:t xml:space="preserve">(FINICNPT2),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dias_npc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difftime</w:t>
      </w:r>
      <w:r>
        <w:rPr>
          <w:rStyle w:val="NormalTok"/>
        </w:rPr>
        <w:t xml:space="preserve">(FINICNPT2, FINICNE2,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Cálculo del porcentaje y los IC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 NPC adecuada"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(dias_npc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"&gt;90%"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 I9. Monitorización de la NE ----</w:t>
      </w:r>
      <w:r>
        <w:br/>
      </w:r>
      <w:r>
        <w:br/>
      </w:r>
      <w:r>
        <w:rPr>
          <w:rStyle w:val="NormalTok"/>
        </w:rPr>
        <w:t xml:space="preserve">datos_monitorizacion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con 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(FINICNE2))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Registro de complicaciones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Reg_comp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(PVRGM100)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(PDANE)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(PCLOSTDIF)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(PVOMITO)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(PBRONCOAS)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(PISQUINT), 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Cumplimiento de controles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Triglicéridos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Reg_trig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(TRIGLIA)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Colesterol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(COLESTERA)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Albúmina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Reg_alb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(ALBUMINAA),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(ALBUMINAA),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(ALBUMINAA)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Prealbúmina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Reg_prealb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(PREALBU7)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(PREALBUA),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(PREALBUA)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Perfil hepático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Reg_perf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(GAMGT7)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(PROTT7)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(GAMGTA)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(PROTTA),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TOTALNE2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(GAMGT7)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(GPT7)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(PROTT7))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(GAMGTA)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(PROTTA)),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(FALCALIA)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(FILIRUBA)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(GAMGTA)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(GOTA)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(GPTA)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(PROTTA)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Resumen de la monitorización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Monitorizacion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Reg_comp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Reg_trig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Reg_col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Reg_alb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Reg_prealb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Reg_perf,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Cálculo del porcentaje y los IC</w:t>
      </w:r>
      <w:r>
        <w:br/>
      </w:r>
      <w:r>
        <w:rPr>
          <w:rStyle w:val="NormalTok"/>
        </w:rPr>
        <w:t xml:space="preserve">resumen_i9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datos_monitorizacion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"9. Monitorización 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(Monitorizacion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Cálculo de porcentajes por control</w:t>
      </w:r>
      <w:r>
        <w:br/>
      </w:r>
      <w:r>
        <w:rPr>
          <w:rStyle w:val="NormalTok"/>
        </w:rPr>
        <w:t xml:space="preserve">plot_monitorizacion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datos_monitorizacion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Tabla de porcentajes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Complicaciones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(Reg_comp,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Triglicéridos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(Reg_trig,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Colesterol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(Reg_col,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Albúmina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(Reg_alb,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Prealbúmina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(Reg_prealb,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Perfil hepático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(Reg_perf,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"Porcentaje"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Gráfico de barras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(Control, Porcentaje),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Porcentaje,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Porcentaje))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"Monitorización de la 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"Cumplimiento por caso"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de cumplimiento"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(Porcentaje,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plot_monitorizacion</w:t>
      </w:r>
      <w:r>
        <w:br/>
      </w:r>
      <w:r>
        <w:br/>
      </w:r>
      <w:r>
        <w:rPr>
          <w:rStyle w:val="CommentTok"/>
        </w:rPr>
        <w:t xml:space="preserve"># Pacientes con NE o NE-NPT y &gt;=14 días de NE: 2 controles (día 7 y alta)</w:t>
      </w:r>
      <w:r>
        <w:br/>
      </w:r>
      <w:r>
        <w:rPr>
          <w:rStyle w:val="CommentTok"/>
        </w:rPr>
        <w:t xml:space="preserve"># Pacientes con NE o NE-NPT y &lt;14 días de NE: 1 control (día 7 o alta)</w:t>
      </w:r>
      <w:r>
        <w:br/>
      </w:r>
      <w:r>
        <w:rPr>
          <w:rStyle w:val="CommentTok"/>
        </w:rPr>
        <w:t xml:space="preserve"># Pacientes con NPT-NE: 1 control (alta)</w:t>
      </w:r>
      <w:r>
        <w:br/>
      </w:r>
      <w:r>
        <w:br/>
      </w:r>
      <w:r>
        <w:rPr>
          <w:rStyle w:val="CommentTok"/>
        </w:rPr>
        <w:t xml:space="preserve"># ---- I12. Disfunción hepática asociada a la NP ----</w:t>
      </w:r>
      <w:r>
        <w:br/>
      </w:r>
      <w:r>
        <w:br/>
      </w:r>
      <w:r>
        <w:rPr>
          <w:rStyle w:val="NormalTok"/>
        </w:rPr>
        <w:t xml:space="preserve">datos_dhanp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Filtrado de pacientes que reciben NPT durante al menos 7 días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(TOTALNPT22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Pacientes con disfunción hepática según grupo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Colestasis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(FALCALI7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FILIRUB7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Necrosis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((GOT7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(FILIRUB7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INR7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((GOTA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INRA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(FILIRUBA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INRA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Mixta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TIPO_SN_Grupo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((FALCALIA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((FALCALIA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((FALCALIA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GAMGTA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(GOTA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GPTA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DHANP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(Colestasis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Necrosis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Mixta,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Cálculo del porcentaje y los IC</w:t>
      </w:r>
      <w:r>
        <w:br/>
      </w:r>
      <w:r>
        <w:rPr>
          <w:rStyle w:val="NormalTok"/>
        </w:rPr>
        <w:t xml:space="preserve">resumen_i12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datos_dhanp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Indicador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"12. DHANP"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Numerador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(DHANP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Denominador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Resultado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((Numerador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Denominador)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IC 95% (inf – sup)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"(%.2f – %.2f)"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prop.test</w:t>
      </w:r>
      <w:r>
        <w:rPr>
          <w:rStyle w:val="NormalTok"/>
        </w:rPr>
        <w:t xml:space="preserve">(Numerador, Denominador,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Estándar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"&lt;20%"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DHANP por diagnóstico</w:t>
      </w:r>
      <w:r>
        <w:br/>
      </w:r>
      <w:r>
        <w:rPr>
          <w:rStyle w:val="NormalTok"/>
        </w:rPr>
        <w:t xml:space="preserve">tabla_dhanp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datos_dhanp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(Colestasis, Necrosis, Mixta),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Recuento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Porcentaje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Faltantes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       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"Categoría"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"Criterio diagnóstico"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"Recuento"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"Porcentaje (%)"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"Valores faltantes (NA)"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"Tabla de frecuencias de DHANP"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tabla_dhanp</w:t>
      </w:r>
      <w:r>
        <w:br/>
      </w:r>
      <w:r>
        <w:br/>
      </w:r>
      <w:r>
        <w:rPr>
          <w:rStyle w:val="NormalTok"/>
        </w:rPr>
        <w:t xml:space="preserve">plot_dhanp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Colestasis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(datos_dhanp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Colestasis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Necrosis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(datos_dhanp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Necrosis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Lesión mixta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(datos_dhanp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Mixta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ggVennDiagram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label_alpha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edge_size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scale_fill_distiller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"Criterios de DHANP"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plot_dhanp</w:t>
      </w:r>
      <w:r>
        <w:br/>
      </w:r>
      <w:r>
        <w:br/>
      </w:r>
      <w:r>
        <w:rPr>
          <w:rStyle w:val="CommentTok"/>
        </w:rPr>
        <w:t xml:space="preserve"># ¿Qué pasa con los valores faltantes?</w:t>
      </w:r>
      <w:r>
        <w:br/>
      </w:r>
      <w:r>
        <w:br/>
      </w:r>
      <w:r>
        <w:rPr>
          <w:rStyle w:val="CommentTok"/>
        </w:rPr>
        <w:t xml:space="preserve"># ---- Tabla resumen ----</w:t>
      </w:r>
      <w:r>
        <w:br/>
      </w:r>
      <w:r>
        <w:br/>
      </w:r>
      <w:r>
        <w:rPr>
          <w:rStyle w:val="CommentTok"/>
        </w:rPr>
        <w:t xml:space="preserve"># Tabla de indicadores</w:t>
      </w:r>
      <w:r>
        <w:br/>
      </w:r>
      <w:r>
        <w:rPr>
          <w:rStyle w:val="NormalTok"/>
        </w:rPr>
        <w:t xml:space="preserve">tabla_indicadores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(resumen_i1, resumen_i2, resumen_i4, resumen_i6,</w:t>
      </w:r>
      <w:r>
        <w:br/>
      </w:r>
      <w:r>
        <w:rPr>
          <w:rStyle w:val="NormalTok"/>
        </w:rPr>
        <w:t xml:space="preserve">                               resumen_i7, resumen_i8, resumen_i9, resumen_i12)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"^resumen"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(tabla_indicadores)</w:t>
      </w:r>
    </w:p>
    <w:bookmarkEnd w:id="37"/>
    <w:bookmarkStart w:id="41" w:name="referencias"/>
    <w:p>
      <w:pPr>
        <w:pStyle w:val="Heading1"/>
      </w:pPr>
      <w:r>
        <w:t xml:space="preserve">Referencias</w:t>
      </w:r>
    </w:p>
    <w:bookmarkStart w:id="40" w:name="refs"/>
    <w:bookmarkStart w:id="39" w:name="ref-singer201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Singer P, Blaser AR, Berger MM, Alhazzani W, Calder PC, Casaer MP, et al.</w:t>
      </w:r>
      <w:r>
        <w:t xml:space="preserve"> ESPEN guideline on clinical nutrition in the intensive care unit. Clinical Nutrition. 2019;38:48–79. doi:</w:t>
      </w:r>
      <w:hyperlink r:id="rId38">
        <w:r>
          <w:rPr>
            <w:rStyle w:val="Hyperlink"/>
          </w:rPr>
          <w:t xml:space="preserve">10.1016/j.clnu.2018.08.037</w:t>
        </w:r>
      </w:hyperlink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hyperlink" Id="rId38" Target="https://doi.org/10.1016/j.clnu.2018.08.03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doi.org/10.1016/j.clnu.2018.08.03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ENPIC</dc:title>
  <dc:creator>Guillem Lluís i Luengo</dc:creator>
  <cp:keywords/>
  <dcterms:created xsi:type="dcterms:W3CDTF">2026-05-05T16:21:16Z</dcterms:created>
  <dcterms:modified xsi:type="dcterms:W3CDTF">2026-05-05T16:21:16Z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nlm-citation-sequence-brackets-year-only-no-issue.csl</vt:lpwstr>
  </property>
  <property fmtid="{D5CDD505-2E9C-101B-9397-08002B2CF9AE}" pid="4" name="date">
    <vt:lpwstr>2026-05-05</vt:lpwstr>
  </property>
  <property fmtid="{D5CDD505-2E9C-101B-9397-08002B2CF9AE}" pid="5" name="header-includes">
    <vt:lpwstr/>
  </property>
  <property fmtid="{D5CDD505-2E9C-101B-9397-08002B2CF9AE}" pid="6" name="output">
    <vt:lpwstr>word_document</vt:lpwstr>
  </property>
</Properties>
</file>