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10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 ENPIC</w:t>
      </w:r>
    </w:p>
    <w:p>
      <w:pPr>
        <w:pStyle w:val="Author"/>
      </w:pPr>
      <w:r>
        <w:t xml:space="preserve">Guillem Lluís i Luengo</w:t>
      </w:r>
    </w:p>
    <w:p>
      <w:pPr>
        <w:pStyle w:val="Date"/>
      </w:pPr>
      <w:r>
        <w:t xml:space="preserve">2026-05-22</w:t>
      </w:r>
    </w:p>
    <w:bookmarkStart w:id="49" w:name="resultados"/>
    <w:p>
      <w:pPr>
        <w:pStyle w:val="Heading1"/>
      </w:pPr>
      <w:r>
        <w:t xml:space="preserve">Resultados</w:t>
      </w:r>
    </w:p>
    <w:p>
      <w:pPr>
        <w:pStyle w:val="FirstParagraph"/>
      </w:pPr>
      <w:r>
        <w:t xml:space="preserve">Los resultados de los indicadores se presentan como porcentajes e intervalos de confianza (IC) al 95%. Cuando el estándar de referencia es el 100%, no tiene sentido realizar contrastes de hipótesis porque, al comparar con el objetivo ideal, siempre se obtendrá significación. Para el resto de tests estadísticos, se indicará también el valor</w:t>
      </w:r>
      <w:r>
        <w:t xml:space="preserve"> </w:t>
      </w:r>
      <m:oMath>
        <m:r>
          <m:t>p</m:t>
        </m:r>
      </m:oMath>
      <w:r>
        <w:t xml:space="preserve">. Se considera que existe significación estadística si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.</w:t>
      </w:r>
    </w:p>
    <w:bookmarkStart w:id="9" w:name="caracterización-de-la-muestra"/>
    <w:p>
      <w:pPr>
        <w:pStyle w:val="Heading2"/>
      </w:pPr>
      <w:r>
        <w:t xml:space="preserve">Caracterización de la muestra</w:t>
      </w:r>
    </w:p>
    <w:p>
      <w:pPr>
        <w:pStyle w:val="FirstParagraph"/>
      </w:pPr>
      <w:r>
        <w:t xml:space="preserve">Los datos de la población estudiada se muestran como media ± desviación estándar (cuando la variable sigue una distribución normal, evaluada mediante la prueba de Shapiro-Wilk), mediana [rango intercuartílico (RIC)] (en caso contrario) o frecuencia absoluta (porcentaje).</w:t>
      </w:r>
    </w:p>
    <w:p>
      <w:pPr>
        <w:pStyle w:val="BodyText"/>
      </w:pPr>
      <w:r>
        <w:t xml:space="preserve">Se muestra también la comparación entre los grupos que inicialmente reciben nutrición enteral (NE) o parenteral (NE). Para las variables continuas, se emplean las pruebas estadísticas t de Student (paramétrica) y U de Mann-Whitney-Wilcoxon (no paramétrica). En el caso de las variables categóricas, se utiliza la prueba Chi-cuadrado de Pearson o la prueba exacta de Fisher cuando las frecuencias esperadas son inferiores a 5.</w:t>
      </w:r>
    </w:p>
    <w:p>
      <w:pPr>
        <w:pStyle w:val="BodyText"/>
      </w:pPr>
      <w:r>
        <w:t xml:space="preserve">Los grupos son heterogéneos (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) en el caso del grupo diagnóstico al que pertenecen los pacientes, el valor del NUTRIC Score, el tiempo de estancia en la UCI y en el hospital y las necesidades de ventilación mecánica.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64.0 [51.0, 74.0]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63.5 [49.5, 73.0]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 [54.0, 74.0]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Sexo (Mujer)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Índice de Masa Corporal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 [24.2, 30.9]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 [24.4, 31.2]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 [23.5, 30.4]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Grupo diagnóstico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Quirúrgico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Traumático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NUTRIC Score (Valor Absoluto)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[3.0, 6.0]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[2.0, 6.0]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[3.0, 6.0]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Estancia en UCI (días)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[10.0, 24.0]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[11.0, 25.0]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[9.0, 24.0]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Estancia en Hospital (días)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[18.0, 48.0]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[17.0, 45.0]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 [19.0, 57.5]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Días con Soporte Nutricional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[6.0, 21.0]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[5.0, 20.0]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[6.0, 22.0]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Ventilación Mecánica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Días de Ventilación Mecánica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 [6.0, 17.0]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[7.0, 17.0]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[5.0, 19.0]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 a los 28 días de ingreso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Convalescencia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Ingreso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Valores expresados como mediana [RIC] o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Prueba de la suma de rangos de Wilcoxon; Prueba de Chi-cuadrado de Pearson; Prueba exacta de Fisher</w:t>
            </w:r>
          </w:p>
        </w:tc>
      </w:tr>
    </w:tbl>
    <w:bookmarkEnd w:id="9"/>
    <w:bookmarkStart w:id="13" w:name="X07cd3233686d34d9a19c8509302aef46c91d4af"/>
    <w:p>
      <w:pPr>
        <w:pStyle w:val="Heading2"/>
      </w:pPr>
      <w:r>
        <w:t xml:space="preserve">Identificación de enfermos en riesgo nutricional (100%)</w:t>
      </w:r>
    </w:p>
    <w:p>
      <w:pPr>
        <w:pStyle w:val="FirstParagraph"/>
      </w:pPr>
      <w:r>
        <w:t xml:space="preserve">Todos los pacientes incluidos en el estudio tuvieron una estancia en la UCI superior a 48h. Se ha excluido del cálculo 1 registro que contenía datos erróneos.</w:t>
      </w:r>
    </w:p>
    <w:p>
      <w:pPr>
        <w:pStyle w:val="BodyText"/>
      </w:pPr>
      <w:r>
        <w:t xml:space="preserve">Se valoró el riesgo nutricional con la herramienta NUTRIC Score en 508 de 524 casos (96,95%, IC 94,98-98,18). El gráfico muestra la distribución de puntuaciones de la prueba y la categoría de riesgo nutricional. Se puede observar una cierta simetría y la tendencia a valores medios (4-5), aunque existe una disminución notable de la frecuencia de la puntuación más alta registrada (9).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5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valoración-del-estado-nutricional-100"/>
    <w:p>
      <w:pPr>
        <w:pStyle w:val="Heading2"/>
      </w:pPr>
      <w:r>
        <w:t xml:space="preserve">Valoración del estado nutricional (100%)</w:t>
      </w:r>
    </w:p>
    <w:p>
      <w:pPr>
        <w:pStyle w:val="FirstParagraph"/>
      </w:pPr>
      <w:r>
        <w:t xml:space="preserve">Se realizó la valoración del estado nutricional en 232 de los 232 pacientes con riesgo nutricional (100%, IC 97,97-100). Es necesario tener en cuenta, no obstante, que existen 16 casos en los que no se pudo objetivar el riesgo nutricional mediante el NUTRIC Score y que, por este motivo, no se han incluido en el cálculo.</w:t>
      </w:r>
    </w:p>
    <w:bookmarkEnd w:id="14"/>
    <w:bookmarkStart w:id="30" w:name="X352865889068c48ba8fb8f9c4e4d45e1a50b1b3"/>
    <w:p>
      <w:pPr>
        <w:pStyle w:val="Heading2"/>
      </w:pPr>
      <w:r>
        <w:t xml:space="preserve">Adecuación del aporte calórico y proteico del soporte nutricional (&gt;80%)</w:t>
      </w:r>
    </w:p>
    <w:p>
      <w:pPr>
        <w:pStyle w:val="FirstParagraph"/>
      </w:pPr>
      <w:r>
        <w:t xml:space="preserve">Para el cálculo de los indicadores, en los casos en los que el índice de masa corporal (IMC) es superior a 30, se utiliza el peso ajustado para los cálculos. Este se puede calcular a partir de las siguientes fórmulas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j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u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,</m:t>
          </m:r>
          <m:r>
            <m:t>33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El cumplimiento de los requerimientos nutricionales en los pacientes que alcanzan el 4º día tras el ingreso en la UCI es bajo: 202 de 508 pacientes reciben entre el 80 i el 110% del aporte calórico recomendado (39,76%, IC 35,50-44,18) y 197 de 508 lo cumplen para el aporte proteico (38,78%, 34,55-43,19).</w:t>
      </w:r>
    </w:p>
    <w:p>
      <w:pPr>
        <w:pStyle w:val="BodyText"/>
      </w:pPr>
      <w:r>
        <w:t xml:space="preserve">De los pacientes que no cumplen los requerimientos de aporte calórico, 136 (26,77%) no llegan al 60% de los valores recomendados, mientras que 155 (30,51%) se sitúan entre el 60 i el 80%. Por la parte superior, 15 pacientes (2,95%) superan el umbral del 110%. En el caso de las proteínas, 152 pacientes (29,92%) no llegan al 60%, 135 (26,57%) se quedan entre el 60 i el 80% i 24 (4,72%) superan el 110% (ver Tablas).</w:t>
      </w:r>
    </w:p>
    <w:p>
      <w:pPr>
        <w:pStyle w:val="TableCaption"/>
      </w:pPr>
      <w:r>
        <w:rPr>
          <w:b/>
          <w:bCs/>
        </w:rPr>
        <w:t xml:space="preserve">Aporte calórico en fase aguda (kcal/kg/día)</w:t>
      </w:r>
      <w:r>
        <w:t xml:space="preserve"> </w:t>
      </w:r>
      <w:r>
        <w:t xml:space="preserve">| Intervalo de referencia: 15 - 20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calórico en fase aguda (kcal/kg/día) | Intervalo de referencia: 15 - 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12.76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Aporte calórico en fase estable (kcal/kg/día)</w:t>
      </w:r>
      <w:r>
        <w:t xml:space="preserve"> </w:t>
      </w:r>
      <w:r>
        <w:t xml:space="preserve">| Intervalo de referencia: 25 - 30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calórico en fase estable (kcal/kg/día) | Intervalo de referencia: 25 - 3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Aporte proteico en fase aguda (g/kg/día)</w:t>
      </w:r>
      <w:r>
        <w:t xml:space="preserve"> </w:t>
      </w:r>
      <w:r>
        <w:t xml:space="preserve">| Intervalo de referencia: 0.8 - 1.2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proteico en fase aguda (g/kg/día) | Intervalo de referencia: 0.8 - 1.2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Aporte proteico en fase estable (g/kg/día)</w:t>
      </w:r>
      <w:r>
        <w:t xml:space="preserve"> </w:t>
      </w:r>
      <w:r>
        <w:t xml:space="preserve">| Intervalo de referencia: 1.3 - 1.5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proteico en fase estable (g/kg/día) | Intervalo de referencia: 1.3 - 1.5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</w:t>
            </w:r>
          </w:p>
        </w:tc>
      </w:tr>
    </w:tbl>
    <w:p>
      <w:pPr>
        <w:pStyle w:val="BodyText"/>
      </w:pPr>
      <w:r>
        <w:t xml:space="preserve">Los gráficos muestran la progresión del aporte diario para cada categoría. Para la comparación del aporte nutricional entre grupos de riesgo se utiliza el test U de Mann-Whitney-Wilcoxon (ver Tabla). No se aplican correcciones por comparaciones múltiples porque en el análisis exploratorio no se observa ningún valor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. Así, no se puede afirmar que existan diferencias significativas en el aporte nutricional entre los pacientes con riesgo nutricional alto o bajo.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9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429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9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429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9-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429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9-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rPr>
          <w:b/>
          <w:bCs/>
        </w:rPr>
        <w:t xml:space="preserve">Comparación de aporte calórico</w:t>
      </w:r>
      <w:r>
        <w:t xml:space="preserve"> </w:t>
      </w:r>
      <w:r>
        <w:t xml:space="preserve">(kcal/kg/día)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aporte calórico (kcal/kg/día)"/>
      </w:tblPr>
      <w:tblGrid>
        <w:gridCol w:w="573"/>
        <w:gridCol w:w="3213"/>
        <w:gridCol w:w="3213"/>
        <w:gridCol w:w="9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Riesgo bajo (Mediana [RIC])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Riesgo alto (Mediana [RIC])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 [4.55, 12.19]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 [4.4, 12.17]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15.43 [9.97, 20.91]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15.02 [9.56, 19.46]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19.04 [13.61, 23.35]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17.77 [13.17, 22.38]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18.78 [13.43, 23.39]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 [14.61, 23.33]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19.44 [14.26, 23.93]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20.01 [14.93, 24.27]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20.49 [15.06, 24.93]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[14.78, 24.56]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 [14.93, 24.98]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20.72 [15.19, 24.94]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 [15.41, 24.98]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[15.04, 24.74]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20.67 [16.46, 25.07]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 [15.95, 25.44]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20.74 [16.19, 25.59]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[14.47, 25.39]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20.72 [16.44, 26.25]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 [15.52, 25.41]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20.65 [16.54, 25.86]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22.19 [17.71, 25.6]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22.26 [19.02, 26.63]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21.61 [17.71, 25.6]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22.09 [19.06, 26.08]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22.19 [18.16, 26.15]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Comparación de aporte proteico</w:t>
      </w:r>
      <w:r>
        <w:t xml:space="preserve"> </w:t>
      </w:r>
      <w:r>
        <w:t xml:space="preserve">(g/kg/día)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aporte proteico (g/kg/día)"/>
      </w:tblPr>
      <w:tblGrid>
        <w:gridCol w:w="573"/>
        <w:gridCol w:w="3213"/>
        <w:gridCol w:w="3213"/>
        <w:gridCol w:w="9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Riesgo bajo (Mediana [RIC])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Riesgo alto (Mediana [RIC])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 [0.22, 0.64]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[0.22, 0.66]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 [0.45, 1.15]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 [0.49, 1.06]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[0.62, 1.28]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[0.61, 1.25]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[0.64, 1.3]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[0.7, 1.28]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[0.64, 1.31]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[0.72, 1.35]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[0.73, 1.36]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[0.74, 1.38]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[0.78, 1.37]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[0.74, 1.38]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[0.75, 1.35]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[0.72, 1.39]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[0.76, 1.35]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[0.75, 1.42]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[0.74, 1.38]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[0.71, 1.45]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[0.79, 1.38]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[0.79, 1.44]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[0.79, 1.44]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[0.79, 1.46]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[0.84, 1.43]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 [0.76, 1.41]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[0.81, 1.39]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[0.77, 1.5]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</w:t>
            </w:r>
          </w:p>
        </w:tc>
      </w:tr>
    </w:tbl>
    <w:p>
      <w:pPr>
        <w:pStyle w:val="BodyText"/>
      </w:pPr>
      <w:r>
        <w:t xml:space="preserve">En cuanto a la distribución de días dentro de los rangos teóricos de aporte nutricional, el porcentaje de días en rango por paciente va del 0 al 100% en ambos grupos. Aunque se aprecia una ligera tendencia a la baja en el grupo de riesgo bajo, esta no es estadísticamente significativa.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Por último, se muestran las tablas de contingencia para el cambio entre niveles de aporte calórico y proteico entre la fase aguda y la fase estable (se excluyen los pacientes sin datos en alguna de las fases). Para favorecer la interpretación, se ha tenido en cuenta únicamente el umbral del 80% de aporte nutricional y se ha utilizado el test de McNemar para datos apareados.</w:t>
      </w:r>
    </w:p>
    <w:p>
      <w:pPr>
        <w:pStyle w:val="BodyText"/>
      </w:pPr>
      <w:r>
        <w:t xml:space="preserve">En ambos casos, el valor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inferior a 0,001. Así, existe evidencia significativa de asimetría en la dirección del cambio. En las tablas se puede observar una tendencia a pasar de un aporte adecuado en fase aguda a no cumplir los requerimientos en fase estable, siendo mucho menor en sentido inverso.</w:t>
      </w:r>
    </w:p>
    <w:p>
      <w:pPr>
        <w:pStyle w:val="TableCaption"/>
      </w:pPr>
      <w:r>
        <w:rPr>
          <w:b/>
          <w:bCs/>
        </w:rPr>
        <w:t xml:space="preserve">Evolución de los niveles de aporte calórico</w:t>
      </w:r>
      <w:r>
        <w:t xml:space="preserve"> </w:t>
      </w:r>
      <w:r>
        <w:t xml:space="preserve">| Test de McNemar: p &lt; 0.001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olución de los niveles de aporte calórico | Test de McNemar: p &lt; 0.001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 Aguda / Fase 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Bajo (&lt;80%)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Adecuado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 (&lt;80%)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 (29.1%)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(8.5%)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 (37.6%)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Adecuado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 (28.1%)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 (34.3%)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 (62.4%)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291 (57.3%)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217 (42.7%)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508 (100.0%)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Evolución de los niveles de aporte proteico</w:t>
      </w:r>
      <w:r>
        <w:t xml:space="preserve"> </w:t>
      </w:r>
      <w:r>
        <w:t xml:space="preserve">| Test de McNemar: p &lt; 0.001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olución de los niveles de aporte proteico | Test de McNemar: p &lt; 0.001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 Aguda / Fase 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Bajo (&lt;80%)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Adecuado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 (&lt;80%)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 (34.3%)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 (6.5%)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207 (40.7%)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Adecuado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 (37.0%)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 (59.3%)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287 (56.5%)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221 (43.5%)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508 (100.0%)</w:t>
            </w:r>
          </w:p>
        </w:tc>
      </w:tr>
    </w:tbl>
    <w:bookmarkEnd w:id="30"/>
    <w:bookmarkStart w:id="31" w:name="nutrición-enteral-precoz-100"/>
    <w:p>
      <w:pPr>
        <w:pStyle w:val="Heading2"/>
      </w:pPr>
      <w:r>
        <w:t xml:space="preserve">Nutrición enteral precoz (100%)</w:t>
      </w:r>
    </w:p>
    <w:p>
      <w:pPr>
        <w:pStyle w:val="FirstParagraph"/>
      </w:pPr>
      <w:r>
        <w:t xml:space="preserve">El nivel de adherencia en este caso es notable: 279 de 375 pacientes (74,4%, IC 69,61-78,68) reciben nutrición enteral (NE) durante las primeras 48h de evolución.</w:t>
      </w:r>
    </w:p>
    <w:bookmarkEnd w:id="31"/>
    <w:bookmarkStart w:id="32" w:name="Xd12f88368c68bf8e8810f1a69c202d221beea91"/>
    <w:p>
      <w:pPr>
        <w:pStyle w:val="Heading2"/>
      </w:pPr>
      <w:r>
        <w:t xml:space="preserve">Uso adecuado de nutrición parenteral total (&gt;90%)</w:t>
      </w:r>
    </w:p>
    <w:p>
      <w:pPr>
        <w:pStyle w:val="FirstParagraph"/>
      </w:pPr>
      <w:r>
        <w:t xml:space="preserve">Existe indicación de nutrición parenteral total (NPT) en 132 de los 193 pacientes (68,39%, IC 61,26-74,78) que reciben NPT.</w:t>
      </w:r>
    </w:p>
    <w:bookmarkEnd w:id="32"/>
    <w:bookmarkStart w:id="36" w:name="X77dbf7ea32e8cee10ba108161d8ead269d83bc6"/>
    <w:p>
      <w:pPr>
        <w:pStyle w:val="Heading2"/>
      </w:pPr>
      <w:r>
        <w:t xml:space="preserve">Adecuación temporal del inicio de la nutrición parenteral complementaria (&gt;90%)</w:t>
      </w:r>
    </w:p>
    <w:p>
      <w:pPr>
        <w:pStyle w:val="FirstParagraph"/>
      </w:pPr>
      <w:r>
        <w:t xml:space="preserve">Solo 10 de 163 pacientes (6,13%, IC 3,15-11,30) con NE que al 4º día no alcanzan al menos el 60% de los requerimientos nutricionales (15 kcal/kg/día y 0,8 g/kg/día) reciben nutrición parenteral complementaria (NPC) durante las 24 horas posteriores a la detección.</w:t>
      </w:r>
    </w:p>
    <w:p>
      <w:pPr>
        <w:pStyle w:val="BodyText"/>
      </w:pPr>
      <w:r>
        <w:t xml:space="preserve">En las tablas se muestra la distribución por grupos de aporte calórico y proteico al 4º día. Para el cálculo del indicador, se han tenido en cuenta los pacientes que no llegan al 60% de los requerimientos en al menos uno de los casos.</w:t>
      </w:r>
    </w:p>
    <w:p>
      <w:pPr>
        <w:pStyle w:val="TableCaption"/>
      </w:pPr>
      <w:r>
        <w:rPr>
          <w:b/>
          <w:bCs/>
        </w:rPr>
        <w:t xml:space="preserve">Aporte calórico día 4 (kcal/kg/día)</w:t>
      </w:r>
      <w:r>
        <w:t xml:space="preserve"> </w:t>
      </w:r>
      <w:r>
        <w:t xml:space="preserve">| Intervalo de referencia: 25 - 30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calórico día 4 (kcal/kg/día) | Intervalo de referencia: 25 - 3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Aporte proteico día 4 (g/kg/día)</w:t>
      </w:r>
      <w:r>
        <w:t xml:space="preserve"> </w:t>
      </w:r>
      <w:r>
        <w:t xml:space="preserve">| Intervalo de referencia: 1.3 - 1.5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orte proteico día 4 (g/kg/día) | Intervalo de referencia: 1.3 - 1.5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subóptimo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</w:t>
            </w:r>
          </w:p>
        </w:tc>
      </w:tr>
    </w:tbl>
    <w:p>
      <w:pPr>
        <w:pStyle w:val="BodyText"/>
      </w:pPr>
      <w:r>
        <w:t xml:space="preserve">El gráfico muestra el tiempo de inicio hasta la NPC. Solo 19 de los 163 pacientes que no alcanzan el 60% de los requerimientos reciben NPC.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79dda0d7110aed0576258da4f71a1b9d22021b7"/>
    <w:p>
      <w:pPr>
        <w:pStyle w:val="Heading2"/>
      </w:pPr>
      <w:r>
        <w:t xml:space="preserve">Monitorización de la nutrición enteral (100%)</w:t>
      </w:r>
    </w:p>
    <w:p>
      <w:pPr>
        <w:pStyle w:val="FirstParagraph"/>
      </w:pPr>
      <w:r>
        <w:t xml:space="preserve">La monitorización de la NE es correcta en 101 de los 444 que reciben NE (22,75%, IC 18,99-26,99).</w:t>
      </w:r>
    </w:p>
    <w:p>
      <w:pPr>
        <w:pStyle w:val="BodyText"/>
      </w:pPr>
      <w:r>
        <w:t xml:space="preserve">En el gráfico se muestran los porcentajes de cumplimiento para cada uno de los controles. Para pacientes que iniciaron NE se considera que la monitorización es correcta si existen 2 controles (día 7 y alta) si se mantiene la NE durante 14 días o más o 1 control (día 7 o alta) si se mantiene durante menos de 14 días. Para pacientes que recibieron NPT y posteriormente NE, se considera correcta si existe 1 control al alta.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Xac28a3da69befe7d42be65fe6edcb03ddf4edfe"/>
    <w:p>
      <w:pPr>
        <w:pStyle w:val="Heading2"/>
      </w:pPr>
      <w:r>
        <w:t xml:space="preserve">Definición Disfunción Hepática Asociada a la Nutrición Parenteral (&lt;20%)</w:t>
      </w:r>
    </w:p>
    <w:p>
      <w:pPr>
        <w:pStyle w:val="FirstParagraph"/>
      </w:pPr>
      <w:r>
        <w:t xml:space="preserve">De los 101 pacientes que pasan más de 7 días con NP, se excluyen del cálculo 17 registros que no contienen al menos el 50% de los datos en alguno de los controles (día 7 o alta). De los 84 restantes, 75 (89,29%, IC 80,16-94,68) cumplen los criterios de Disfunción Hepática Asociada a la Nutrición Parenteral (DHANP).</w:t>
      </w:r>
    </w:p>
    <w:p>
      <w:pPr>
        <w:pStyle w:val="BodyText"/>
      </w:pPr>
      <w:r>
        <w:t xml:space="preserve">La inclusión de pacientes con registros incompletos tiende a infraestimar la incidencia de DHANP (75,25% de los casos).</w:t>
      </w:r>
    </w:p>
    <w:p>
      <w:pPr>
        <w:pStyle w:val="BodyText"/>
      </w:pPr>
      <w:r>
        <w:t xml:space="preserve">Se incluye un diagrama de Venn con la relación entre las 2 categorías. El patrón mayoritario de DHANP es colestásico, con 22 casos (29,3%) de lesión mixta. No se observa ningún caso de necrosis pura.</w:t>
      </w:r>
    </w:p>
    <w:p>
      <w:pPr>
        <w:pStyle w:val="BodyText"/>
      </w:pPr>
      <w:r>
        <w:t xml:space="preserve">El gráfico de cajas muestra la evolución de cada biomarcador en este subconjunto de pacientes. Existe una tendencia marcada al alza para la fosfatasa alcalina y la gamma-glutamil transferasa (GGT), mientras que el resto de biomarcadores se mantienen constantes o incluso muestran una tendencia a la baja, como el Índice Internacional Normalizado (INR). Cabe destacar que más del 50% de estos pacientes presentan la GGT por encima del umbral diagnóstico desde el primer día.</w:t>
      </w:r>
    </w:p>
    <w:p>
      <w:pPr>
        <w:pStyle w:val="BodyText"/>
      </w:pPr>
      <w:r>
        <w:t xml:space="preserve">No se incluyen los valores de significación estadística debido al elevado número de valores faltantes, que imposibilitan su cálculo adecuado mediante la prueba no paramétrica de Friedman para medidas repetidas.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2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2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resumen-de-indicadores"/>
    <w:p>
      <w:pPr>
        <w:pStyle w:val="Heading2"/>
      </w:pPr>
      <w:r>
        <w:t xml:space="preserve">Resumen de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550"/>
        <w:gridCol w:w="770"/>
        <w:gridCol w:w="1100"/>
        <w:gridCol w:w="20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(inf – sup)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Riesgo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(94.98 – 98.18)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Estado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(97.97 – 100.00)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Aporte calórico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(35.50 – 44.18)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Aporte proteico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(34.55 – 43.19)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NE precoz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(69.61 – 78.68)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NPT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(61.26 – 74.78)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NPC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(3.15 – 11.30)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Monitorización 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(18.99 – 26.99)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DHANP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(80.16 – 94.68)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</w:tr>
    </w:tbl>
    <w:bookmarkEnd w:id="48"/>
    <w:bookmarkEnd w:id="49"/>
    <w:bookmarkStart w:id="50" w:name="anexo.-código-r"/>
    <w:p>
      <w:pPr>
        <w:pStyle w:val="Heading1"/>
      </w:pPr>
      <w:r>
        <w:t xml:space="preserve">Anexo. Código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br/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prompt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tidy.opts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width.cutoff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Sys.setlocale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"LC_TIME"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Instalación de paquetes ----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"rstatix"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"rstatix"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"gtsummary"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"gtsummary"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"ggalluvial"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"ggalluvial"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"viridisLite"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"viridisLite"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Gestión de datos y archivos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Estadística y gráficos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(ggalluvial)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(ggvenn)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(viridisLite)</w:t>
      </w:r>
      <w:r>
        <w:br/>
      </w:r>
      <w:r>
        <w:br/>
      </w:r>
      <w:r>
        <w:br/>
      </w:r>
      <w:r>
        <w:rPr>
          <w:rStyle w:val="CommentTok"/>
        </w:rPr>
        <w:t xml:space="preserve"># ---- Preparación de los datos ----</w:t>
      </w:r>
      <w:r>
        <w:br/>
      </w:r>
      <w:r>
        <w:br/>
      </w:r>
      <w:r>
        <w:rPr>
          <w:rStyle w:val="CommentTok"/>
        </w:rPr>
        <w:t xml:space="preserve"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"ENPIC_BMI_525.sav"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</w:t>
      </w:r>
      <w:r>
        <w:br/>
      </w:r>
      <w:r>
        <w:br/>
      </w:r>
      <w:r>
        <w:rPr>
          <w:rStyle w:val="CommentTok"/>
        </w:rPr>
        <w:t xml:space="preserve"># Corrección de errores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tabla_muestra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(SN, EDAD, SEXO, BMI, STATUS3, NUTRIC_Score, DIAS_UCI, DIAS_HOSP,</w:t>
      </w:r>
      <w:r>
        <w:br/>
      </w:r>
      <w:r>
        <w:rPr>
          <w:rStyle w:val="NormalTok"/>
        </w:rPr>
        <w:t xml:space="preserve">         TOTAL_DIAS_SN, VM, DIASVM, DIAS_HOSP, Estado28d)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(SEXO, STATUS3, Estado28d),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(VM),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(STATUS3),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"QUIRURGICO"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"Quirúrgico"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"MEDICO"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"TRAUMA"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"Traumático"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Estado28d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(Estado28d),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"Ingresado"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(Estado28d)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"dichotomous"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"dichotomous"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"Mujer"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SEXO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"Sexo (Mujer)"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STATUS3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"Grupo diagnóstico"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DIAS_UCI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"Estancia en UCI (días)"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DIAS_HOSP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"Estancia en Hospital (días)"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VM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"Ventilación Mecánica"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Estado28d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"Estado a los 28 días de ingreso"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"{median} [{p25}, {p75}]"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"**Total**&lt;br&gt;N = {N}"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"**Variable**"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"**Valor p**"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modify_footnote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"Valores expresados como mediana [RIC] o n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p.value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"Prueba de la suma de rangos de Wilcoxon; Prueba de Chi-cuadrado de Pearson; Prueba exacta de Fisher"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tabla_muestra</w:t>
      </w:r>
      <w:r>
        <w:br/>
      </w:r>
      <w:r>
        <w:rPr>
          <w:rStyle w:val="CommentTok"/>
        </w:rPr>
        <w:t xml:space="preserve"># ---- I1. Identificación de enfermos en riesgo nutricional ----</w:t>
      </w:r>
      <w:r>
        <w:br/>
      </w:r>
      <w:r>
        <w:br/>
      </w:r>
      <w:r>
        <w:rPr>
          <w:rStyle w:val="NormalTok"/>
        </w:rPr>
        <w:t xml:space="preserve">resumen_i1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estancia &gt; 48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(DIASUCI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Gestión de registros erróneos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Riesgo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plot_nutric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(NUTRIC_Score), NUTRIC_Score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Riesgo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(NUTRIC_Score),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Riesgo))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 puntuaciones de 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casos"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plot_nutric</w:t>
      </w:r>
      <w:r>
        <w:br/>
      </w:r>
      <w:r>
        <w:br/>
      </w:r>
      <w:r>
        <w:rPr>
          <w:rStyle w:val="CommentTok"/>
        </w:rPr>
        <w:t xml:space="preserve"># Inferencia:</w:t>
      </w:r>
      <w:r>
        <w:br/>
      </w:r>
      <w:r>
        <w:rPr>
          <w:rStyle w:val="CommentTok"/>
        </w:rPr>
        <w:t xml:space="preserve"># - ¿Riesgo nutricional afecta al tiempo en la UCI / mortalidad?</w:t>
      </w:r>
      <w:r>
        <w:br/>
      </w:r>
      <w:r>
        <w:rPr>
          <w:rStyle w:val="CommentTok"/>
        </w:rPr>
        <w:t xml:space="preserve"># - ¿Hay diferencias en outcomes según grupo de riesgo y cumplimiento de objetivos?</w:t>
      </w:r>
      <w:r>
        <w:br/>
      </w:r>
      <w:r>
        <w:rPr>
          <w:rStyle w:val="CommentTok"/>
        </w:rPr>
        <w:t xml:space="preserve"># - ¿Predicciones?</w:t>
      </w:r>
      <w:r>
        <w:br/>
      </w:r>
      <w:r>
        <w:br/>
      </w:r>
      <w:r>
        <w:rPr>
          <w:rStyle w:val="CommentTok"/>
        </w:rPr>
        <w:t xml:space="preserve"># ---- I2. Valoración del estado nutricional ----</w:t>
      </w:r>
      <w:r>
        <w:br/>
      </w:r>
      <w:r>
        <w:br/>
      </w:r>
      <w:r>
        <w:rPr>
          <w:rStyle w:val="NormalTok"/>
        </w:rPr>
        <w:t xml:space="preserve">resumen_i2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riesgo nutricional (NUTRIC Score &gt; 5)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NUTRIC_Score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Estado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(VGSING2)),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I4. Adecuación del aporte calórico y proteico ----</w:t>
      </w:r>
      <w:r>
        <w:br/>
      </w:r>
      <w:r>
        <w:br/>
      </w:r>
      <w:r>
        <w:rPr>
          <w:rStyle w:val="CommentTok"/>
        </w:rPr>
        <w:t xml:space="preserve"># Cálculos adicionales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Cálculo del peso ideal y del peso ajustado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Peso_ideal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(TALLA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Peso_ajustado =</w:t>
      </w:r>
      <w:r>
        <w:rPr>
          <w:rStyle w:val="NormalTok"/>
        </w:rPr>
        <w:t xml:space="preserve"> (PESOACT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Peso_ideal)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Peso_ideal,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Peso a utilizar según IMC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Peso_calculo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(BMI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PESOACT, Peso_ajustado),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calórico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calórico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proteico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proteico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calórico</w:t>
      </w:r>
      <w:r>
        <w:br/>
      </w:r>
      <w:r>
        <w:rPr>
          <w:rStyle w:val="NormalTok"/>
        </w:rPr>
        <w:t xml:space="preserve">resumen_i4_cal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(Media_cal_estable))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"4a. Aporte calórico"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(Media_cal_estable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Media_cal_estable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proteico</w:t>
      </w:r>
      <w:r>
        <w:br/>
      </w:r>
      <w:r>
        <w:rPr>
          <w:rStyle w:val="NormalTok"/>
        </w:rPr>
        <w:t xml:space="preserve">resumen_i4_prot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(Media_prot_estable))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"4b. Aporte proteico"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(Media_prot_estable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  Media_prot_estable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resumen_i4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(resumen_i4_cal, resumen_i4_prot)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(resumen_i4_cal, resumen_i4_prot)</w:t>
      </w:r>
      <w:r>
        <w:br/>
      </w:r>
      <w:r>
        <w:br/>
      </w:r>
      <w:r>
        <w:rPr>
          <w:rStyle w:val="CommentTok"/>
        </w:rPr>
        <w:t xml:space="preserve">#' Análisis del error en 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Clasifica las observaciones en cuatro categorías según un intervalo de</w:t>
      </w:r>
      <w:r>
        <w:br/>
      </w:r>
      <w:r>
        <w:rPr>
          <w:rStyle w:val="CommentTok"/>
        </w:rPr>
        <w:t xml:space="preserve">#' referencia y devuelve una tabla formatada con `knitr::kable`.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columna El nombre de la columna a analizar (sin comillas).</w:t>
      </w:r>
      <w:r>
        <w:br/>
      </w:r>
      <w:r>
        <w:rPr>
          <w:rStyle w:val="CommentTok"/>
        </w:rPr>
        <w:t xml:space="preserve">#' @param valor_inf Numérico. Límite inferior del intervalo de referencia.</w:t>
      </w:r>
      <w:r>
        <w:br/>
      </w:r>
      <w:r>
        <w:rPr>
          <w:rStyle w:val="CommentTok"/>
        </w:rPr>
        <w:t xml:space="preserve">#' @param valor_sup Numérico. Límite superior del intervalo de referencia.</w:t>
      </w:r>
      <w:r>
        <w:br/>
      </w:r>
      <w:r>
        <w:rPr>
          <w:rStyle w:val="CommentTok"/>
        </w:rPr>
        <w:t xml:space="preserve">#' @param etiqueta Cadena de texto (opcional). El nombre de la variable que</w:t>
      </w:r>
      <w:r>
        <w:br/>
      </w:r>
      <w:r>
        <w:rPr>
          <w:rStyle w:val="CommentTok"/>
        </w:rPr>
        <w:t xml:space="preserve">#' aparecerá en el título de la tabla. Por defecto es "variable".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Una tabla objeto \code{knitr_kable} con el resumen de fercuencias</w:t>
      </w:r>
      <w:r>
        <w:br/>
      </w:r>
      <w:r>
        <w:rPr>
          <w:rStyle w:val="CommentTok"/>
        </w:rPr>
        <w:t xml:space="preserve">#' y porcentajes por categoría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filter mutate case_when group_by summarise n</w:t>
      </w:r>
      <w:r>
        <w:br/>
      </w:r>
      <w:r>
        <w:rPr>
          <w:rStyle w:val="CommentTok"/>
        </w:rPr>
        <w:t xml:space="preserve">#' @importFrom knitr kable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analisis_aporte(df, media_calorias, 25, 30, "Calorías")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analisis_aporte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columna, valor_inf, valor_sup,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Intervalo de referencia</w:t>
      </w:r>
      <w:r>
        <w:br/>
      </w:r>
      <w:r>
        <w:rPr>
          <w:rStyle w:val="NormalTok"/>
        </w:rPr>
        <w:t xml:space="preserve">  intervalo_ref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(valor_inf,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valor_sup)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Filtrado de pacientes con datos en la fase de estudio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columna }}))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Casos de error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"Aporte subóptimo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(Categoria,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"Aporte subóptimo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Resumen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(Categoria)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Total_grupo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Porcentaje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((Total_grupo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(Total_grupo))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(error,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"Recuento"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"Porcentaje (%)"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 etiqueta, </w:t>
      </w:r>
      <w:r>
        <w:rPr>
          <w:rStyle w:val="StringTok"/>
        </w:rPr>
        <w:t xml:space="preserve">"** | Intervalo de referencia: "</w:t>
      </w:r>
      <w:r>
        <w:rPr>
          <w:rStyle w:val="NormalTok"/>
        </w:rPr>
        <w:t xml:space="preserve">, intervalo_ref</w:t>
      </w:r>
      <w:r>
        <w:br/>
      </w:r>
      <w:r>
        <w:rPr>
          <w:rStyle w:val="NormalTok"/>
        </w:rPr>
        <w:t xml:space="preserve">               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Tablas</w:t>
      </w:r>
      <w:r>
        <w:br/>
      </w:r>
      <w:r>
        <w:rPr>
          <w:rStyle w:val="NormalTok"/>
        </w:rPr>
        <w:t xml:space="preserve">tabla_cal_aguda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Media_cal_aguda,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aguda (kcal/kg/día)"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tabla_cal_estable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Media_cal_estable,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estable (kcal/kg/día)"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tabla_prot_aguda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Media_prot_aguda,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aguda (g/kg/día)"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tabla_prot_estable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Media_prot_estable,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estable (g/kg/día)"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tabla_cal_aguda</w:t>
      </w:r>
      <w:r>
        <w:br/>
      </w:r>
      <w:r>
        <w:rPr>
          <w:rStyle w:val="NormalTok"/>
        </w:rPr>
        <w:t xml:space="preserve">tabla_cal_estable</w:t>
      </w:r>
      <w:r>
        <w:br/>
      </w:r>
      <w:r>
        <w:rPr>
          <w:rStyle w:val="NormalTok"/>
        </w:rPr>
        <w:t xml:space="preserve">tabla_prot_aguda</w:t>
      </w:r>
      <w:r>
        <w:br/>
      </w:r>
      <w:r>
        <w:rPr>
          <w:rStyle w:val="NormalTok"/>
        </w:rPr>
        <w:t xml:space="preserve">tabla_prot_estable</w:t>
      </w:r>
      <w:r>
        <w:br/>
      </w:r>
      <w:r>
        <w:br/>
      </w:r>
      <w:r>
        <w:rPr>
          <w:rStyle w:val="CommentTok"/>
        </w:rPr>
        <w:t xml:space="preserve">#' Progresión del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Calcula la mediana y el rango intercuartílico del aporte nutricional por día</w:t>
      </w:r>
      <w:r>
        <w:br/>
      </w:r>
      <w:r>
        <w:rPr>
          <w:rStyle w:val="CommentTok"/>
        </w:rPr>
        <w:t xml:space="preserve">#' y devuelve el gráfico de progresión temporal formatado con `ggplot2`.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categoria El nombre de la variable a analizar ("CALORIA" o "PROT").</w:t>
      </w:r>
      <w:r>
        <w:br/>
      </w:r>
      <w:r>
        <w:rPr>
          <w:rStyle w:val="CommentTok"/>
        </w:rPr>
        <w:t xml:space="preserve">#' @param comparar Muestra la comparación entre dos grupos (FALSE por defecto).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 objeto `ggplot` con la representació visual de la aportación.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select starts_with mutate filter group_by summarise if_else</w:t>
      </w:r>
      <w:r>
        <w:br/>
      </w:r>
      <w:r>
        <w:rPr>
          <w:rStyle w:val="CommentTok"/>
        </w:rPr>
        <w:t xml:space="preserve">#' @importFrom tidyr pivot_longer</w:t>
      </w:r>
      <w:r>
        <w:br/>
      </w:r>
      <w:r>
        <w:rPr>
          <w:rStyle w:val="CommentTok"/>
        </w:rPr>
        <w:t xml:space="preserve">#' @importFrom ggplot2 ggplot aes geom_ribbon geom_line geom_point annotate scale_color_viridis_c scale_fill_viridis_c scale_x_continuous scale_y_continuous theme_minimal labs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progresion_aporte(df, "CALORIA")</w:t>
      </w:r>
      <w:r>
        <w:br/>
      </w:r>
      <w:r>
        <w:rPr>
          <w:rStyle w:val="CommentTok"/>
        </w:rPr>
        <w:t xml:space="preserve">#' progresion_aporte(df, "PROT")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progresion_aporte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categoria, </w:t>
      </w:r>
      <w:r>
        <w:rPr>
          <w:rStyle w:val="AttributeTok"/>
        </w:rPr>
        <w:t xml:space="preserve">comparar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Determinación de variables según la categoría</w:t>
      </w:r>
      <w:r>
        <w:br/>
      </w:r>
      <w:r>
        <w:rPr>
          <w:rStyle w:val="NormalTok"/>
        </w:rPr>
        <w:t xml:space="preserve">  caloria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categoria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br/>
      </w:r>
      <w:r>
        <w:rPr>
          <w:rStyle w:val="NormalTok"/>
        </w:rPr>
        <w:t xml:space="preserve">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"calórico"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"proteico"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unidades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"kcal/kg/día"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"g/kg/día"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Objetivos dinámicos</w:t>
      </w:r>
      <w:r>
        <w:br/>
      </w:r>
      <w:r>
        <w:rPr>
          <w:rStyle w:val="NormalTok"/>
        </w:rPr>
        <w:t xml:space="preserve">  fase_aguda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fase_estable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objetivos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(fase_aguda, fase_estable),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"Fase aguda"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"Fase 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Agrupación dinámica</w:t>
      </w:r>
      <w:r>
        <w:br/>
      </w:r>
      <w:r>
        <w:rPr>
          <w:rStyle w:val="NormalTok"/>
        </w:rPr>
        <w:t xml:space="preserve">  grupos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(comparar)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"NUTRISCOR2"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Procesamiento de datos</w:t>
      </w:r>
      <w:r>
        <w:br/>
      </w:r>
      <w:r>
        <w:rPr>
          <w:rStyle w:val="NormalTok"/>
        </w:rPr>
        <w:t xml:space="preserve">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4.1. Recodificación del riesgo nutricional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NUTRISCOR2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(NUTRISCOR2,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"Riesgo bajo (NUTRIC Score &lt; 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"Riesgo alto (NUTRIC Score &gt;= 5)"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4.1. Selección de categoría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"NUTRISCOR2"</w:t>
      </w:r>
      <w:r>
        <w:rPr>
          <w:rStyle w:val="NormalTok"/>
        </w:rPr>
        <w:t xml:space="preserve">), Peso_calculo,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4.2. Cálculo del aporte por kg y día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categoria,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(Día),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Aporte =</w:t>
      </w:r>
      <w:r>
        <w:rPr>
          <w:rStyle w:val="NormalTok"/>
        </w:rPr>
        <w:t xml:space="preserve"> Aporte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4.3. Filtraje de NA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(Día),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(Aporte))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Si se comparan grupos, elimina NA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(comparar) {</w:t>
      </w:r>
      <w:r>
        <w:br/>
      </w:r>
      <w:r>
        <w:rPr>
          <w:rStyle w:val="NormalTok"/>
        </w:rPr>
        <w:t xml:space="preserve">  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(NUTRISCOR2))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Cálculo de mediana y RIQ por día</w:t>
      </w:r>
      <w:r>
        <w:br/>
      </w:r>
      <w:r>
        <w:rPr>
          <w:rStyle w:val="NormalTok"/>
        </w:rPr>
        <w:t xml:space="preserve">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(grupos)))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Mediana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(Aporte,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7. Gráfico de progresión temporal</w:t>
      </w:r>
      <w:r>
        <w:br/>
      </w:r>
      <w:r>
        <w:rPr>
          <w:rStyle w:val="NormalTok"/>
        </w:rPr>
        <w:t xml:space="preserve">  plot_out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Día,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7.1. Sombreado del RIQ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P25,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P75),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7.2. Línea de tendencia principal y puntos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7.3. Líneas de objetivo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objetivos,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Fase),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7.4. Estética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"Objetivos nutricionales:"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"Fase aguda"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"Fase estable"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P75)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7.5. Texto y etiquetas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"Progresión del aporte "</w:t>
      </w:r>
      <w:r>
        <w:rPr>
          <w:rStyle w:val="NormalTok"/>
        </w:rPr>
        <w:t xml:space="preserve">, variable, </w:t>
      </w:r>
      <w:r>
        <w:rPr>
          <w:rStyle w:val="StringTok"/>
        </w:rPr>
        <w:t xml:space="preserve">" diario"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"Mediana de 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 con rango intercuartílico"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"Aporte ("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"Referencias:"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(comparar) {</w:t>
      </w:r>
      <w:r>
        <w:br/>
      </w:r>
      <w:r>
        <w:rPr>
          <w:rStyle w:val="NormalTok"/>
        </w:rPr>
        <w:t xml:space="preserve">    plot_out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plot_out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NUTRISCOR2)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(plot_out)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Gráficos</w:t>
      </w:r>
      <w:r>
        <w:br/>
      </w:r>
      <w:r>
        <w:rPr>
          <w:rStyle w:val="NormalTok"/>
        </w:rPr>
        <w:t xml:space="preserve">plot_calorias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plot_proteinas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plot_comp_cal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comparar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plot_comp_prot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comparar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plot_calorias</w:t>
      </w:r>
      <w:r>
        <w:br/>
      </w:r>
      <w:r>
        <w:rPr>
          <w:rStyle w:val="NormalTok"/>
        </w:rPr>
        <w:t xml:space="preserve">plot_proteinas</w:t>
      </w:r>
      <w:r>
        <w:br/>
      </w:r>
      <w:r>
        <w:br/>
      </w:r>
      <w:r>
        <w:rPr>
          <w:rStyle w:val="NormalTok"/>
        </w:rPr>
        <w:t xml:space="preserve">plot_comp_cal</w:t>
      </w:r>
      <w:r>
        <w:br/>
      </w:r>
      <w:r>
        <w:rPr>
          <w:rStyle w:val="NormalTok"/>
        </w:rPr>
        <w:t xml:space="preserve">plot_comp_prot</w:t>
      </w:r>
      <w:r>
        <w:br/>
      </w:r>
      <w:r>
        <w:br/>
      </w:r>
      <w:r>
        <w:rPr>
          <w:rStyle w:val="CommentTok"/>
        </w:rPr>
        <w:t xml:space="preserve">#' Comparación del aporte nutricional entre grupos de riesgo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Compara el aporte nutricional entre dos grupos con el test U de Mann-Whitney-Wilcoxon.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categoria El nombre de la variable a analizar ("CALORIA" o "PROT"). 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Una tabla objeto \code{knitr_kable} con la mediana y RIQ de cada día para cada grupo y el valor p obtenido.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select mutate filter group_by summarise if_else left_join</w:t>
      </w:r>
      <w:r>
        <w:br/>
      </w:r>
      <w:r>
        <w:rPr>
          <w:rStyle w:val="CommentTok"/>
        </w:rPr>
        <w:t xml:space="preserve">#' @importFrom tidyr pivot_longer pivot_wider</w:t>
      </w:r>
      <w:r>
        <w:br/>
      </w:r>
      <w:r>
        <w:rPr>
          <w:rStyle w:val="CommentTok"/>
        </w:rPr>
        <w:t xml:space="preserve">#' @importFrom rstatix wilcox_test add_significance</w:t>
      </w:r>
      <w:r>
        <w:br/>
      </w:r>
      <w:r>
        <w:rPr>
          <w:rStyle w:val="CommentTok"/>
        </w:rPr>
        <w:t xml:space="preserve">#' @importFrom knitr kable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progresion_aporte(df, "CALORIA")</w:t>
      </w:r>
      <w:r>
        <w:br/>
      </w:r>
      <w:r>
        <w:rPr>
          <w:rStyle w:val="CommentTok"/>
        </w:rPr>
        <w:t xml:space="preserve">#' progresion_aporte(df, "PROT")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comparacion_aporte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categoria)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Determinación de variables según la categoría</w:t>
      </w:r>
      <w:r>
        <w:br/>
      </w:r>
      <w:r>
        <w:rPr>
          <w:rStyle w:val="NormalTok"/>
        </w:rPr>
        <w:t xml:space="preserve">  caloria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categoria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br/>
      </w:r>
      <w:r>
        <w:rPr>
          <w:rStyle w:val="NormalTok"/>
        </w:rPr>
        <w:t xml:space="preserve">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"calórico"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"proteico"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unidades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"kcal/kg/día"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"g/kg/día"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(NUTRISCOR2, Peso_calculo,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categoria,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(Día),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Aporte =</w:t>
      </w:r>
      <w:r>
        <w:rPr>
          <w:rStyle w:val="NormalTok"/>
        </w:rPr>
        <w:t xml:space="preserve"> Aporte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(Día),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(Aporte),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(NUTRISCOR2))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p_valores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(Día)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(Aporte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NUTRISCOR2)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(Día, p)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(Día, NUTRISCOR2)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estado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(Aporte),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NUTRISCOR2,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estado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(p_valores,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Día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Riesgo bajo (Mediana [RIC])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0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Riesgo alto (Mediana [RIC])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1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Valor p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(tabla,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"**Comparación de aporte "</w:t>
      </w:r>
      <w:r>
        <w:rPr>
          <w:rStyle w:val="NormalTok"/>
        </w:rPr>
        <w:t xml:space="preserve">, variable, </w:t>
      </w:r>
      <w:r>
        <w:rPr>
          <w:rStyle w:val="StringTok"/>
        </w:rPr>
        <w:t xml:space="preserve">"** ("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")"</w:t>
      </w:r>
      <w:r>
        <w:br/>
      </w:r>
      <w:r>
        <w:rPr>
          <w:rStyle w:val="NormalTok"/>
        </w:rPr>
        <w:t xml:space="preserve">               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"crrr"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tabla_comp_cal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comparacion_aporte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tabla_comp_prot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comparacion_aporte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tabla_comp_cal</w:t>
      </w:r>
      <w:r>
        <w:br/>
      </w:r>
      <w:r>
        <w:rPr>
          <w:rStyle w:val="NormalTok"/>
        </w:rPr>
        <w:t xml:space="preserve">tabla_comp_prot</w:t>
      </w:r>
      <w:r>
        <w:br/>
      </w:r>
      <w:r>
        <w:rPr>
          <w:rStyle w:val="CommentTok"/>
        </w:rPr>
        <w:t xml:space="preserve"># Días dentro del rango objetivo (calorías)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(n_dias_cal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(n_dias_rango_cal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n_dias_cal)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Días dentro del rango objetivo (proteínas)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(n_dias_prot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(n_dias_rango_prot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n_dias_prot)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Boxplot</w:t>
      </w:r>
      <w:r>
        <w:br/>
      </w:r>
      <w:r>
        <w:rPr>
          <w:rStyle w:val="NormalTok"/>
        </w:rPr>
        <w:t xml:space="preserve">plot_cumplimiento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Selección de columnas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(NUTRISCOR2, cumplimiento_cal, cumplimiento_prot)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Conversión a formato largo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(cumplimiento_cal, cumplimiento_prot),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"Indicador"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Recodificación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NUTRISCOR2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(NUTRISCOR2,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"Riesgo 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"Riesgo alto"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(Indicador,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"cumplimiento_cal"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"Calorías"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"cumplimiento_prot"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"Proteínas"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Filtraje de valores faltantes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(Porcentaje),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(NUTRISCOR2))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Indicador,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NUTRISCOR2))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Estética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del aporte nutricional según riesgo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"Fase estable (días 4-14)"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días en rango por paciente"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Valor p del test U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stat_compare_means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"wilcox.test"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"p.format"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plot_cumplimiento</w:t>
      </w:r>
      <w:r>
        <w:br/>
      </w:r>
      <w:r>
        <w:br/>
      </w:r>
      <w:r>
        <w:rPr>
          <w:rStyle w:val="CommentTok"/>
        </w:rPr>
        <w:t xml:space="preserve">#' Tabla de contingencia y test de McNemar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Clasifica el aporte nutricional en función del umbral del 80% y genera una tabla de contingencia que muestra la evolución entre fase aguda y fase estable.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categoria El nombre de la variable a analizar ("CALORIA" o "PROT"). </w:t>
      </w:r>
      <w:r>
        <w:br/>
      </w:r>
      <w:r>
        <w:rPr>
          <w:rStyle w:val="CommentTok"/>
        </w:rPr>
        <w:t xml:space="preserve">#' @param valor_ag Numérico. Valor de corte en fase aguda.</w:t>
      </w:r>
      <w:r>
        <w:br/>
      </w:r>
      <w:r>
        <w:rPr>
          <w:rStyle w:val="CommentTok"/>
        </w:rPr>
        <w:t xml:space="preserve">#' @param valor_es Numérico. Valor de corte en fase estable.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Una tabla objeto \code{knitr_kable} con los valores absolutos, los porcentajes y el valor p.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mutate if_else</w:t>
      </w:r>
      <w:r>
        <w:br/>
      </w:r>
      <w:r>
        <w:rPr>
          <w:rStyle w:val="CommentTok"/>
        </w:rPr>
        <w:t xml:space="preserve">#' @importFrom rlang sym !!</w:t>
      </w:r>
      <w:r>
        <w:br/>
      </w:r>
      <w:r>
        <w:rPr>
          <w:rStyle w:val="CommentTok"/>
        </w:rPr>
        <w:t xml:space="preserve">#' @importFrom knitr kable</w:t>
      </w:r>
      <w:r>
        <w:br/>
      </w:r>
      <w:r>
        <w:rPr>
          <w:rStyle w:val="CommentTok"/>
        </w:rPr>
        <w:t xml:space="preserve">#' @importFrom stats mcnemar.test prop.table addmargins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grupos_aporte(df, "CALORIA", 15, 20)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grupos_aporte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(datos, categoria, valor_ag, valor_es)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Selección de columnas según la categoría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(categoria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col_aguda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"Media_cal_aguda"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"Media_cal_estable"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"calórico"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col_aguda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"Media_prot_aguda"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"Media_prot_estable"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"proteico"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Comparación fase aguda - fase estable</w:t>
      </w:r>
      <w:r>
        <w:br/>
      </w:r>
      <w:r>
        <w:rPr>
          <w:rStyle w:val="NormalTok"/>
        </w:rPr>
        <w:t xml:space="preserve">  cambio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Grupo de aporte nutricional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grupo_aguda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col_aguda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valor_ag), </w:t>
      </w:r>
      <w:r>
        <w:rPr>
          <w:rStyle w:val="StringTok"/>
        </w:rPr>
        <w:t xml:space="preserve">"Bajo (&lt;80%)"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"Adecuado"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grupo_estable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col_estable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valor_es), </w:t>
      </w:r>
      <w:r>
        <w:rPr>
          <w:rStyle w:val="StringTok"/>
        </w:rPr>
        <w:t xml:space="preserve">"Bajo (&lt;80%)"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"Adecuado"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grupo_aguda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(grupo_aguda,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"Bajo (&lt;80%)"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"Adecuado"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grupo_estable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(grupo_estable,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"Bajo (&lt;80%)"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"Adecuado"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Estructura de las tablas (valores absolutos y %)</w:t>
      </w:r>
      <w:r>
        <w:br/>
      </w:r>
      <w:r>
        <w:rPr>
          <w:rStyle w:val="NormalTok"/>
        </w:rPr>
        <w:t xml:space="preserve">  tabla_abs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(cambio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grupo_aguda, cambio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grupo_estable)</w:t>
      </w:r>
      <w:r>
        <w:br/>
      </w:r>
      <w:r>
        <w:rPr>
          <w:rStyle w:val="NormalTok"/>
        </w:rPr>
        <w:t xml:space="preserve">  tabla_pct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(tabla_abs)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Test de McNemar</w:t>
      </w:r>
      <w:r>
        <w:br/>
      </w:r>
      <w:r>
        <w:rPr>
          <w:rStyle w:val="NormalTok"/>
        </w:rPr>
        <w:t xml:space="preserve">  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mcnemar.test</w:t>
      </w:r>
      <w:r>
        <w:rPr>
          <w:rStyle w:val="NormalTok"/>
        </w:rPr>
        <w:t xml:space="preserve">(tabla_abs)</w:t>
      </w:r>
      <w:r>
        <w:br/>
      </w:r>
      <w:r>
        <w:rPr>
          <w:rStyle w:val="NormalTok"/>
        </w:rPr>
        <w:t xml:space="preserve">  p_valor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p_text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p_valor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&lt; 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(p_valor,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Márgenes con totales</w:t>
      </w:r>
      <w:r>
        <w:br/>
      </w:r>
      <w:r>
        <w:rPr>
          <w:rStyle w:val="NormalTok"/>
        </w:rPr>
        <w:t xml:space="preserve">  tabla_abs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(tabla_abs)</w:t>
      </w:r>
      <w:r>
        <w:br/>
      </w:r>
      <w:r>
        <w:rPr>
          <w:rStyle w:val="NormalTok"/>
        </w:rPr>
        <w:t xml:space="preserve">  tabla_pct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(tabla_pct)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Tabla de contingencia</w:t>
      </w:r>
      <w:r>
        <w:br/>
      </w:r>
      <w:r>
        <w:rPr>
          <w:rStyle w:val="NormalTok"/>
        </w:rPr>
        <w:t xml:space="preserve">  tabla_cont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tabla_abs, tabla_pct),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(tabla_abs),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dimnames</w:t>
      </w:r>
      <w:r>
        <w:rPr>
          <w:rStyle w:val="NormalTok"/>
        </w:rPr>
        <w:t xml:space="preserve">(tabla_abs)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7. Etiquetas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(tabla_cont)[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(tabla_cont)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(tabla_cont)[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(tabla_cont)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8. Conversión a data frame</w:t>
      </w:r>
      <w:r>
        <w:br/>
      </w:r>
      <w:r>
        <w:rPr>
          <w:rStyle w:val="NormalTok"/>
        </w:rPr>
        <w:t xml:space="preserve">  df_tabla_cont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(tabla_cont)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df_tabla_cont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Fase Aguda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(df_tabla_cont), df_tabla_cont)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(df_tabla_cont)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(df_tabla_cont)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"Fase Aguda / Fase Estable"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"Bajo (&lt;80%)"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"Adecuado"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(df_tabla_cont,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"**Evolución de los niveles de aporte "</w:t>
      </w:r>
      <w:r>
        <w:rPr>
          <w:rStyle w:val="NormalTok"/>
        </w:rPr>
        <w:t xml:space="preserve">, variable,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 | Test de McNemar: "</w:t>
      </w:r>
      <w:r>
        <w:rPr>
          <w:rStyle w:val="NormalTok"/>
        </w:rPr>
        <w:t xml:space="preserve">, p_text</w:t>
      </w:r>
      <w:r>
        <w:br/>
      </w:r>
      <w:r>
        <w:rPr>
          <w:rStyle w:val="NormalTok"/>
        </w:rPr>
        <w:t xml:space="preserve">               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"lccc"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tabla_evol_cal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grupos_aporte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tabla_evol_prot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grupos_aporte</w:t>
      </w:r>
      <w:r>
        <w:rPr>
          <w:rStyle w:val="NormalTok"/>
        </w:rPr>
        <w:t xml:space="preserve">(datos,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tabla_evol_cal</w:t>
      </w:r>
      <w:r>
        <w:br/>
      </w:r>
      <w:r>
        <w:rPr>
          <w:rStyle w:val="NormalTok"/>
        </w:rPr>
        <w:t xml:space="preserve">tabla_evol_prot</w:t>
      </w:r>
      <w:r>
        <w:br/>
      </w:r>
      <w:r>
        <w:br/>
      </w:r>
      <w:r>
        <w:rPr>
          <w:rStyle w:val="CommentTok"/>
        </w:rPr>
        <w:t xml:space="preserve"># ---- I6. Nutrición enteral precoz ----</w:t>
      </w:r>
      <w:r>
        <w:br/>
      </w:r>
      <w:r>
        <w:br/>
      </w:r>
      <w:r>
        <w:rPr>
          <w:rStyle w:val="NormalTok"/>
        </w:rPr>
        <w:t xml:space="preserve">resumen_i6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 o NE-NPT e indicación de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"6. NE precoz"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(SN_Menos48h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I7. Uso adecuado de NPT ----</w:t>
      </w:r>
      <w:r>
        <w:br/>
      </w:r>
      <w:r>
        <w:br/>
      </w:r>
      <w:r>
        <w:rPr>
          <w:rStyle w:val="NormalTok"/>
        </w:rPr>
        <w:t xml:space="preserve">resumen_i7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 NPT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(INDICA_NTP_PocoAporte)),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I8. Adecuación temporal de la NPC ----</w:t>
      </w:r>
      <w:r>
        <w:br/>
      </w:r>
      <w:r>
        <w:br/>
      </w:r>
      <w:r>
        <w:rPr>
          <w:rStyle w:val="NormalTok"/>
        </w:rPr>
        <w:t xml:space="preserve">datos_npc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Pacientes con NE o NE-NPT y valores registrados del 4º día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(CALORIA4),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(PROT4))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Pacientes con &lt;60% del aporte nutricional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(CALORIA4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PROT4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Tiempo hasta inicio de NPC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parse_date_time</w:t>
      </w:r>
      <w:r>
        <w:rPr>
          <w:rStyle w:val="NormalTok"/>
        </w:rPr>
        <w:t xml:space="preserve">(FINICNE2,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orders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"ymd HMS"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"ymd 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FINICNPT2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parse_date_time</w:t>
      </w:r>
      <w:r>
        <w:rPr>
          <w:rStyle w:val="NormalTok"/>
        </w:rPr>
        <w:t xml:space="preserve">(FINICNPT2,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orders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"ymd HMS"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"ymd 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"ymd"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dias_npc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(FINICNPT2, FINICNE2,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datos_npc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 NPC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(dias_npc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nutricional en el 4º día en NE</w:t>
      </w:r>
      <w:r>
        <w:br/>
      </w:r>
      <w:r>
        <w:rPr>
          <w:rStyle w:val="NormalTok"/>
        </w:rPr>
        <w:t xml:space="preserve">tabla_cal_4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(CALORIA4),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(PROT4))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CALORIA4 =</w:t>
      </w:r>
      <w:r>
        <w:rPr>
          <w:rStyle w:val="NormalTok"/>
        </w:rPr>
        <w:t xml:space="preserve"> CALORIA4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(CALORIA4,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"Aporte calórico día 4 (kcal/kg/día)"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tabla_prot_4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(CALORIA4),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(PROT4))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PROT4 =</w:t>
      </w:r>
      <w:r>
        <w:rPr>
          <w:rStyle w:val="NormalTok"/>
        </w:rPr>
        <w:t xml:space="preserve"> PROT4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analisis_aporte</w:t>
      </w:r>
      <w:r>
        <w:rPr>
          <w:rStyle w:val="NormalTok"/>
        </w:rPr>
        <w:t xml:space="preserve">(PROT4,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"Aporte proteico día 4 (g/kg/día)"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tabla_cal_4</w:t>
      </w:r>
      <w:r>
        <w:br/>
      </w:r>
      <w:r>
        <w:rPr>
          <w:rStyle w:val="NormalTok"/>
        </w:rPr>
        <w:t xml:space="preserve">tabla_prot_4</w:t>
      </w:r>
      <w:r>
        <w:br/>
      </w:r>
      <w:r>
        <w:br/>
      </w:r>
      <w:r>
        <w:rPr>
          <w:rStyle w:val="CommentTok"/>
        </w:rPr>
        <w:t xml:space="preserve"># Tiempo de inicio de la NPC</w:t>
      </w:r>
      <w:r>
        <w:br/>
      </w:r>
      <w:r>
        <w:rPr>
          <w:rStyle w:val="NormalTok"/>
        </w:rPr>
        <w:t xml:space="preserve">plot_npc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(datos_npc,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dias_npc))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"Tiempo hasta el inicio de la NPC"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"La línea indica el punto de corte para el cálculo del indicador"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"Días desde inicio de NE hasta inicio de NPC"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pacientes"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(datos_npc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dias_npc,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plot_npc</w:t>
      </w:r>
      <w:r>
        <w:br/>
      </w:r>
      <w:r>
        <w:br/>
      </w:r>
      <w:r>
        <w:rPr>
          <w:rStyle w:val="CommentTok"/>
        </w:rPr>
        <w:t xml:space="preserve"># ---- I9. Monitorización de la NE ----</w:t>
      </w:r>
      <w:r>
        <w:br/>
      </w:r>
      <w:r>
        <w:br/>
      </w:r>
      <w:r>
        <w:rPr>
          <w:rStyle w:val="NormalTok"/>
        </w:rPr>
        <w:t xml:space="preserve">datos_monitorizacion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Registro de complicaciones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(PVRGM100)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(PDANE)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(PCLOSTDIF)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(PVOMITO)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(PBRONCOAS)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(PISQUINT), 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Cumplimiento de controles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Triglicéridos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Reg_trig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Colesterol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Reg_prealb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Perfil hepático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Reg_perf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Resumen de la monitorización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Monitorizacion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Reg_comp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Reg_trig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Reg_col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Reg_prealb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Reg_perf,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 Monitorización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(Monitorizacion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 porcentajes por control</w:t>
      </w:r>
      <w:r>
        <w:br/>
      </w:r>
      <w:r>
        <w:rPr>
          <w:rStyle w:val="NormalTok"/>
        </w:rPr>
        <w:t xml:space="preserve">plot_monitorizacion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Tabla de porcentajes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Complicaciones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Triglicéridos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(Reg_trig,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Colesterol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(Reg_prealb,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Perfil hepático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(Reg_perf,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(Control, Porcentaje),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Porcentaje))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"Monitorización de la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"Cumplimiento por caso"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cumplimiento"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(Porcentaje,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plot_monitorizacion</w:t>
      </w:r>
      <w:r>
        <w:br/>
      </w:r>
      <w:r>
        <w:br/>
      </w:r>
      <w:r>
        <w:rPr>
          <w:rStyle w:val="CommentTok"/>
        </w:rPr>
        <w:t xml:space="preserve"># ---- I12. Disfunción hepática asociada a la NP ----</w:t>
      </w:r>
      <w:r>
        <w:br/>
      </w:r>
      <w:r>
        <w:br/>
      </w:r>
      <w:r>
        <w:rPr>
          <w:rStyle w:val="CommentTok"/>
        </w:rPr>
        <w:t xml:space="preserve"># Variables de análisis</w:t>
      </w:r>
      <w:r>
        <w:br/>
      </w:r>
      <w:r>
        <w:rPr>
          <w:rStyle w:val="NormalTok"/>
        </w:rPr>
        <w:t xml:space="preserve">vars_7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"FALCALI7"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"GAMGT7"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"FILIRUB7"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vars_a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"FALCALIA"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"GAMGTA"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"FILIRUBA"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 durante al menos 7 días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(TOTALNPT22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Gestión de valores faltantes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faltantes_7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(vars_7)))),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faltantes_a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(vars_a)))),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reg_ok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(faltantes_7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faltantes_a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(faltantes_a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Filtro de calidad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(reg_ok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Pacientes con disfunción hepática según grupo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(FALCALI7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(((GOT7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Mixta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(Colestasis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Necrosis,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DHANP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(Colestasis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Necrosis,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(vars_7, vars_a)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"12. DHANP"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(DHANP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"&lt;20%"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Diagrama de Venn</w:t>
      </w:r>
      <w:r>
        <w:br/>
      </w:r>
      <w:r>
        <w:rPr>
          <w:rStyle w:val="NormalTok"/>
        </w:rPr>
        <w:t xml:space="preserve">plot_dhanp_venn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Colestasis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Necrosis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ggvenn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"Colestasis"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"Necrosis"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fill_color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fill_alpha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stroke_color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stroke_size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set_name_size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"Lesión mixta"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"Criterios de DHANP"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plot_dhanp_venn</w:t>
      </w:r>
      <w:r>
        <w:br/>
      </w:r>
      <w:r>
        <w:br/>
      </w:r>
      <w:r>
        <w:rPr>
          <w:rStyle w:val="CommentTok"/>
        </w:rPr>
        <w:t xml:space="preserve"># ¿Qué pasa con los valores faltantes?</w:t>
      </w:r>
      <w:r>
        <w:br/>
      </w:r>
      <w:r>
        <w:br/>
      </w:r>
      <w:r>
        <w:rPr>
          <w:rStyle w:val="CommentTok"/>
        </w:rPr>
        <w:t xml:space="preserve"># Umbrales diagnósticos</w:t>
      </w:r>
      <w:r>
        <w:br/>
      </w:r>
      <w:r>
        <w:rPr>
          <w:rStyle w:val="NormalTok"/>
        </w:rPr>
        <w:t xml:space="preserve">umbrales_dhanp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Biomarcador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"Fosfatasa alcalina"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"Bilirubina"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"GOT (AST)"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 (ALT)"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distribuciones</w:t>
      </w:r>
      <w:r>
        <w:br/>
      </w:r>
      <w:r>
        <w:rPr>
          <w:rStyle w:val="NormalTok"/>
        </w:rPr>
        <w:t xml:space="preserve">plot_dhanp_dist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Selección de columnas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"FALCALI"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"GAMGT"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"FILIRUB"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onversión a formato largo para ggplot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"Valor"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Recodificación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Biomarcador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(Clave, </w:t>
      </w:r>
      <w:r>
        <w:rPr>
          <w:rStyle w:val="StringTok"/>
        </w:rPr>
        <w:t xml:space="preserve">"FALCALI|GAMGT|FILIRUB|GOT|GPT|INR"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(Clave,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d+|A$"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(Día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Día),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Biomarcador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(Biomarcador,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"FALCALI"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"Fosfatasa alcalina"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"GAMGT"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"GGT"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"FILIRUB"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"Bilirubina"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"GOT"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"GOT (AST)"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"GPT"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 (ALT)"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Filtrado de valores faltantes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(Valor))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Boxplots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Día,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Valor,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Día))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5.1. Líneas de corte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umbrales_dhanp,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Corte),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5.2. Separación de gráficos por biomarcador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Biomarcador,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5.3. Estética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"Evolución de biomarcadores hepáticos en NP"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 líneas indican los puntos de corte diagnósticos"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"Valor (log10)"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plot_dhanp_dist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(umbrales_dhanp)</w:t>
      </w:r>
      <w:r>
        <w:br/>
      </w:r>
      <w:r>
        <w:br/>
      </w:r>
      <w:r>
        <w:rPr>
          <w:rStyle w:val="CommentTok"/>
        </w:rPr>
        <w:t xml:space="preserve"># ---- Tabla resumen ----</w:t>
      </w:r>
      <w:r>
        <w:br/>
      </w:r>
      <w:r>
        <w:br/>
      </w:r>
      <w:r>
        <w:rPr>
          <w:rStyle w:val="NormalTok"/>
        </w:rPr>
        <w:t xml:space="preserve">tabla_indicadores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resumen_i1, resumen_i2, resumen_i4, resumen_i6,</w:t>
      </w:r>
      <w:r>
        <w:br/>
      </w:r>
      <w:r>
        <w:rPr>
          <w:rStyle w:val="NormalTok"/>
        </w:rPr>
        <w:t xml:space="preserve">  resumen_i7, resumen_i8, resumen_i9, resumen_i12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"%.2f%%"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"Denom."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"Resultado"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"IC 95% (inf – sup)"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"Estándar"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tabla_indicadores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"^resumen"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Quins indicadors compleix cada pacient?</w:t>
      </w:r>
      <w:r>
        <w:br/>
      </w:r>
      <w:r>
        <w:br/>
      </w:r>
      <w:r>
        <w:rPr>
          <w:rStyle w:val="CommentTok"/>
        </w:rPr>
        <w:t xml:space="preserve"># Outcomes: supervivència? estat als 28 dies?</w:t>
      </w:r>
    </w:p>
    <w:bookmarkEnd w:id="50"/>
    <w:bookmarkStart w:id="54" w:name="referencias"/>
    <w:p>
      <w:pPr>
        <w:pStyle w:val="Heading1"/>
      </w:pPr>
      <w:r>
        <w:t xml:space="preserve">Referencias</w:t>
      </w:r>
    </w:p>
    <w:bookmarkStart w:id="53" w:name="refs"/>
    <w:bookmarkStart w:id="52" w:name="ref-singer201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Singer P, Blaser AR, Berger MM, Alhazzani W, Calder PC, Casaer MP, et al.</w:t>
      </w:r>
      <w:r>
        <w:t xml:space="preserve"> ESPEN guideline on clinical nutrition in the intensive care unit. Clinical Nutrition. 2019;38:48–79. doi:</w:t>
      </w:r>
      <w:hyperlink r:id="rId51">
        <w:r>
          <w:rPr>
            <w:rStyle w:val="Hyperlink"/>
          </w:rPr>
          <w:t xml:space="preserve">10.1016/j.clnu.2018.08.037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51" Target="https://doi.org/10.1016/j.clnu.2018.08.0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16/j.clnu.2018.08.0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dcterms:created xsi:type="dcterms:W3CDTF">2026-05-22T15:31:53Z</dcterms:created>
  <dcterms:modified xsi:type="dcterms:W3CDTF">2026-05-22T15:31:53Z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nlm-citation-sequence-brackets-year-only-no-issue.csl</vt:lpwstr>
  </property>
  <property fmtid="{D5CDD505-2E9C-101B-9397-08002B2CF9AE}" pid="4" name="date">
    <vt:lpwstr>2026-05-22</vt:lpwstr>
  </property>
  <property fmtid="{D5CDD505-2E9C-101B-9397-08002B2CF9AE}" pid="5" name="header-includes">
    <vt:lpwstr/>
  </property>
  <property fmtid="{D5CDD505-2E9C-101B-9397-08002B2CF9AE}" pid="6" name="output">
    <vt:lpwstr>word_document</vt:lpwstr>
  </property>
</Properties>
</file>