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2019-03-25</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una filologia attributiva assistita dagli strumenti digitali.</w:t>
      </w:r>
      <w:r>
        <w:br w:type="textWrapping"/>
      </w:r>
      <w:r>
        <w:t xml:space="preserve">Così un umanista digitale potrà estrarre un certo numero di informazioni che potranno essere poi processate, visualizzate, comparate, trasformate, passando da una realtà concreta quale, in ultima analisi, la sbavatura dell’inchiostro su una pagina del libro, ad una rappresentazione astratta e mediata dal computer di quegli stessi elementi informativi, in un incessante scambio di informazioni tra l’oggetto fisico e la sua rappresentazione digitale</w:t>
      </w:r>
      <w:r>
        <w:rPr>
          <w:rStyle w:val="FootnoteReference"/>
        </w:rPr>
        <w:footnoteReference w:id="29"/>
      </w:r>
      <w:r>
        <w:t xml:space="preserve">.</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altrettanto possibili? Notevole è il numero di studi che iniziano ad interfacciare prodotti del mondo digitale quale strumento nativo di ricerca: così emergono le analisi linguistiche dei</w:t>
      </w:r>
      <w:r>
        <w:t xml:space="preserve"> </w:t>
      </w:r>
      <w:r>
        <w:rPr>
          <w:i/>
        </w:rPr>
        <w:t xml:space="preserve">post</w:t>
      </w:r>
      <w:r>
        <w:t xml:space="preserve"> </w:t>
      </w:r>
      <w:r>
        <w:t xml:space="preserve">sui social network, si aprono le analogie tra reti sociali digitali e analogiche, si comparano i comportamenti sulle piattaforme virtuali con quelli dell’esperienza quotidiana. In tale maniera possiamo pensare a queste tecnologie non come un mero strumento utile per applicazioni con finalità statistiche e quantitative, quanto ad una integrale opera di allargamento dell’universo del conoscibile in tutte le sue forme costituenti, come spazio complanare di interessi a quelli ben sperimentati</w:t>
      </w:r>
      <w:r>
        <w:rPr>
          <w:rStyle w:val="FootnoteReference"/>
        </w:rPr>
        <w:footnoteReference w:id="30"/>
      </w:r>
      <w:r>
        <w:t xml:space="preserve">: in qualche modo, sebbene con qualche esitazione, potremmo definire che almento in parte vi è in atto un certo slittamento nel passaggio da uno studio centrato cardinalmente intorno al</w:t>
      </w:r>
      <w:r>
        <w:t xml:space="preserve"> </w:t>
      </w:r>
      <w:r>
        <w:rPr>
          <w:i/>
        </w:rPr>
        <w:t xml:space="preserve">monumento</w:t>
      </w:r>
      <w:r>
        <w:t xml:space="preserve"> </w:t>
      </w:r>
      <w:r>
        <w:t xml:space="preserve">letterario al</w:t>
      </w:r>
      <w:r>
        <w:t xml:space="preserve"> </w:t>
      </w:r>
      <w:r>
        <w:rPr>
          <w:i/>
        </w:rPr>
        <w:t xml:space="preserve">documento</w:t>
      </w:r>
      <w:r>
        <w:t xml:space="preserve">.</w:t>
      </w:r>
    </w:p>
    <w:p>
      <w:pPr>
        <w:pStyle w:val="BodyText"/>
      </w:pPr>
      <w:r>
        <w:t xml:space="preserve">La domanda iniziale, che dà il titolo a questo mio breve contributo, vorrebbe dunque focalizzarsi su un punto che potrebbe essere centrale in questa analisi: attraverso quali modalità possiamo ripensare una disciplina, quale quella degli studi umanistici, che sia al contempo basata su mezzi informatici, computazionali o digitali?</w:t>
      </w:r>
      <w:r>
        <w:t xml:space="preserve"> </w:t>
      </w:r>
      <w:r>
        <w:t xml:space="preserve">Se da un lato questo sviluppo in senso tecnico –sia pure tecnicistico– degli studi umanistici pare inarrestabile, essa comporta nondimeno una riflessione ad ampio spettro sulle modalità in cui questa si manifesta e sugli sviluppi che con essa scaturiscono per l’intera società.</w:t>
      </w:r>
    </w:p>
    <w:p>
      <w:pPr>
        <w:pStyle w:val="BodyText"/>
      </w:pPr>
      <w:r>
        <w:t xml:space="preserve">Se vi è una forma di</w:t>
      </w:r>
      <w:r>
        <w:t xml:space="preserve"> </w:t>
      </w:r>
      <w:r>
        <w:rPr>
          <w:i/>
        </w:rPr>
        <w:t xml:space="preserve">utilità</w:t>
      </w:r>
      <w:r>
        <w:t xml:space="preserve"> </w:t>
      </w:r>
      <w:r>
        <w:t xml:space="preserve">sociale che potrebbe essere indirizzata agli studi umanistici probabilmente è quella della testimonianza delle forme di conoscenza attuale verso la posterità, quel ``ponte" culturale che permetta una continuità di sapere tra ieri e domani, contingentato in uno spazio presente sfaccettato e multiforme.</w:t>
      </w:r>
      <w:r>
        <w:t xml:space="preserve"> </w:t>
      </w:r>
      <w:r>
        <w:t xml:space="preserve">In questo ponte di conoscenze in senso verticale, l’umanista potrebbe essere simbolo di un Caronte di saperi, il cui compito primario è proprio quello di ``traghettare" tali conoscenze da un punto all’altra della storia. Così egli ha ora la possibilità di riflettere su quali possano essere le tecnologie più sicure per un simile viaggio, tali da assicurare il più possibile l’accesso alla posterità e in questo senso indagare, di volta in volta, gli strumenti più adatti allo scopo, sconfinando egli stesso in aree remote di conoscenze. Lo potremo vedere p.es. mentre si applica alla trascrizione di un documento attraverso l’uso di un linguaggio di</w:t>
      </w:r>
      <w:r>
        <w:t xml:space="preserve"> </w:t>
      </w:r>
      <w:r>
        <w:rPr>
          <w:i/>
        </w:rPr>
        <w:t xml:space="preserve">markup</w:t>
      </w:r>
      <w:r>
        <w:t xml:space="preserve">, oppure perdersi in</w:t>
      </w:r>
      <w:r>
        <w:t xml:space="preserve"> </w:t>
      </w:r>
      <w:r>
        <w:rPr>
          <w:i/>
        </w:rPr>
        <w:t xml:space="preserve">fogli di calcolo</w:t>
      </w:r>
      <w:r>
        <w:t xml:space="preserve"> </w:t>
      </w:r>
      <w:r>
        <w:t xml:space="preserve">dall’aspetto francamente infernale, estrapolare i dati attraverso brevi</w:t>
      </w:r>
      <w:r>
        <w:t xml:space="preserve"> </w:t>
      </w:r>
      <w:r>
        <w:rPr>
          <w:i/>
        </w:rPr>
        <w:t xml:space="preserve">script</w:t>
      </w:r>
      <w:r>
        <w:t xml:space="preserve"> </w:t>
      </w:r>
      <w:r>
        <w:t xml:space="preserve">scritti in un</w:t>
      </w:r>
      <w:r>
        <w:t xml:space="preserve"> </w:t>
      </w:r>
      <w:r>
        <w:rPr>
          <w:i/>
        </w:rPr>
        <w:t xml:space="preserve">linguaggio di programmazione ad alto livello</w:t>
      </w:r>
      <w:r>
        <w:t xml:space="preserve">, per poi trasformare questa informazione in forma di grafici, mappe, vettori, giochi di luce, suoni e così via, in una continua opera di</w:t>
      </w:r>
      <w:r>
        <w:t xml:space="preserve"> </w:t>
      </w:r>
      <w:r>
        <w:rPr>
          <w:i/>
        </w:rPr>
        <w:t xml:space="preserve">astrazione</w:t>
      </w:r>
      <w:r>
        <w:t xml:space="preserve"> </w:t>
      </w:r>
      <w:r>
        <w:t xml:space="preserve">e rimodellamento dell’informazione</w:t>
      </w:r>
      <w:r>
        <w:rPr>
          <w:rStyle w:val="FootnoteReference"/>
        </w:rPr>
        <w:footnoteReference w:id="32"/>
      </w:r>
      <w:r>
        <w:t xml:space="preserve">.</w:t>
      </w:r>
    </w:p>
    <w:p>
      <w:pPr>
        <w:pStyle w:val="BodyText"/>
      </w:pPr>
      <w:r>
        <w:t xml:space="preserve">Questo tempo presente ci appare in grande fermento tecnologico. Un fermento foriero di nuovi stimoli che permette all’umanista di travalicare non solo i recinti tipici della propria materia di studio ma che in qualche modo ne incoraggia lo sconfinamento verso altre forme del sapere, in un approccio altamente interdisciplinare tale che, per necessità di espansione stessa dell’oggetto e dei metodi di indagine, fomenta per sua stessa natura la formazione di ``reti" di conoscenze in senso collaborativo, laddove il lavoro strettamente individuale non riuscirebbe ad accogliere una così grande molteplicità di vedute tale da convogliarle in una singola persona. Così all’umanista non è richiesta solamente una certa responsabilità in senso ``diacronico" –il trasporto delle conoscenze verso la posterità– quanto una riflessione ``sincronica" sullo stato di cose presenti nel suo agire concreto e contingente nel tempo attuale. Tale offerta che ci si pone innanzi implica una costante responsabilizzazione delle modalità dell’agire nelle proprie scelte di ricerca e nei metodi con cui essa va verificandosi.</w:t>
      </w:r>
    </w:p>
    <w:p>
      <w:pPr>
        <w:pStyle w:val="BodyText"/>
      </w:pPr>
      <w:r>
        <w:t xml:space="preserve">Questa alfabetizzazione informatica, necessaria laddove gli strumenti di natura computazionale</w:t>
      </w:r>
      <w:r>
        <w:t xml:space="preserve"> </w:t>
      </w:r>
      <w:r>
        <w:rPr>
          <w:i/>
        </w:rPr>
        <w:t xml:space="preserve">latu sensu</w:t>
      </w:r>
      <w:r>
        <w:t xml:space="preserve"> </w:t>
      </w:r>
      <w:r>
        <w:t xml:space="preserve">hanno assunto il ruolo primario di mezzo privilegiato attraverso cui si opera il lavoro di studio, non può limitarsi dunque ad un mero uso passivo dei mezzi digitali, quanto è auspicabile una presa di coscienza di quelle forme di libertà che scaturiscono dalla scelta di un tipo di tecnologia piuttosto che un’altra. Sebbene fenomeni quali il</w:t>
      </w:r>
      <w:r>
        <w:t xml:space="preserve"> </w:t>
      </w:r>
      <w:r>
        <w:rPr>
          <w:i/>
        </w:rPr>
        <w:t xml:space="preserve">digital divide</w:t>
      </w:r>
      <w:r>
        <w:t xml:space="preserve"> </w:t>
      </w:r>
      <w:r>
        <w:t xml:space="preserve">–la divisione cioè tra una parte di popolazione che ha accesso alla rete rispetto a chi non la possiede– appare assottigliarsi</w:t>
      </w:r>
      <w:r>
        <w:rPr>
          <w:rStyle w:val="FootnoteReference"/>
        </w:rPr>
        <w:footnoteReference w:id="34"/>
      </w:r>
      <w:r>
        <w:t xml:space="preserve">, esso non rappresenta che</w:t>
      </w:r>
      <w:r>
        <w:t xml:space="preserve"> </w:t>
      </w:r>
      <w:r>
        <w:rPr>
          <w:i/>
        </w:rPr>
        <w:t xml:space="preserve">una</w:t>
      </w:r>
      <w:r>
        <w:t xml:space="preserve"> </w:t>
      </w:r>
      <w:r>
        <w:t xml:space="preserve">delle criticità insite nel problema dell’accesso alla conoscenza nel mondo digitale, che riguardano le forme di licenze attraverso cui si distribuiscono e riutilizzano le ricerche</w:t>
      </w:r>
      <w:r>
        <w:rPr>
          <w:rStyle w:val="FootnoteReference"/>
        </w:rPr>
        <w:footnoteReference w:id="36"/>
      </w:r>
      <w:r>
        <w:t xml:space="preserve">, la punibilità legale in caso di violazione delle leggi sul copyright</w:t>
      </w:r>
      <w:r>
        <w:rPr>
          <w:rStyle w:val="FootnoteReference"/>
        </w:rPr>
        <w:footnoteReference w:id="38"/>
      </w:r>
      <w:r>
        <w:t xml:space="preserve"> </w:t>
      </w:r>
      <w:r>
        <w:t xml:space="preserve">e l’utilizzo di piattaforme più o meno libere per lo scambio delle ricerche</w:t>
      </w:r>
      <w:r>
        <w:rPr>
          <w:rStyle w:val="FootnoteReference"/>
        </w:rPr>
        <w:footnoteReference w:id="39"/>
      </w:r>
      <w:r>
        <w:t xml:space="preserve"> </w:t>
      </w:r>
      <w:r>
        <w:t xml:space="preserve">tra le tante problematiche in tal senso.</w:t>
      </w:r>
    </w:p>
    <w:p>
      <w:pPr>
        <w:pStyle w:val="BodyText"/>
      </w:pPr>
      <w:r>
        <w:t xml:space="preserve">Districarsi all’interno di questo variegato mondo di conoscenze appare uno sforzo notevole per lo studioso di discipline umanistiche (umanista</w:t>
      </w:r>
      <w:r>
        <w:t xml:space="preserve"> </w:t>
      </w:r>
      <w:r>
        <w:rPr>
          <w:i/>
        </w:rPr>
        <w:t xml:space="preserve">digitale</w:t>
      </w:r>
      <w:r>
        <w:t xml:space="preserve">,</w:t>
      </w:r>
      <w:r>
        <w:t xml:space="preserve"> </w:t>
      </w:r>
      <w:r>
        <w:rPr>
          <w:i/>
        </w:rPr>
        <w:t xml:space="preserve">informatico</w:t>
      </w:r>
      <w:r>
        <w:t xml:space="preserve"> </w:t>
      </w:r>
      <w:r>
        <w:t xml:space="preserve">o</w:t>
      </w:r>
      <w:r>
        <w:t xml:space="preserve"> </w:t>
      </w:r>
      <w:r>
        <w:rPr>
          <w:i/>
        </w:rPr>
        <w:t xml:space="preserve">umanista 2.0</w:t>
      </w:r>
      <w:r>
        <w:t xml:space="preserve"> </w:t>
      </w:r>
      <w:r>
        <w:t xml:space="preserve">che dir si voglia), ma offre al contempo la possibilità di ridefinizione di uno spazio di lavoro e ricerca di una figura che per necessità opera attivamente nel dialogo e nella collaborazione interdisciplinare con altri saperi che si trovano a cooperare all’interno di uno spazio digitale sempre più pervasivo nella vita di ognuno di noi.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40" w:name="archivio"/>
      <w:r>
        <w:t xml:space="preserve">Archivio</w:t>
      </w:r>
      <w:bookmarkEnd w:id="40"/>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41" w:name="bibliografia-consultata"/>
      <w:r>
        <w:t xml:space="preserve">Bibliografia consultata</w:t>
      </w:r>
      <w:bookmarkEnd w:id="41"/>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42" w:name="bibliografia-consigliata"/>
      <w:r>
        <w:t xml:space="preserve">Bibliografia consigliata</w:t>
      </w:r>
      <w:bookmarkEnd w:id="42"/>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43" w:name="sitografia"/>
      <w:r>
        <w:t xml:space="preserve">Sitografia</w:t>
      </w:r>
      <w:bookmarkEnd w:id="43"/>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44">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45">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46">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47" w:name="ascii"/>
      <w:r>
        <w:t xml:space="preserve">ASCII</w:t>
      </w:r>
      <w:bookmarkEnd w:id="47"/>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48" w:name="bibliografia-consultata-1"/>
      <w:r>
        <w:t xml:space="preserve">Bibliografia consultata</w:t>
      </w:r>
      <w:bookmarkEnd w:id="48"/>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49" w:name="beta-code"/>
      <w:r>
        <w:t xml:space="preserve">Beta code</w:t>
      </w:r>
      <w:bookmarkEnd w:id="49"/>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50" w:name="bibliografia-consultata-2"/>
      <w:r>
        <w:t xml:space="preserve">Bibliografia consultata</w:t>
      </w:r>
      <w:bookmarkEnd w:id="50"/>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51">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52" w:name="sitografia-1"/>
      <w:r>
        <w:t xml:space="preserve">Sitografia</w:t>
      </w:r>
      <w:bookmarkEnd w:id="52"/>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53">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56">
        <w:r>
          <w:rPr>
            <w:rStyle w:val="Hyperlink"/>
          </w:rPr>
          <w:t xml:space="preserve">https://papyri.info/docs/ddbdp</w:t>
        </w:r>
      </w:hyperlink>
    </w:p>
    <w:p>
      <w:pPr>
        <w:pStyle w:val="BodyText"/>
      </w:pPr>
      <w:r>
        <w:rPr>
          <w:i/>
        </w:rPr>
        <w:t xml:space="preserve">Greek Beta code converter</w:t>
      </w:r>
      <w:r>
        <w:t xml:space="preserve">,</w:t>
      </w:r>
      <w:r>
        <w:t xml:space="preserve"> </w:t>
      </w:r>
      <w:hyperlink r:id="rId57">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58">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9">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60">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1">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62">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64">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66">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7">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68" w:name="biblioteca-digitale"/>
      <w:r>
        <w:t xml:space="preserve">Biblioteca digitale</w:t>
      </w:r>
      <w:bookmarkEnd w:id="68"/>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69" w:name="bibliografia-consultata-3"/>
      <w:r>
        <w:t xml:space="preserve">Bibliografia consultata</w:t>
      </w:r>
      <w:bookmarkEnd w:id="69"/>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70">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71">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72" w:name="bibliografia-consigliata-1"/>
      <w:r>
        <w:t xml:space="preserve">Bibliografia consigliata</w:t>
      </w:r>
      <w:bookmarkEnd w:id="72"/>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73">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74">
        <w:r>
          <w:rPr>
            <w:rStyle w:val="Hyperlink"/>
          </w:rPr>
          <w:t xml:space="preserve">http://digitalia.sbn.it/article/view/325/215</w:t>
        </w:r>
      </w:hyperlink>
    </w:p>
    <w:p>
      <w:pPr>
        <w:pStyle w:val="Heading2"/>
      </w:pPr>
      <w:bookmarkStart w:id="75" w:name="sitografia-2"/>
      <w:r>
        <w:t xml:space="preserve">Sitografia</w:t>
      </w:r>
      <w:bookmarkEnd w:id="75"/>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6">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7">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78">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79">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80">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81">
        <w:r>
          <w:rPr>
            <w:rStyle w:val="Hyperlink"/>
          </w:rPr>
          <w:t xml:space="preserve">http://www.iccu.sbn.it/upload/documenti/BDI-SDF.pdf</w:t>
        </w:r>
      </w:hyperlink>
      <w:r>
        <w:t xml:space="preserve"> </w:t>
      </w:r>
      <w:r>
        <w:t xml:space="preserve">(sezione prima);</w:t>
      </w:r>
      <w:r>
        <w:t xml:space="preserve"> </w:t>
      </w:r>
      <w:hyperlink r:id="rId82">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83" w:name="big-data"/>
      <w:r>
        <w:t xml:space="preserve">Big data</w:t>
      </w:r>
      <w:bookmarkEnd w:id="83"/>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browser"/>
      <w:r>
        <w:t xml:space="preserve">Browser</w:t>
      </w:r>
      <w:bookmarkEnd w:id="84"/>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85" w:name="sitografia-3"/>
      <w:r>
        <w:t xml:space="preserve">Sitografia</w:t>
      </w:r>
      <w:bookmarkEnd w:id="85"/>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87">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88">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89" w:name="concordanze"/>
      <w:r>
        <w:t xml:space="preserve">Concordanze</w:t>
      </w:r>
      <w:bookmarkEnd w:id="89"/>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90" w:name="bibliografia-consigliata-2"/>
      <w:r>
        <w:t xml:space="preserve">Bibliografia consigliata</w:t>
      </w:r>
      <w:bookmarkEnd w:id="90"/>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91" w:name="sitografia-4"/>
      <w:r>
        <w:t xml:space="preserve">Sitografia</w:t>
      </w:r>
      <w:bookmarkEnd w:id="91"/>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92">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93">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94">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5" w:name="corpus"/>
      <w:r>
        <w:t xml:space="preserve">Corpus</w:t>
      </w:r>
      <w:bookmarkEnd w:id="95"/>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96" w:name="crowdsourcing"/>
      <w:r>
        <w:t xml:space="preserve">Crowdsourcing</w:t>
      </w:r>
      <w:bookmarkEnd w:id="96"/>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97" w:name="bibliografia-consigliata-3"/>
      <w:r>
        <w:t xml:space="preserve">Bibliografia consigliata</w:t>
      </w:r>
      <w:bookmarkEnd w:id="97"/>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98">
        <w:r>
          <w:rPr>
            <w:rStyle w:val="Hyperlink"/>
          </w:rPr>
          <w:t xml:space="preserve">http://discovery.ucl.ac.uk/1447269/1/MTerras\_Crowdsourcing%20in%20Digital%20Humanities\_Final.pdf</w:t>
        </w:r>
      </w:hyperlink>
    </w:p>
    <w:p>
      <w:pPr>
        <w:pStyle w:val="Heading2"/>
      </w:pPr>
      <w:bookmarkStart w:id="99" w:name="sitografia-5"/>
      <w:r>
        <w:t xml:space="preserve">Sitografia</w:t>
      </w:r>
      <w:bookmarkEnd w:id="99"/>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0">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101">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102">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103">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104">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105">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06" w:name="css"/>
      <w:r>
        <w:t xml:space="preserve">CSS</w:t>
      </w:r>
      <w:bookmarkEnd w:id="106"/>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107" w:name="bibliografia-consigliata-4"/>
      <w:r>
        <w:t xml:space="preserve">Bibliografia consigliata</w:t>
      </w:r>
      <w:bookmarkEnd w:id="107"/>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08" w:name="sitografia-6"/>
      <w:r>
        <w:t xml:space="preserve">Sitografia</w:t>
      </w:r>
      <w:bookmarkEnd w:id="108"/>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10" w:name="data-visualization"/>
      <w:r>
        <w:t xml:space="preserve">Data visualization</w:t>
      </w:r>
      <w:bookmarkEnd w:id="110"/>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11">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12">
        <w:r>
          <w:rPr>
            <w:rStyle w:val="Hyperlink"/>
          </w:rPr>
          <w:t xml:space="preserve">https://www.tacc.utexas.edu/research-development/tacc-projects/a-thousand-words</w:t>
        </w:r>
      </w:hyperlink>
      <w:r>
        <w:t xml:space="preserve">).</w:t>
      </w:r>
    </w:p>
    <w:p>
      <w:pPr>
        <w:pStyle w:val="Heading2"/>
      </w:pPr>
      <w:bookmarkStart w:id="113" w:name="bibliografia-consigliata-5"/>
      <w:r>
        <w:t xml:space="preserve">Bibliografia consigliata</w:t>
      </w:r>
      <w:bookmarkEnd w:id="113"/>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14" w:name="sitografia-7"/>
      <w:r>
        <w:t xml:space="preserve">Sitografia</w:t>
      </w:r>
      <w:bookmarkEnd w:id="114"/>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5">
        <w:r>
          <w:rPr>
            <w:rStyle w:val="Hyperlink"/>
          </w:rPr>
          <w:t xml:space="preserve">https://en.wikipedia.org/wiki/Data_visualization</w:t>
        </w:r>
      </w:hyperlink>
    </w:p>
    <w:p>
      <w:pPr>
        <w:pStyle w:val="BodyText"/>
      </w:pPr>
      <w:r>
        <w:t xml:space="preserve">*Mapping the Republic of Letters,</w:t>
      </w:r>
      <w:r>
        <w:t xml:space="preserve"> </w:t>
      </w:r>
      <w:hyperlink r:id="rId116">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17">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18">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19">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12">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20">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21">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22" w:name="database"/>
      <w:r>
        <w:t xml:space="preserve">Database</w:t>
      </w:r>
      <w:bookmarkEnd w:id="122"/>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23" w:name="digital-dark-age"/>
      <w:r>
        <w:t xml:space="preserve">Digital Dark Age</w:t>
      </w:r>
      <w:bookmarkEnd w:id="123"/>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24" w:name="bibliografia-consigliata-6"/>
      <w:r>
        <w:t xml:space="preserve">Bibliografia consigliata</w:t>
      </w:r>
      <w:bookmarkEnd w:id="124"/>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25">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26" w:name="sitografia-8"/>
      <w:r>
        <w:t xml:space="preserve">Sitografia</w:t>
      </w:r>
      <w:bookmarkEnd w:id="126"/>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27">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28">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29">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30">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1">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32">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33">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34" w:name="digital-death"/>
      <w:r>
        <w:t xml:space="preserve">Digital Death</w:t>
      </w:r>
      <w:bookmarkEnd w:id="134"/>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35" w:name="doi"/>
      <w:r>
        <w:t xml:space="preserve">DOI</w:t>
      </w:r>
      <w:bookmarkEnd w:id="135"/>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36">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37" w:name="bibliografia-consigliata-7"/>
      <w:r>
        <w:t xml:space="preserve">Bibliografia consigliata</w:t>
      </w:r>
      <w:bookmarkEnd w:id="137"/>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38" w:name="sitografia-9"/>
      <w:r>
        <w:t xml:space="preserve">Sitografia</w:t>
      </w:r>
      <w:bookmarkEnd w:id="138"/>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9">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40">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41">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42">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43">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44" w:name="dtd"/>
      <w:r>
        <w:t xml:space="preserve">DTD</w:t>
      </w:r>
      <w:bookmarkEnd w:id="144"/>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45" w:name="bibliografia-consigliata-8"/>
      <w:r>
        <w:t xml:space="preserve">Bibliografia consigliata</w:t>
      </w:r>
      <w:bookmarkEnd w:id="145"/>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46" w:name="sitografia-10"/>
      <w:r>
        <w:t xml:space="preserve">Sitografia</w:t>
      </w:r>
      <w:bookmarkEnd w:id="146"/>
    </w:p>
    <w:p>
      <w:pPr>
        <w:pStyle w:val="FirstParagraph"/>
      </w:pPr>
      <w:r>
        <w:rPr>
          <w:i/>
        </w:rPr>
        <w:t xml:space="preserve">W3 School, DTD Entities</w:t>
      </w:r>
      <w:r>
        <w:t xml:space="preserve"> </w:t>
      </w:r>
      <w:hyperlink r:id="rId147">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48">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49" w:name="ead"/>
      <w:r>
        <w:t xml:space="preserve">EAD</w:t>
      </w:r>
      <w:bookmarkEnd w:id="149"/>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50" w:name="bibliografia-consigliata-9"/>
      <w:r>
        <w:t xml:space="preserve">Bibliografia consigliata</w:t>
      </w:r>
      <w:bookmarkEnd w:id="15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51" w:name="sitografia-11"/>
      <w:r>
        <w:t xml:space="preserve">Sitografia</w:t>
      </w:r>
      <w:bookmarkEnd w:id="151"/>
    </w:p>
    <w:p>
      <w:pPr>
        <w:pStyle w:val="FirstParagraph"/>
      </w:pPr>
      <w:r>
        <w:rPr>
          <w:i/>
        </w:rPr>
        <w:t xml:space="preserve">EAD - Encoded Archival Description</w:t>
      </w:r>
      <w:r>
        <w:t xml:space="preserve"> </w:t>
      </w:r>
      <w:r>
        <w:t xml:space="preserve">(official site),</w:t>
      </w:r>
      <w:r>
        <w:t xml:space="preserve"> </w:t>
      </w:r>
      <w:hyperlink r:id="rId152">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53">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54" w:name="feed-rss"/>
      <w:r>
        <w:t xml:space="preserve">Feed RSS</w:t>
      </w:r>
      <w:bookmarkEnd w:id="154"/>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55" w:name="sitografia-12"/>
      <w:r>
        <w:t xml:space="preserve">Sitografia</w:t>
      </w:r>
      <w:bookmarkEnd w:id="155"/>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RSS Advisory Board</w:t>
      </w:r>
      <w:r>
        <w:t xml:space="preserve">,</w:t>
      </w:r>
      <w:r>
        <w:t xml:space="preserve"> </w:t>
      </w:r>
      <w:hyperlink r:id="rId156">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57">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58" w:name="filologia-digitale"/>
      <w:r>
        <w:t xml:space="preserve">Filologia digitale</w:t>
      </w:r>
      <w:bookmarkEnd w:id="158"/>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59" w:name="bibliografia-consigliata-10"/>
      <w:r>
        <w:t xml:space="preserve">Bibliografia consigliata</w:t>
      </w:r>
      <w:bookmarkEnd w:id="159"/>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60">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61">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62">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63" w:name="sitografia-13"/>
      <w:r>
        <w:t xml:space="preserve">Sitografia</w:t>
      </w:r>
      <w:bookmarkEnd w:id="163"/>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64">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65">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66">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67">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68">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69">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70" w:name="ftp"/>
      <w:r>
        <w:t xml:space="preserve">FTP</w:t>
      </w:r>
      <w:bookmarkEnd w:id="170"/>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71" w:name="sitografia-14"/>
      <w:r>
        <w:t xml:space="preserve">Sitografia</w:t>
      </w:r>
      <w:bookmarkEnd w:id="171"/>
    </w:p>
    <w:p>
      <w:pPr>
        <w:pStyle w:val="FirstParagraph"/>
      </w:pPr>
      <w:r>
        <w:t xml:space="preserve">Poste J. - Reynolds J.,</w:t>
      </w:r>
      <w:r>
        <w:t xml:space="preserve"> </w:t>
      </w:r>
      <w:r>
        <w:rPr>
          <w:i/>
        </w:rPr>
        <w:t xml:space="preserve">FILE TRANSFERT PROTOCOL (FTP)</w:t>
      </w:r>
      <w:r>
        <w:t xml:space="preserve">,</w:t>
      </w:r>
      <w:r>
        <w:t xml:space="preserve"> </w:t>
      </w:r>
      <w:hyperlink r:id="rId172">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3" w:name="gold-open-access"/>
      <w:r>
        <w:t xml:space="preserve">Gold Open Access</w:t>
      </w:r>
      <w:bookmarkEnd w:id="173"/>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74" w:name="sitografia-15"/>
      <w:r>
        <w:t xml:space="preserve">Sitografia</w:t>
      </w:r>
      <w:bookmarkEnd w:id="174"/>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5">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6" w:name="green-open-access"/>
      <w:r>
        <w:t xml:space="preserve">Green Open Access</w:t>
      </w:r>
      <w:bookmarkEnd w:id="176"/>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77" w:name="sitografia-16"/>
      <w:r>
        <w:t xml:space="preserve">Sitografia</w:t>
      </w:r>
      <w:bookmarkEnd w:id="177"/>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8">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9" w:name="hidden-web"/>
      <w:r>
        <w:t xml:space="preserve">Hidden Web</w:t>
      </w:r>
      <w:bookmarkEnd w:id="179"/>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80" w:name="bibliografia-consigliata-11"/>
      <w:r>
        <w:t xml:space="preserve">Bibliografia consigliata</w:t>
      </w:r>
      <w:bookmarkEnd w:id="180"/>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81">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82">
        <w:r>
          <w:rPr>
            <w:rStyle w:val="Hyperlink"/>
          </w:rPr>
          <w:t xml:space="preserve">https://amslaurea.unibo.it/8456/1/wojtowicz_patryk_tesi.pdf</w:t>
        </w:r>
      </w:hyperlink>
    </w:p>
    <w:p>
      <w:pPr>
        <w:pStyle w:val="Heading2"/>
      </w:pPr>
      <w:bookmarkStart w:id="183" w:name="sitografia-17"/>
      <w:r>
        <w:t xml:space="preserve">Sitografia</w:t>
      </w:r>
      <w:bookmarkEnd w:id="183"/>
    </w:p>
    <w:p>
      <w:pPr>
        <w:pStyle w:val="FirstParagraph"/>
      </w:pPr>
      <w:r>
        <w:t xml:space="preserve">AaVv,</w:t>
      </w:r>
      <w:r>
        <w:t xml:space="preserve"> </w:t>
      </w:r>
      <w:r>
        <w:rPr>
          <w:i/>
        </w:rPr>
        <w:t xml:space="preserve">Below the Surface: exploring the Deep Web</w:t>
      </w:r>
      <w:r>
        <w:t xml:space="preserve">, 2015,</w:t>
      </w:r>
      <w:r>
        <w:t xml:space="preserve"> </w:t>
      </w:r>
      <w:hyperlink r:id="rId184">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85">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86">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87">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88">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html"/>
      <w:r>
        <w:t xml:space="preserve">HTML</w:t>
      </w:r>
      <w:bookmarkEnd w:id="189"/>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90" w:name="bibliografia-consigliata-12"/>
      <w:r>
        <w:t xml:space="preserve">Bibliografia consigliata</w:t>
      </w:r>
      <w:bookmarkEnd w:id="190"/>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91" w:name="sitografia-18"/>
      <w:r>
        <w:t xml:space="preserve">Sitografia</w:t>
      </w:r>
      <w:bookmarkEnd w:id="191"/>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92">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93" w:name="informatica-umanistica"/>
      <w:r>
        <w:t xml:space="preserve">Informatica umanistica</w:t>
      </w:r>
      <w:bookmarkEnd w:id="193"/>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94">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95" w:name="bibliografia-consultata-4"/>
      <w:r>
        <w:t xml:space="preserve">Bibliografia consultata</w:t>
      </w:r>
      <w:bookmarkEnd w:id="195"/>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96" w:name="bibliografia-consigliata-13"/>
      <w:r>
        <w:t xml:space="preserve">Bibliografia consigliata</w:t>
      </w:r>
      <w:bookmarkEnd w:id="196"/>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97" w:name="sitografia-19"/>
      <w:r>
        <w:t xml:space="preserve">Sitografia</w:t>
      </w:r>
      <w:bookmarkEnd w:id="197"/>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98">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99">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0">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1">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202">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3">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4" w:name="interfaccia-utente-ui"/>
      <w:r>
        <w:t xml:space="preserve">Interfaccia utente (UI)</w:t>
      </w:r>
      <w:bookmarkEnd w:id="204"/>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205" w:name="sitografia-20"/>
      <w:r>
        <w:t xml:space="preserve">Sitografia</w:t>
      </w:r>
      <w:bookmarkEnd w:id="205"/>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86">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206">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7" w:name="machine-learning"/>
      <w:r>
        <w:t xml:space="preserve">Machine learning</w:t>
      </w:r>
      <w:bookmarkEnd w:id="207"/>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208">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209" w:name="bibliografia-consigliata-14"/>
      <w:r>
        <w:t xml:space="preserve">Bibliografia consigliata</w:t>
      </w:r>
      <w:bookmarkEnd w:id="209"/>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210" w:name="sitografia-21"/>
      <w:r>
        <w:t xml:space="preserve">Sitografia</w:t>
      </w:r>
      <w:bookmarkEnd w:id="210"/>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11">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12">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13">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14">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15">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16" w:name="markup"/>
      <w:r>
        <w:t xml:space="preserve">Markup</w:t>
      </w:r>
      <w:bookmarkEnd w:id="216"/>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17" w:name="metadato"/>
      <w:r>
        <w:t xml:space="preserve">Metadato</w:t>
      </w:r>
      <w:bookmarkEnd w:id="217"/>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18" w:name="bibliografia-consigliata-15"/>
      <w:r>
        <w:t xml:space="preserve">Bibliografia consigliata</w:t>
      </w:r>
      <w:bookmarkEnd w:id="218"/>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19" w:name="sitografia-22"/>
      <w:r>
        <w:t xml:space="preserve">Sitografia</w:t>
      </w:r>
      <w:bookmarkEnd w:id="219"/>
    </w:p>
    <w:p>
      <w:pPr>
        <w:pStyle w:val="FirstParagraph"/>
      </w:pPr>
      <w:r>
        <w:rPr>
          <w:i/>
        </w:rPr>
        <w:t xml:space="preserve">Data Dictionary for preservation Metadata</w:t>
      </w:r>
      <w:r>
        <w:t xml:space="preserve">, 3, 2015,</w:t>
      </w:r>
      <w:r>
        <w:t xml:space="preserve"> </w:t>
      </w:r>
      <w:hyperlink r:id="rId220">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21">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22">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w:r>
        <w:rPr>
          <w:i/>
        </w:rPr>
        <w:t xml:space="preserve">Metadata Object Description Schema,</w:t>
      </w:r>
      <w:r>
        <w:t xml:space="preserve"> </w:t>
      </w:r>
      <w:hyperlink r:id="rId224">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25">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26" w:name="n-gramma"/>
      <w:r>
        <w:t xml:space="preserve">N-gramma</w:t>
      </w:r>
      <w:bookmarkEnd w:id="226"/>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27" w:name="bibliografia-consigliata-16"/>
      <w:r>
        <w:t xml:space="preserve">Bibliografia consigliata</w:t>
      </w:r>
      <w:bookmarkEnd w:id="227"/>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28">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29">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30">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31">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32">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33">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34">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35">
        <w:r>
          <w:rPr>
            <w:rStyle w:val="Hyperlink"/>
          </w:rPr>
          <w:t xml:space="preserve">http://www.griseldaonline.it/informatica/la-linguistica-computazionale-tamburini.html</w:t>
        </w:r>
      </w:hyperlink>
    </w:p>
    <w:p>
      <w:pPr>
        <w:pStyle w:val="Heading2"/>
      </w:pPr>
      <w:bookmarkStart w:id="236" w:name="sitografia-23"/>
      <w:r>
        <w:t xml:space="preserve">Sitografia</w:t>
      </w:r>
      <w:bookmarkEnd w:id="236"/>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7">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38">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9">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40">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41">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42">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43" w:name="oggetto-digitale"/>
      <w:r>
        <w:t xml:space="preserve">Oggetto digitale</w:t>
      </w:r>
      <w:bookmarkEnd w:id="243"/>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44" w:name="bibliografia-consigliata-17"/>
      <w:r>
        <w:t xml:space="preserve">Bibliografia consigliata</w:t>
      </w:r>
      <w:bookmarkEnd w:id="244"/>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45" w:name="sitografia-24"/>
      <w:r>
        <w:t xml:space="preserve">Sitografia</w:t>
      </w:r>
      <w:bookmarkEnd w:id="245"/>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46">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47" w:name="ontologia"/>
      <w:r>
        <w:t xml:space="preserve">Ontologia</w:t>
      </w:r>
      <w:bookmarkEnd w:id="247"/>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48" w:name="opac"/>
      <w:r>
        <w:t xml:space="preserve">OPAC</w:t>
      </w:r>
      <w:bookmarkEnd w:id="248"/>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49">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50">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51" w:name="bibliografia-consigliata-18"/>
      <w:r>
        <w:t xml:space="preserve">Bibliografia consigliata</w:t>
      </w:r>
      <w:bookmarkEnd w:id="251"/>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52" w:name="sitografia-25"/>
      <w:r>
        <w:t xml:space="preserve">Sitografia</w:t>
      </w:r>
      <w:bookmarkEnd w:id="252"/>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49">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50">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53">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4">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55">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6">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57" w:name="open-access"/>
      <w:r>
        <w:t xml:space="preserve">Open Access</w:t>
      </w:r>
      <w:bookmarkEnd w:id="257"/>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58" w:name="bibliografia-consigliata-19"/>
      <w:r>
        <w:t xml:space="preserve">Bibliografia consigliata</w:t>
      </w:r>
      <w:bookmarkEnd w:id="258"/>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59" w:name="sitografia-26"/>
      <w:r>
        <w:t xml:space="preserve">Sitografia</w:t>
      </w:r>
      <w:bookmarkEnd w:id="259"/>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60">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1" w:name="paratesto"/>
      <w:r>
        <w:t xml:space="preserve">Paratesto</w:t>
      </w:r>
      <w:bookmarkEnd w:id="261"/>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62">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63" w:name="bibliografia-consigliata-20"/>
      <w:r>
        <w:t xml:space="preserve">Bibliografia consigliata</w:t>
      </w:r>
      <w:bookmarkEnd w:id="263"/>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64" w:name="sitografia-27"/>
      <w:r>
        <w:t xml:space="preserve">Sitografia</w:t>
      </w:r>
      <w:bookmarkEnd w:id="264"/>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65">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66">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67" w:name="php"/>
      <w:r>
        <w:t xml:space="preserve">PHP</w:t>
      </w:r>
      <w:bookmarkEnd w:id="267"/>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68">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69" w:name="public-history"/>
      <w:r>
        <w:t xml:space="preserve">Public History</w:t>
      </w:r>
      <w:bookmarkEnd w:id="269"/>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70" w:name="bibliografia-consultata-5"/>
      <w:r>
        <w:t xml:space="preserve">Bibliografia consultata</w:t>
      </w:r>
      <w:bookmarkEnd w:id="270"/>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71" w:name="bibliografia-consigliata-21"/>
      <w:r>
        <w:t xml:space="preserve">Bibliografia consigliata</w:t>
      </w:r>
      <w:bookmarkEnd w:id="271"/>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72" w:name="sitografia-28"/>
      <w:r>
        <w:t xml:space="preserve">Sitografia</w:t>
      </w:r>
      <w:bookmarkEnd w:id="272"/>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73">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74">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75" w:name="self-archiving"/>
      <w:r>
        <w:t xml:space="preserve">Self-archiving</w:t>
      </w:r>
      <w:bookmarkEnd w:id="275"/>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76">
        <w:r>
          <w:rPr>
            <w:rStyle w:val="Hyperlink"/>
          </w:rPr>
          <w:t xml:space="preserve">https://www.researchgate.net/about</w:t>
        </w:r>
      </w:hyperlink>
      <w:r>
        <w:t xml:space="preserve">)</w:t>
      </w:r>
      <w:r>
        <w:t xml:space="preserve"> </w:t>
      </w:r>
      <w:r>
        <w:t xml:space="preserve">e Academia.edu</w:t>
      </w:r>
      <w:r>
        <w:t xml:space="preserve"> </w:t>
      </w:r>
      <w:r>
        <w:t xml:space="preserve">(</w:t>
      </w:r>
      <w:hyperlink r:id="rId277">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78" w:name="bibliografia-consigliata-22"/>
      <w:r>
        <w:t xml:space="preserve">Bibliografia consigliata</w:t>
      </w:r>
      <w:bookmarkEnd w:id="278"/>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79" w:name="sitografia-29"/>
      <w:r>
        <w:t xml:space="preserve">Sitografia</w:t>
      </w:r>
      <w:bookmarkEnd w:id="279"/>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80">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81">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82">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83">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84">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85">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86">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87">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88">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89">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90">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1" w:name="sgml"/>
      <w:r>
        <w:t xml:space="preserve">SGML</w:t>
      </w:r>
      <w:bookmarkEnd w:id="291"/>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92" w:name="bibliografia-consigliata-23"/>
      <w:r>
        <w:t xml:space="preserve">Bibliografia consigliata</w:t>
      </w:r>
      <w:bookmarkEnd w:id="292"/>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93" w:name="sitografia-30"/>
      <w:r>
        <w:t xml:space="preserve">Sitografia</w:t>
      </w:r>
      <w:bookmarkEnd w:id="293"/>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94">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95">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6" w:name="tassonomia"/>
      <w:r>
        <w:t xml:space="preserve">Tassonomia</w:t>
      </w:r>
      <w:bookmarkEnd w:id="296"/>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97" w:name="bibliografia-consigliata-24"/>
      <w:r>
        <w:t xml:space="preserve">Bibliografia consigliata</w:t>
      </w:r>
      <w:bookmarkEnd w:id="297"/>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98" w:name="sitografia-31"/>
      <w:r>
        <w:t xml:space="preserve">Sitografia</w:t>
      </w:r>
      <w:bookmarkEnd w:id="298"/>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99">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300">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301">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302">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303">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304">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305" w:name="tei"/>
      <w:r>
        <w:t xml:space="preserve">TEI</w:t>
      </w:r>
      <w:bookmarkEnd w:id="305"/>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306" w:name="sitografia-32"/>
      <w:r>
        <w:t xml:space="preserve">Sitografia</w:t>
      </w:r>
      <w:bookmarkEnd w:id="306"/>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307">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308">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09" w:name="thesaurus"/>
      <w:r>
        <w:t xml:space="preserve">Thesaurus</w:t>
      </w:r>
      <w:bookmarkEnd w:id="309"/>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310" w:name="bibliografia-consigliata-25"/>
      <w:r>
        <w:t xml:space="preserve">Bibliografia consigliata</w:t>
      </w:r>
      <w:bookmarkEnd w:id="310"/>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11">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12">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13">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14">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15">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16">
        <w:r>
          <w:rPr>
            <w:rStyle w:val="Hyperlink"/>
          </w:rPr>
          <w:t xml:space="preserve">https://strathprints.strath.ac.uk/1896/1/strathprints001896.pdf</w:t>
        </w:r>
      </w:hyperlink>
    </w:p>
    <w:p>
      <w:pPr>
        <w:pStyle w:val="Heading2"/>
      </w:pPr>
      <w:bookmarkStart w:id="317" w:name="sitografia-33"/>
      <w:r>
        <w:t xml:space="preserve">Sitografia</w:t>
      </w:r>
      <w:bookmarkEnd w:id="317"/>
    </w:p>
    <w:p>
      <w:pPr>
        <w:pStyle w:val="FirstParagraph"/>
      </w:pPr>
      <w:r>
        <w:t xml:space="preserve">*</w:t>
      </w:r>
      <w:r>
        <w:rPr>
          <w:i/>
        </w:rPr>
        <w:t xml:space="preserve">Quick Guide to publishing a Thesaurus on the Semantic Web</w:t>
      </w:r>
      <w:r>
        <w:t xml:space="preserve">,</w:t>
      </w:r>
      <w:r>
        <w:t xml:space="preserve"> </w:t>
      </w:r>
      <w:hyperlink r:id="rId318">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9">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20">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42">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21">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22">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23">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24" w:name="web-semantico"/>
      <w:r>
        <w:t xml:space="preserve">Web Semantico</w:t>
      </w:r>
      <w:bookmarkEnd w:id="324"/>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25" w:name="bibliografia-consigliata-26"/>
      <w:r>
        <w:t xml:space="preserve">Bibliografia consigliata</w:t>
      </w:r>
      <w:bookmarkEnd w:id="325"/>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26" w:name="sitografia-34"/>
      <w:r>
        <w:t xml:space="preserve">Sitografia</w:t>
      </w:r>
      <w:bookmarkEnd w:id="326"/>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27">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28" w:name="xsl"/>
      <w:r>
        <w:t xml:space="preserve">XSL</w:t>
      </w:r>
      <w:bookmarkEnd w:id="328"/>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29" w:name="bibliografia-consigliata-27"/>
      <w:r>
        <w:t xml:space="preserve">Bibliografia consigliata</w:t>
      </w:r>
      <w:bookmarkEnd w:id="329"/>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0" w:name="sitografia-35"/>
      <w:r>
        <w:t xml:space="preserve">Sitografia</w:t>
      </w:r>
      <w:bookmarkEnd w:id="330"/>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31" w:name="xml"/>
      <w:r>
        <w:t xml:space="preserve">XML</w:t>
      </w:r>
      <w:bookmarkEnd w:id="331"/>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32" w:name="bibliografia-consigliata-28"/>
      <w:r>
        <w:t xml:space="preserve">Bibliografia consigliata</w:t>
      </w:r>
      <w:bookmarkEnd w:id="332"/>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3" w:name="sitografia-36"/>
      <w:r>
        <w:t xml:space="preserve">Sitografia</w:t>
      </w:r>
      <w:bookmarkEnd w:id="333"/>
    </w:p>
    <w:p>
      <w:pPr>
        <w:pStyle w:val="FirstParagraph"/>
      </w:pPr>
      <w:r>
        <w:t xml:space="preserve">Sorato A.,</w:t>
      </w:r>
      <w:r>
        <w:t xml:space="preserve"> </w:t>
      </w:r>
      <w:r>
        <w:rPr>
          <w:i/>
        </w:rPr>
        <w:t xml:space="preserve">Linguaggi per la rete: XML</w:t>
      </w:r>
      <w:r>
        <w:t xml:space="preserve">,</w:t>
      </w:r>
      <w:r>
        <w:t xml:space="preserve"> </w:t>
      </w:r>
      <w:hyperlink r:id="rId334">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 w:id="29">
    <w:p>
      <w:pPr>
        <w:pStyle w:val="FootnoteText"/>
      </w:pPr>
      <w:r>
        <w:rPr>
          <w:rStyle w:val="FootnoteReference"/>
        </w:rPr>
        <w:footnoteRef/>
      </w:r>
      <w:r>
        <w:t xml:space="preserve"> </w:t>
      </w:r>
      <w:r>
        <w:t xml:space="preserve">Si pensi anche al lavoro di Padre Roberto Busa, sostanziale precorritore di tali applicazioni, che dall’inizio degli anni ’50 del secolo scorso ebbe l’intuizione di utilizzare i primi calcolatori a schede perforate per allestire una lemmatizzazione integrale delle opere di Tommaso d’Aquino.</w:t>
      </w:r>
    </w:p>
  </w:footnote>
  <w:footnote w:id="30">
    <w:p>
      <w:pPr>
        <w:pStyle w:val="FootnoteText"/>
      </w:pPr>
      <w:r>
        <w:rPr>
          <w:rStyle w:val="FootnoteReference"/>
        </w:rPr>
        <w:footnoteRef/>
      </w:r>
      <w:r>
        <w:t xml:space="preserve"> </w:t>
      </w:r>
      <w:r>
        <w:t xml:space="preserve">Owens, T.,</w:t>
      </w:r>
      <w:r>
        <w:t xml:space="preserve"> </w:t>
      </w:r>
      <w:r>
        <w:rPr>
          <w:i/>
        </w:rPr>
        <w:t xml:space="preserve">Defining Data for Humanists: Text, Artifact, Information or Evidence?</w:t>
      </w:r>
      <w:r>
        <w:t xml:space="preserve">, in</w:t>
      </w:r>
      <w:r>
        <w:t xml:space="preserve"> </w:t>
      </w:r>
      <w:r>
        <w:rPr>
          <w:i/>
        </w:rPr>
        <w:t xml:space="preserve">Journal of Digital Humanities</w:t>
      </w:r>
      <w:r>
        <w:t xml:space="preserve">, Num.1 Vol.1, 2011,</w:t>
      </w:r>
      <w:r>
        <w:t xml:space="preserve"> </w:t>
      </w:r>
      <w:hyperlink r:id="rId31">
        <w:r>
          <w:rPr>
            <w:rStyle w:val="Hyperlink"/>
          </w:rPr>
          <w:t xml:space="preserve">http://journalofdigitalhumanities.org/1-1/defining-data-for-humanists-by-trevor-owens/</w:t>
        </w:r>
      </w:hyperlink>
    </w:p>
  </w:footnote>
  <w:footnote w:id="32">
    <w:p>
      <w:pPr>
        <w:pStyle w:val="FootnoteText"/>
      </w:pPr>
      <w:r>
        <w:rPr>
          <w:rStyle w:val="FootnoteReference"/>
        </w:rPr>
        <w:footnoteRef/>
      </w:r>
      <w:r>
        <w:t xml:space="preserve"> </w:t>
      </w:r>
      <w:r>
        <w:t xml:space="preserve">Per un ben più esaustivo contributo alla discussione cfr. Ciotti, F.,</w:t>
      </w:r>
      <w:r>
        <w:t xml:space="preserve"> </w:t>
      </w:r>
      <w:r>
        <w:rPr>
          <w:i/>
        </w:rPr>
        <w:t xml:space="preserve">Digital Heritage/Digital Humanities: una linea di faglia?</w:t>
      </w:r>
      <w:r>
        <w:t xml:space="preserve">, 2016,</w:t>
      </w:r>
      <w:r>
        <w:t xml:space="preserve"> </w:t>
      </w:r>
      <w:hyperlink r:id="rId33">
        <w:r>
          <w:rPr>
            <w:rStyle w:val="Hyperlink"/>
          </w:rPr>
          <w:t xml:space="preserve">https://infouma.hypotheses.org/295</w:t>
        </w:r>
      </w:hyperlink>
      <w:r>
        <w:t xml:space="preserve">.</w:t>
      </w:r>
    </w:p>
  </w:footnote>
  <w:footnote w:id="34">
    <w:p>
      <w:pPr>
        <w:pStyle w:val="FootnoteText"/>
      </w:pPr>
      <w:r>
        <w:rPr>
          <w:rStyle w:val="FootnoteReference"/>
        </w:rPr>
        <w:footnoteRef/>
      </w:r>
      <w:r>
        <w:t xml:space="preserve"> </w:t>
      </w:r>
      <w:r>
        <w:t xml:space="preserve">Lohr, S.,</w:t>
      </w:r>
      <w:r>
        <w:t xml:space="preserve"> </w:t>
      </w:r>
      <w:r>
        <w:rPr>
          <w:i/>
        </w:rPr>
        <w:t xml:space="preserve">Digital Divide Is Wider Than We Think, Study Says</w:t>
      </w:r>
      <w:r>
        <w:t xml:space="preserve">, in</w:t>
      </w:r>
      <w:r>
        <w:t xml:space="preserve"> </w:t>
      </w:r>
      <w:r>
        <w:rPr>
          <w:i/>
        </w:rPr>
        <w:t xml:space="preserve">The New York Times</w:t>
      </w:r>
      <w:r>
        <w:t xml:space="preserve">, 04/12/2018,</w:t>
      </w:r>
      <w:r>
        <w:t xml:space="preserve"> </w:t>
      </w:r>
      <w:hyperlink r:id="rId35">
        <w:r>
          <w:rPr>
            <w:rStyle w:val="Hyperlink"/>
          </w:rPr>
          <w:t xml:space="preserve">https://www.nytimes.com/2018/12/04/technology/digital-divide-us-fcc-microsoft.html</w:t>
        </w:r>
      </w:hyperlink>
    </w:p>
  </w:footnote>
  <w:footnote w:id="36">
    <w:p>
      <w:pPr>
        <w:pStyle w:val="FootnoteText"/>
      </w:pPr>
      <w:r>
        <w:rPr>
          <w:rStyle w:val="FootnoteReference"/>
        </w:rPr>
        <w:footnoteRef/>
      </w:r>
      <w:r>
        <w:t xml:space="preserve"> </w:t>
      </w:r>
      <w:r>
        <w:t xml:space="preserve">Haspelmath, M.,</w:t>
      </w:r>
      <w:r>
        <w:t xml:space="preserve"> </w:t>
      </w:r>
      <w:r>
        <w:rPr>
          <w:i/>
        </w:rPr>
        <w:t xml:space="preserve">Why open-access publication should be nonprofit: a view from the field of theoretical language science</w:t>
      </w:r>
      <w:r>
        <w:t xml:space="preserve">, in</w:t>
      </w:r>
      <w:r>
        <w:t xml:space="preserve"> </w:t>
      </w:r>
      <w:r>
        <w:rPr>
          <w:i/>
        </w:rPr>
        <w:t xml:space="preserve">Frontiers in Behavioral Neuroscience</w:t>
      </w:r>
      <w:r>
        <w:t xml:space="preserve">, 7, 2013,</w:t>
      </w:r>
      <w:r>
        <w:t xml:space="preserve"> </w:t>
      </w:r>
      <w:hyperlink r:id="rId37">
        <w:r>
          <w:rPr>
            <w:rStyle w:val="Hyperlink"/>
          </w:rPr>
          <w:t xml:space="preserve">https://doi.org/10.3389/fnbeh.2013.00057</w:t>
        </w:r>
      </w:hyperlink>
    </w:p>
  </w:footnote>
  <w:footnote w:id="38">
    <w:p>
      <w:pPr>
        <w:pStyle w:val="FootnoteText"/>
      </w:pPr>
      <w:r>
        <w:rPr>
          <w:rStyle w:val="FootnoteReference"/>
        </w:rPr>
        <w:footnoteRef/>
      </w:r>
      <w:r>
        <w:t xml:space="preserve"> </w:t>
      </w:r>
      <w:r>
        <w:t xml:space="preserve">Tra i casi più eclatanti in tale senso preme ricordare almeno quello del giovane Aaron Swartz, reo di aver scaricato illegalmente un consistente numero di articoli scientifici dal repository a pagamento</w:t>
      </w:r>
      <w:r>
        <w:t xml:space="preserve"> </w:t>
      </w:r>
      <w:r>
        <w:t xml:space="preserve">, per cui venne condannato a 35 anni di reclusione, morendo suicida a New York nel 2013.</w:t>
      </w:r>
    </w:p>
  </w:footnote>
  <w:footnote w:id="39">
    <w:p>
      <w:pPr>
        <w:pStyle w:val="FootnoteText"/>
      </w:pPr>
      <w:r>
        <w:rPr>
          <w:rStyle w:val="FootnoteReference"/>
        </w:rPr>
        <w:footnoteRef/>
      </w:r>
      <w:r>
        <w:t xml:space="preserve"> </w:t>
      </w:r>
      <w:r>
        <w:t xml:space="preserve">Una risposta in tale senso è stata fornita dall’elaborazione di licenze meno restrittive in termini di riutilizzo dei prodotto, che designano l’universo dell’</w:t>
      </w:r>
      <w:r>
        <w:rPr>
          <w:i/>
        </w:rPr>
        <w:t xml:space="preserve">open knowledge</w:t>
      </w:r>
      <w:r>
        <w:t xml:space="preserve"> </w:t>
      </w:r>
      <w:r>
        <w:t xml:space="preserve">(</w:t>
      </w:r>
      <w:r>
        <w:rPr>
          <w:i/>
        </w:rPr>
        <w:t xml:space="preserve">open source</w:t>
      </w:r>
      <w:r>
        <w:t xml:space="preserve"> </w:t>
      </w:r>
      <w:r>
        <w:t xml:space="preserve">e</w:t>
      </w:r>
      <w:r>
        <w:t xml:space="preserve"> </w:t>
      </w:r>
      <w:r>
        <w:rPr>
          <w:i/>
        </w:rPr>
        <w:t xml:space="preserve">open access</w:t>
      </w:r>
      <w:r>
        <w:t xml:space="preserve"> </w:t>
      </w:r>
      <w:r>
        <w:t xml:space="preserve">tra gli altri).</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2019-03-25T10:42:33Z</dcterms:created>
  <dcterms:modified xsi:type="dcterms:W3CDTF">2019-03-25T10:42:33Z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2019-03-25</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