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BOUNGOU MBIMI Gloire Bryan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https://github.com/glo007/congesflow</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en ligne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https://congesflow-web.onrender.com</w:t>
            </w:r>
          </w:p>
        </w:tc>
      </w:tr>
    </w:tbl>
    <w:p>
      <w:r>
        <w:br w:type="page"/>
      </w:r>
    </w:p>
    <w:p>
      <w:pPr>
        <w:pStyle w:val="Heading1"/>
      </w:pPr>
      <w:r>
        <w:t xml:space="preserve">Remerciements</w:t>
      </w:r>
    </w:p>
    <w:p>
      <w:pPr>
        <w:spacing w:after="120"/>
      </w:pPr>
      <w:r>
        <w:t xml:space="preserve">Je tiens à remercier mon encadrant, M'hand BOUFALA, pour son accompagnement et ses conseils tout au long de ce projet. Je remercie également l'ensemble de l'équipe pédagogique de l'ESTIAM pour la qualité de la formation dispensée, ainsi que toutes les personnes qui, de près ou de loin, ont contribué à la réalisation de ce travail et m'ont soutenu durant cette période.</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Fig.3a-3c</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d'activité (connexion, validation, annulation)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Fig.4a-4b</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de séquence (connexion, validation)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3"/>
      </w:pPr>
      <w:r>
        <w:t xml:space="preserve">2.1.4 Adaptation de la méthode agile à un projet individuel</w:t>
      </w:r>
    </w:p>
    <w:p>
      <w:pPr>
        <w:spacing w:after="120"/>
      </w:pPr>
      <w:r>
        <w:t xml:space="preserve">Le projet ayant été mené seul, la méthode agile a été adaptée : il s'agit d'une approche « Scrumban » (un Scrum allégé, piloté au quotidien par un tableau Kanban). J'ai endossé l'ensemble des rôles et remplacé les cérémonies collectives par des équivalents adaptés au travail individuel. Assumer cette adaptation fait partie de la démarche : elle démontre la compréhension des principes agiles autant que leur mise en œuvre.</w:t>
      </w:r>
    </w:p>
    <w:p>
      <w:pPr>
        <w:spacing w:after="120"/>
        <w:rPr>
          <w:b/>
          <w:bCs/>
        </w:rPr>
      </w:pPr>
      <w:r>
        <w:rPr>
          <w:b/>
          <w:bCs/>
        </w:rPr>
        <w:t xml:space="preserve">Rôles endossés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Scrum</w:t>
            </w:r>
          </w:p>
        </w:tc>
        <w:tc>
          <w:tcPr>
            <w:tcW w:type="dxa" w:w="1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Assuré par</w:t>
            </w:r>
          </w:p>
        </w:tc>
        <w:tc>
          <w:tcPr>
            <w:tcW w:type="dxa" w:w="4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 pratique sur le projet</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Product Owner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Rédaction et priorisation du backlog (MoSCoW), arbitrage du périmètre</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Scrum Master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du travail, suivi du Kanban, levée des obstacles techniques</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Équipe de développement</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Conception, développement, tests et documentation</w:t>
            </w:r>
          </w:p>
        </w:tc>
      </w:tr>
    </w:tbl>
    <w:p>
      <w:pPr>
        <w:spacing w:after="120"/>
        <w:rPr>
          <w:b/>
          <w:bCs/>
        </w:rPr>
      </w:pPr>
      <w:r>
        <w:rPr>
          <w:b/>
          <w:bCs/>
        </w:rPr>
        <w:t xml:space="preserve">Adaptation des cérémonies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Cérémonie Scrum (équipe)</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Adaptation au contexte individuel</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Daily meeting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Point d'avancement personnel quotidien et mise à jour du tableau Kanban</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planning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Sélection des User Stories de l'itération depuis le backlog priorisé</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review</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Vérification de la « Definition of Done » et démonstration à l'encadrant</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Rétrospective</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Bilan personnel écrit en fin de projet (voir ci-dessous)</w:t>
            </w:r>
          </w:p>
        </w:tc>
      </w:tr>
    </w:tbl>
    <w:p>
      <w:pPr>
        <w:spacing w:after="120"/>
        <w:rPr>
          <w:b/>
          <w:bCs/>
        </w:rPr>
      </w:pPr>
      <w:r>
        <w:rPr>
          <w:b/>
          <w:bCs/>
        </w:rPr>
        <w:t xml:space="preserve">Definition of Done (définition du « terminé ») — une User Story est considérée comme terminée lorsque :</w:t>
      </w:r>
    </w:p>
    <w:p>
      <w:pPr>
        <w:pStyle w:val="ListParagraph"/>
        <w:numPr>
          <w:ilvl w:val="0"/>
          <w:numId w:val="3"/>
        </w:numPr>
        <w:spacing w:after="60"/>
      </w:pPr>
      <w:r>
        <w:t xml:space="preserve">le code de la fonctionnalité est écrit et fonctionnel ;</w:t>
      </w:r>
    </w:p>
    <w:p>
      <w:pPr>
        <w:pStyle w:val="ListParagraph"/>
        <w:numPr>
          <w:ilvl w:val="0"/>
          <w:numId w:val="3"/>
        </w:numPr>
        <w:spacing w:after="60"/>
      </w:pPr>
      <w:r>
        <w:t xml:space="preserve">il est couvert par des tests automatisés qui passent ;</w:t>
      </w:r>
    </w:p>
    <w:p>
      <w:pPr>
        <w:pStyle w:val="ListParagraph"/>
        <w:numPr>
          <w:ilvl w:val="0"/>
          <w:numId w:val="3"/>
        </w:numPr>
        <w:spacing w:after="60"/>
      </w:pPr>
      <w:r>
        <w:t xml:space="preserve">il est documenté (commentaires utiles, documentation mise à jour si nécessaire) ;</w:t>
      </w:r>
    </w:p>
    <w:p>
      <w:pPr>
        <w:pStyle w:val="ListParagraph"/>
        <w:numPr>
          <w:ilvl w:val="0"/>
          <w:numId w:val="3"/>
        </w:numPr>
        <w:spacing w:after="60"/>
      </w:pPr>
      <w:r>
        <w:t xml:space="preserve">il est versionné sur sa branche et intégré après succès de l'intégration continue.</w:t>
      </w:r>
    </w:p>
    <w:p>
      <w:pPr>
        <w:spacing w:after="120"/>
        <w:rPr>
          <w:b/>
          <w:bCs/>
        </w:rPr>
      </w:pPr>
      <w:r>
        <w:rPr>
          <w:b/>
          <w:bCs/>
        </w:rPr>
        <w:t xml:space="preserve">Rétrospective de fin de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Ce qui a bien fonctionné</w:t>
            </w:r>
          </w:p>
        </w:tc>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Difficultés rencontrées</w:t>
            </w:r>
          </w:p>
        </w:tc>
        <w:tc>
          <w:tcPr>
            <w:tcW w:type="dxa" w:w="301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Axes d'amélioration</w:t>
            </w:r>
          </w:p>
        </w:tc>
      </w:tr>
      <w:tr>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Découpage en User Stories testées ; la priorisation MoSCoW a permis de tenir le périmètre dans les délais.</w:t>
            </w:r>
          </w:p>
        </w:tc>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Incompatibilités de versions de dépendances ; cohérence des statuts de demande à garantir.</w:t>
            </w:r>
          </w:p>
        </w:tc>
        <w:tc>
          <w:tcPr>
            <w:tcW w:type="dxa" w:w="301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Mettre en place le déploiement plus tôt ; ajouter des tests end-to-end (Playwright).</w:t>
            </w:r>
          </w:p>
        </w:tc>
      </w:tr>
    </w:tbl>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pStyle w:val="Heading3"/>
      </w:pPr>
      <w:r>
        <w:t xml:space="preserve">2.4.1 Modélisation détaillée des principaux cas d'utilisation</w:t>
      </w:r>
    </w:p>
    <w:p>
      <w:pPr>
        <w:spacing w:after="120"/>
      </w:pPr>
      <w:r>
        <w:t xml:space="preserve">Afin d'obtenir une conception complète, chaque cas d'utilisation majeur est décrit par son diagramme d'activité et, lorsqu'il implique plusieurs échanges, par son diagramme de séquence. Les diagrammes de la création d'une demande figurent ci-dessus (Fig.3 et Fig.4).</w:t>
      </w:r>
    </w:p>
    <w:p>
      <w:pPr>
        <w:spacing w:after="120"/>
        <w:rPr>
          <w:b/>
          <w:bCs/>
        </w:rPr>
      </w:pPr>
      <w:r>
        <w:rPr>
          <w:b/>
          <w:bCs/>
        </w:rPr>
        <w:t xml:space="preserve">Cas d'utilisation « S'authentifier » (UC01)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704975" cy="3429000"/>
                  <wp:effectExtent t="0" r="0" b="0" l="0"/>
                  <wp:docPr id="1" name="11-activite-connexion" descr="Diagramme d'activité — s'authentifier" title="Fig.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04975" cy="3429000"/>
                          </a:xfrm>
                          <a:prstGeom prst="rect">
                            <a:avLst/>
                          </a:prstGeom>
                        </pic:spPr>
                      </pic:pic>
                    </a:graphicData>
                  </a:graphic>
                </wp:inline>
              </w:drawing>
            </w:r>
          </w:p>
          <w:p>
            <w:pPr>
              <w:jc w:val="center"/>
            </w:pPr>
            <w:r>
              <w:rPr>
                <w:i/>
                <w:iCs/>
                <w:color w:val="44505F"/>
                <w:sz w:val="18"/>
                <w:szCs w:val="18"/>
              </w:rPr>
              <w:t xml:space="preserve">Fig.3a — Diagramme d'activité — s'authentifier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12-sequence-connexion" descr="Diagramme de séquence — s'authentifier" title="Fig.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Fig.4a — Diagramme de séquence — s'authentifier</w:t>
            </w:r>
          </w:p>
        </w:tc>
      </w:tr>
    </w:tbl>
    <w:p>
      <w:pPr>
        <w:spacing w:after="120"/>
      </w:pPr>
      <w:r>
        <w:t xml:space="preserve"/>
      </w:r>
    </w:p>
    <w:p>
      <w:pPr>
        <w:spacing w:after="120"/>
        <w:rPr>
          <w:b/>
          <w:bCs/>
        </w:rPr>
      </w:pPr>
      <w:r>
        <w:rPr>
          <w:b/>
          <w:bCs/>
        </w:rPr>
        <w:t xml:space="preserve">Cas d'utilisation « Valider ou refuser une demande » (UC03)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267075" cy="3429000"/>
                  <wp:effectExtent t="0" r="0" b="0" l="0"/>
                  <wp:docPr id="1" name="13-activite-validation" descr="Diagramme d'activité — valider ou refuser une demande" title="Fig.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3429000"/>
                          </a:xfrm>
                          <a:prstGeom prst="rect">
                            <a:avLst/>
                          </a:prstGeom>
                        </pic:spPr>
                      </pic:pic>
                    </a:graphicData>
                  </a:graphic>
                </wp:inline>
              </w:drawing>
            </w:r>
          </w:p>
          <w:p>
            <w:pPr>
              <w:jc w:val="center"/>
            </w:pPr>
            <w:r>
              <w:rPr>
                <w:i/>
                <w:iCs/>
                <w:color w:val="44505F"/>
                <w:sz w:val="18"/>
                <w:szCs w:val="18"/>
              </w:rPr>
              <w:t xml:space="preserve">Fig.3b — Diagramme d'activité — valider ou refuser une demande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3048000"/>
                  <wp:effectExtent t="0" r="0" b="0" l="0"/>
                  <wp:docPr id="1" name="14-sequence-validation" descr="Diagramme de séquence — valider une demande" title="Fig.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48000"/>
                          </a:xfrm>
                          <a:prstGeom prst="rect">
                            <a:avLst/>
                          </a:prstGeom>
                        </pic:spPr>
                      </pic:pic>
                    </a:graphicData>
                  </a:graphic>
                </wp:inline>
              </w:drawing>
            </w:r>
          </w:p>
          <w:p>
            <w:pPr>
              <w:jc w:val="center"/>
            </w:pPr>
            <w:r>
              <w:rPr>
                <w:i/>
                <w:iCs/>
                <w:color w:val="44505F"/>
                <w:sz w:val="18"/>
                <w:szCs w:val="18"/>
              </w:rPr>
              <w:t xml:space="preserve">Fig.4b — Diagramme de séquence — valider une demande</w:t>
            </w:r>
          </w:p>
        </w:tc>
      </w:tr>
    </w:tbl>
    <w:p>
      <w:pPr>
        <w:spacing w:after="120"/>
      </w:pPr>
      <w:r>
        <w:t xml:space="preserve"/>
      </w:r>
    </w:p>
    <w:p>
      <w:pPr>
        <w:spacing w:after="120"/>
        <w:rPr>
          <w:b/>
          <w:bCs/>
        </w:rPr>
      </w:pPr>
      <w:r>
        <w:rPr>
          <w:b/>
          <w:bCs/>
        </w:rPr>
        <w:t xml:space="preserve">Cas d'utilisation « Annuler une demande » (UC04)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914525" cy="3429000"/>
                  <wp:effectExtent t="0" r="0" b="0" l="0"/>
                  <wp:docPr id="1" name="15-activite-annulation" descr="Diagramme d'activité — annuler une demande" title="Fig.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14525" cy="3429000"/>
                          </a:xfrm>
                          <a:prstGeom prst="rect">
                            <a:avLst/>
                          </a:prstGeom>
                        </pic:spPr>
                      </pic:pic>
                    </a:graphicData>
                  </a:graphic>
                </wp:inline>
              </w:drawing>
            </w:r>
          </w:p>
          <w:p>
            <w:pPr>
              <w:jc w:val="center"/>
            </w:pPr>
            <w:r>
              <w:rPr>
                <w:i/>
                <w:iCs/>
                <w:color w:val="44505F"/>
                <w:sz w:val="18"/>
                <w:szCs w:val="18"/>
              </w:rPr>
              <w:t xml:space="preserve">Fig.3c — Diagramme d'activité — annuler 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connexion.png" descr="Maquette Figma de l'écran de connexion" title="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Fig.11 — Maquette Figma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tableau-de-bord.png" descr="Maquette Figma de l'écran « Mes demandes » (soldes, formulaire, historique)" title="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Fig.12 — Maquette Figma de l'écran « Mes demandes »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3-login.png" descr="Écran de connexion de l'application" title="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Fig.13 — Écran de connexion de l'application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819525"/>
                  <wp:effectExtent t="0" r="0" b="0" l="0"/>
                  <wp:docPr id="1" name="fig14-mes-demandes.png" descr="Espace salarié : soldes, formulaire de demande et historique" title="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19525"/>
                          </a:xfrm>
                          <a:prstGeom prst="rect">
                            <a:avLst/>
                          </a:prstGeom>
                        </pic:spPr>
                      </pic:pic>
                    </a:graphicData>
                  </a:graphic>
                </wp:inline>
              </w:drawing>
            </w:r>
          </w:p>
          <w:p>
            <w:pPr>
              <w:jc w:val="center"/>
            </w:pPr>
            <w:r>
              <w:rPr>
                <w:i/>
                <w:iCs/>
                <w:color w:val="44505F"/>
                <w:sz w:val="18"/>
                <w:szCs w:val="18"/>
              </w:rPr>
              <w:t xml:space="preserve">Fig.14 — Espace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5-validation.png" descr="Espace manager : demandes à valider (actions Valider / Refuser)" title="Fig.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Fig.15 — Espace manager : demandes à valider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6-dashboard.png" descr="Tableau de bord du manager : indicateurs et répartition des demandes" title="Fig.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Fig.16 — Tableau de bord du manager : indicateurs et répartition des demandes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3724275" cy="5905500"/>
                  <wp:effectExtent t="0" r="0" b="0" l="0"/>
                  <wp:docPr id="1" name="fig18-swagger.png" descr="Documentation interactive de l'API (Swagger / OpenAPI)" title="Fig.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724275" cy="5905500"/>
                          </a:xfrm>
                          <a:prstGeom prst="rect">
                            <a:avLst/>
                          </a:prstGeom>
                        </pic:spPr>
                      </pic:pic>
                    </a:graphicData>
                  </a:graphic>
                </wp:inline>
              </w:drawing>
            </w:r>
          </w:p>
          <w:p>
            <w:pPr>
              <w:jc w:val="center"/>
            </w:pPr>
            <w:r>
              <w:rPr>
                <w:i/>
                <w:iCs/>
                <w:color w:val="44505F"/>
                <w:sz w:val="18"/>
                <w:szCs w:val="18"/>
              </w:rPr>
              <w:t xml:space="preserve">Fig.17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pStyle w:val="ListParagraph"/>
        <w:numPr>
          <w:ilvl w:val="0"/>
          <w:numId w:val="3"/>
        </w:numPr>
        <w:spacing w:after="60"/>
      </w:pPr>
      <w:r>
        <w:rPr>
          <w:b/>
          <w:bCs/>
        </w:rPr>
        <w:t xml:space="preserve">Déploiement et routage SPA : </w:t>
      </w:r>
      <w:r>
        <w:t xml:space="preserve">après la mise en ligne sur Render, la racine du front renvoyait une erreur 404 et l'URL de l'API n'était pas correctement injectée. Solution : ajout d'une règle de réécriture renvoyant toutes les routes vers index.html, et configuration explicite de l'URL publique de l'API, suivies d'un redéploiement avec purge du cache.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447675"/>
                  <wp:effectExtent t="0" r="0" b="0" l="0"/>
                  <wp:docPr id="1" name="fig18-tests.png" descr="Sortie de l'exécution des tests (pytest) — 26 tests au vert" title="Fig.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447675"/>
                          </a:xfrm>
                          <a:prstGeom prst="rect">
                            <a:avLst/>
                          </a:prstGeom>
                        </pic:spPr>
                      </pic:pic>
                    </a:graphicData>
                  </a:graphic>
                </wp:inline>
              </w:drawing>
            </w:r>
          </w:p>
          <w:p>
            <w:pPr>
              <w:jc w:val="center"/>
            </w:pPr>
            <w:r>
              <w:rPr>
                <w:i/>
                <w:iCs/>
                <w:color w:val="44505F"/>
                <w:sz w:val="18"/>
                <w:szCs w:val="18"/>
              </w:rPr>
              <w:t xml:space="preserve">Fig.18 — Sortie de l'exécution des tests (pytest) — 26 tests au vert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pPr>
      <w:r>
        <w:t xml:space="preserve">Les temps de réponse de l'API ont été mesurés en local (moyenne sur 8 appels par endpoint). Les requêtes de lecture sont très rapides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4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Temps de réponse moyen</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/api/health</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0,8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/api/auth/me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1,5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/api/demandes/me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1,7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/api/users/me/solde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1,6 ms</w:t>
            </w:r>
          </w:p>
        </w:tc>
      </w:tr>
    </w:tbl>
    <w:p>
      <w:pPr>
        <w:spacing w:after="120"/>
      </w:pPr>
      <w:r>
        <w:t xml:space="preserve">Ces valeurs, de l'ordre de la milliseconde en local, s'expliquent par l'architecture asynchrone de FastAPI et par les index posés sur les colonnes fréquemment filtrées (email, statut). En production (hébergement Render, offre gratuite), s'ajoutent la latence réseau et, après une période d'inactivité, un délai de « réveil » du service d'environ cinquante secondes au premier appel — comportement propre à l'offre gratuite, sans incidence sur les performances une fois le service actif.</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pPr>
      <w:r>
        <w:t xml:space="preserve">Concrètement, les sources de veille suivies pendant le projet ont été : les documentations officielles et leurs notes de version (FastAPI, React, SQLAlchemy, PostgreSQL), le référentiel OWASP Top 10 pour la sécurité, ainsi que des articles techniques de la communauté (dev.to, blogs spécialisés, dépôts GitHub). Cette veille a eu un impact direct : c'est en consultant les notes de version que j'ai identifié l'incompatibilité entre passlib et les versions récentes de bcrypt, ce qui m'a permis de figer la version adéquate ; de la même manière, la lecture de l'OWASP Top 10 a guidé mes choix de sécurisation (requêtes préparées, hachage des mots de passe, contrôle d'accès par rôle).</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p>
      <w:pPr>
        <w:spacing w:after="120"/>
      </w:pPr>
      <w:r>
        <w:t xml:space="preserve">La documentation Swagger est illustrée en Fig.17. Elle liste l'ensemble des endpoints, leurs paramètres et leurs réponses, et permet de les tester directement.</w:t>
      </w:r>
    </w:p>
    <w:p>
      <w:pPr>
        <w:pStyle w:val="Heading2"/>
      </w:pPr>
      <w:r>
        <w:t xml:space="preserve">Annexe E — Dépôt GitHub</w:t>
      </w:r>
    </w:p>
    <w:p>
      <w:pPr>
        <w:spacing w:after="120"/>
      </w:pPr>
      <w:r>
        <w:rPr>
          <w:b/>
          <w:bCs/>
        </w:rPr>
        <w:t xml:space="preserve">Dépôt GitHub : </w:t>
      </w:r>
      <w:r>
        <w:t xml:space="preserve">https://github.com/glo007/congesflow</w:t>
      </w:r>
    </w:p>
    <w:p>
      <w:pPr>
        <w:spacing w:after="120"/>
      </w:pPr>
      <w:r>
        <w:rPr>
          <w:b/>
          <w:bCs/>
        </w:rPr>
        <w:t xml:space="preserve">Application déployée en ligne : </w:t>
      </w:r>
      <w:r>
        <w:t xml:space="preserve">https://congesflow-web.onrender.com</w:t>
      </w:r>
    </w:p>
    <w:p>
      <w:pPr>
        <w:spacing w:after="120"/>
      </w:pPr>
      <w:r>
        <w:t xml:space="preserve">Comptes de démonstration (mot de passe : Password123) : salarie@congesflow.fr, manager@congesflow.fr, rh@congesflow.fr.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7386A" w:sz="18" w:space="6"/>
      </w:pBdr>
      <w:shd w:fill="0B5394" w:val="clear"/>
      <w:spacing w:after="200" w:before="340"/>
      <w:outlineLvl w:val="0"/>
    </w:pPr>
    <w:rPr>
      <w:b/>
      <w:bCs/>
      <w:color w:val="FFFFFF"/>
      <w:sz w:val="32"/>
      <w:szCs w:val="32"/>
    </w:rPr>
  </w:style>
  <w:style w:type="paragraph" w:styleId="Heading2">
    <w:name w:val="Heading 2"/>
    <w:basedOn w:val="Normal"/>
    <w:next w:val="Normal"/>
    <w:qFormat/>
    <w:pPr>
      <w:pBdr>
        <w:bottom w:val="single" w:color="9DB8DA" w:sz="6" w:space="3"/>
      </w:pBd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dbfdcfe445c2e031a2b0d1e044e2778149effed.png"/><Relationship Id="rId9" Type="http://schemas.openxmlformats.org/officeDocument/2006/relationships/image" Target="media/66aee269ec7b294c7e0cfae6f7ffa5901236a691.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dcf0de0183631f1495c306c61ea196950d86498d.png"/><Relationship Id="rId13" Type="http://schemas.openxmlformats.org/officeDocument/2006/relationships/image" Target="media/fc2167a0eac96b6e69f4ab08a7a78f5bcbc77d81.png"/><Relationship Id="rId14" Type="http://schemas.openxmlformats.org/officeDocument/2006/relationships/image" Target="media/f955657d475310a392b0fe122d470e51b46295f5.png"/><Relationship Id="rId15" Type="http://schemas.openxmlformats.org/officeDocument/2006/relationships/image" Target="media/fd32f2c3b193f5a046d2e038ae3a89f0bf7655ff.png"/><Relationship Id="rId16" Type="http://schemas.openxmlformats.org/officeDocument/2006/relationships/image" Target="media/b82ca1d45fda1ee484e8f17ba3bbefccd6cf363a.png"/><Relationship Id="rId17" Type="http://schemas.openxmlformats.org/officeDocument/2006/relationships/image" Target="media/b6bc8d1536876944fbb7b6eb89b25b5138ec72e9.png"/><Relationship Id="rId18" Type="http://schemas.openxmlformats.org/officeDocument/2006/relationships/image" Target="media/6d9431e799f514484744bf9d191d9feb7fc7cc42.png"/><Relationship Id="rId19" Type="http://schemas.openxmlformats.org/officeDocument/2006/relationships/image" Target="media/45c81a0306774388afcc95dfa63e33c9c382e7e2.png"/><Relationship Id="rId20" Type="http://schemas.openxmlformats.org/officeDocument/2006/relationships/image" Target="media/8655fab72dde55e550733862deccc2603826b334.png"/><Relationship Id="rId21" Type="http://schemas.openxmlformats.org/officeDocument/2006/relationships/image" Target="media/18075c20a361ba0ae59e30dbf58ecbadab34a642.png"/><Relationship Id="rId22" Type="http://schemas.openxmlformats.org/officeDocument/2006/relationships/image" Target="media/2da21cb60100063287aaf597536f1d062a3f6ce2.png"/><Relationship Id="rId23" Type="http://schemas.openxmlformats.org/officeDocument/2006/relationships/image" Target="media/4ecc9f3f253dd112f1f8aa2c73412c8900b73602.png"/><Relationship Id="rId24" Type="http://schemas.openxmlformats.org/officeDocument/2006/relationships/image" Target="media/55f2e16a7c61c91568c07b0ec66252d4674d9286.png"/><Relationship Id="rId25" Type="http://schemas.openxmlformats.org/officeDocument/2006/relationships/image" Target="media/bb001ec0e1308a85969c43f7689736ddbb4efb50.png"/><Relationship Id="rId26" Type="http://schemas.openxmlformats.org/officeDocument/2006/relationships/image" Target="media/623183ed087a6c05d43fe05618a8b4776fd96778.png"/><Relationship Id="rId27" Type="http://schemas.openxmlformats.org/officeDocument/2006/relationships/image" Target="media/0491d6a55f96676af7bf21f8c312b9163b18e32c.png"/><Relationship Id="rId28" Type="http://schemas.openxmlformats.org/officeDocument/2006/relationships/image" Target="media/ad505759c73160d01596a563ef454e521964f1e8.png"/><Relationship Id="rId29" Type="http://schemas.openxmlformats.org/officeDocument/2006/relationships/image" Target="media/b95778e43b5bc5e8d044ebffdd8811cb28d1875c.png"/><Relationship Id="rId30" Type="http://schemas.openxmlformats.org/officeDocument/2006/relationships/image" Target="media/d3fb51006e5237771e441c1d0da1987a2b0c8477.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2026-07-09T12:00:10.480Z</dcterms:created>
  <dcterms:modified xsi:type="dcterms:W3CDTF">2026-07-09T12:00:10.481Z</dcterms:modified>
</cp:coreProperties>
</file>

<file path=docProps/custom.xml><?xml version="1.0" encoding="utf-8"?>
<Properties xmlns="http://schemas.openxmlformats.org/officeDocument/2006/custom-properties" xmlns:vt="http://schemas.openxmlformats.org/officeDocument/2006/docPropsVTypes"/>
</file>