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0B5394"/>
          <w:sz w:val="40"/>
          <w:szCs w:val="40"/>
        </w:rPr>
        <w:t xml:space="preserve">CongésFlow</w:t>
      </w:r>
    </w:p>
    <w:p>
      <w:pPr>
        <w:spacing w:after="60"/>
      </w:pPr>
      <w:r>
        <w:rPr>
          <w:i/>
          <w:iCs/>
          <w:color w:val="44505F"/>
          <w:sz w:val="22"/>
          <w:szCs w:val="22"/>
        </w:rPr>
        <w:t xml:space="preserve">Application web de gestion des demandes de congés</w:t>
      </w:r>
    </w:p>
    <w:p>
      <w:pPr>
        <w:spacing w:after="200"/>
      </w:pPr>
      <w:r>
        <w:rPr>
          <w:color w:val="6B7785"/>
          <w:sz w:val="18"/>
          <w:szCs w:val="18"/>
        </w:rPr>
        <w:t xml:space="preserve">Présentation du projet — État d'avancement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7C3D0" w:sz="1"/>
              <w:left w:val="single" w:color="B7C3D0" w:sz="1"/>
              <w:bottom w:val="single" w:color="B7C3D0" w:sz="1"/>
              <w:right w:val="single" w:color="B7C3D0" w:sz="1"/>
            </w:tcBorders>
            <w:shd w:fill="0B5394" w:val="clear"/>
            <w:tcMar>
              <w:top w:type="dxa" w:w="70"/>
              <w:left w:type="dxa" w:w="110"/>
              <w:bottom w:type="dxa" w:w="70"/>
              <w:right w:type="dxa" w:w="110"/>
            </w:tcMar>
          </w:tcPr>
          <w:p>
            <w:r>
              <w:rPr>
                <w:b/>
                <w:bCs/>
                <w:color w:val="FFFFFF"/>
                <w:sz w:val="20"/>
                <w:szCs w:val="20"/>
              </w:rPr>
              <w:t xml:space="preserve"/>
            </w:r>
          </w:p>
        </w:tc>
        <w:tc>
          <w:tcPr>
            <w:tcW w:type="dxa" w:w="6826"/>
            <w:tcBorders>
              <w:top w:val="single" w:color="B7C3D0" w:sz="1"/>
              <w:left w:val="single" w:color="B7C3D0" w:sz="1"/>
              <w:bottom w:val="single" w:color="B7C3D0" w:sz="1"/>
              <w:right w:val="single" w:color="B7C3D0" w:sz="1"/>
            </w:tcBorders>
            <w:shd w:fill="0B5394" w:val="clear"/>
            <w:tcMar>
              <w:top w:type="dxa" w:w="70"/>
              <w:left w:type="dxa" w:w="110"/>
              <w:bottom w:type="dxa" w:w="70"/>
              <w:right w:type="dxa" w:w="110"/>
            </w:tcMar>
          </w:tcPr>
          <w:p>
            <w:r>
              <w:rPr>
                <w:b/>
                <w:bCs/>
                <w:color w:val="FFFFFF"/>
                <w:sz w:val="20"/>
                <w:szCs w:val="20"/>
              </w:rPr>
              <w:t xml:space="preserve"/>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Étudiant</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[Votre Nom Prénom]</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Formation</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Concepteur Développeur d'Applications (RNCP niveau 6) — ESTIAM</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Encadrant</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M'hand BOUFALA</w:t>
            </w:r>
          </w:p>
        </w:tc>
      </w:tr>
      <w:tr>
        <w:tc>
          <w:tcPr>
            <w:tcW w:type="dxa" w:w="22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Date</w:t>
            </w:r>
          </w:p>
        </w:tc>
        <w:tc>
          <w:tcPr>
            <w:tcW w:type="dxa" w:w="68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Juin 2026</w:t>
            </w:r>
          </w:p>
        </w:tc>
      </w:tr>
    </w:tbl>
    <w:p>
      <w:pPr>
        <w:pStyle w:val="Heading1"/>
      </w:pPr>
      <w:r>
        <w:t xml:space="preserve">1. Contexte et problématique</w:t>
      </w:r>
    </w:p>
    <w:p>
      <w:pPr>
        <w:spacing w:after="110"/>
      </w:pPr>
      <w:r>
        <w:t xml:space="preserve">Dans de nombreuses PME, la gestion des congés repose encore sur des e-mails et des tableurs, ce qui génère des erreurs de soldes, des demandes non tracées et une absence de sécurité sur les données.</w:t>
      </w:r>
    </w:p>
    <w:p>
      <w:pPr>
        <w:spacing w:after="110"/>
      </w:pPr>
      <w:r>
        <w:rPr>
          <w:b/>
          <w:bCs/>
        </w:rPr>
        <w:t xml:space="preserve">Problématique : </w:t>
      </w:r>
      <w:r>
        <w:t xml:space="preserve">comment fiabiliser et fluidifier la gestion des demandes de congés au sein d'une PME, tout en garantissant la sécurité des données et le respect des rôles de l'organisation ?</w:t>
      </w:r>
    </w:p>
    <w:p>
      <w:pPr>
        <w:pStyle w:val="Heading1"/>
      </w:pPr>
      <w:r>
        <w:t xml:space="preserve">2. Solution proposée</w:t>
      </w:r>
    </w:p>
    <w:p>
      <w:pPr>
        <w:spacing w:after="110"/>
      </w:pPr>
      <w:r>
        <w:t xml:space="preserve">CongésFlow est une application web où un salarié pose une demande de congé, son manager la valide ou la refuse, et le service RH pilote les soldes. L'application est sécurisée, testée et conteneurisée, et a été conçue pour couvrir les trois blocs de compétences du titre.</w:t>
      </w:r>
    </w:p>
    <w:p>
      <w:pPr>
        <w:spacing w:after="110"/>
      </w:pPr>
      <w:r>
        <w:rPr>
          <w:b/>
          <w:bCs/>
        </w:rPr>
        <w:t xml:space="preserve">Trois rôles : </w:t>
      </w:r>
      <w:r>
        <w:t xml:space="preserve">Salarié (pose et suit ses demandes), Manager (valide les demandes de son équipe), RH (supervise et gère les soldes).</w:t>
      </w:r>
    </w:p>
    <w:p>
      <w:pPr>
        <w:pStyle w:val="Heading1"/>
      </w:pPr>
      <w:r>
        <w:t xml:space="preserve">3. Fonctionnalités développées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C3D0" w:sz="1"/>
              <w:left w:val="single" w:color="B7C3D0" w:sz="1"/>
              <w:bottom w:val="single" w:color="B7C3D0" w:sz="1"/>
              <w:right w:val="single" w:color="B7C3D0" w:sz="1"/>
            </w:tcBorders>
            <w:shd w:fill="0B5394" w:val="clear"/>
            <w:tcMar>
              <w:top w:type="dxa" w:w="70"/>
              <w:left w:type="dxa" w:w="110"/>
              <w:bottom w:type="dxa" w:w="70"/>
              <w:right w:type="dxa" w:w="110"/>
            </w:tcMar>
          </w:tcPr>
          <w:p>
            <w:r>
              <w:rPr>
                <w:b/>
                <w:bCs/>
                <w:color w:val="FFFFFF"/>
                <w:sz w:val="20"/>
                <w:szCs w:val="20"/>
              </w:rPr>
              <w:t xml:space="preserve">Module</w:t>
            </w:r>
          </w:p>
        </w:tc>
        <w:tc>
          <w:tcPr>
            <w:tcW w:type="dxa" w:w="6426"/>
            <w:tcBorders>
              <w:top w:val="single" w:color="B7C3D0" w:sz="1"/>
              <w:left w:val="single" w:color="B7C3D0" w:sz="1"/>
              <w:bottom w:val="single" w:color="B7C3D0" w:sz="1"/>
              <w:right w:val="single" w:color="B7C3D0" w:sz="1"/>
            </w:tcBorders>
            <w:shd w:fill="0B5394" w:val="clear"/>
            <w:tcMar>
              <w:top w:type="dxa" w:w="70"/>
              <w:left w:type="dxa" w:w="110"/>
              <w:bottom w:type="dxa" w:w="70"/>
              <w:right w:type="dxa" w:w="110"/>
            </w:tcMar>
          </w:tcPr>
          <w:p>
            <w:r>
              <w:rPr>
                <w:b/>
                <w:bCs/>
                <w:color w:val="FFFFFF"/>
                <w:sz w:val="20"/>
                <w:szCs w:val="20"/>
              </w:rPr>
              <w:t xml:space="preserve">Fonctionnalités</w:t>
            </w:r>
          </w:p>
        </w:tc>
      </w:tr>
      <w:tr>
        <w:tc>
          <w:tcPr>
            <w:tcW w:type="dxa" w:w="2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Authentification</w:t>
            </w:r>
          </w:p>
        </w:tc>
        <w:tc>
          <w:tcPr>
            <w:tcW w:type="dxa" w:w="64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Inscription, connexion par jeton JWT, gestion de 3 rôles (RBAC)</w:t>
            </w:r>
          </w:p>
        </w:tc>
      </w:tr>
      <w:tr>
        <w:tc>
          <w:tcPr>
            <w:tcW w:type="dxa" w:w="2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Demandes (salarié)</w:t>
            </w:r>
          </w:p>
        </w:tc>
        <w:tc>
          <w:tcPr>
            <w:tcW w:type="dxa" w:w="64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Création avec calcul automatique des jours ouvrés, contrôle du solde, consultation et annulation</w:t>
            </w:r>
          </w:p>
        </w:tc>
      </w:tr>
      <w:tr>
        <w:tc>
          <w:tcPr>
            <w:tcW w:type="dxa" w:w="2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Validation (manager)</w:t>
            </w:r>
          </w:p>
        </w:tc>
        <w:tc>
          <w:tcPr>
            <w:tcW w:type="dxa" w:w="64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Liste des demandes de l'équipe, validation / refus avec commentaire, mise à jour automatique du solde</w:t>
            </w:r>
          </w:p>
        </w:tc>
      </w:tr>
      <w:tr>
        <w:tc>
          <w:tcPr>
            <w:tcW w:type="dxa" w:w="2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RH</w:t>
            </w:r>
          </w:p>
        </w:tc>
        <w:tc>
          <w:tcPr>
            <w:tcW w:type="dxa" w:w="64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Vue de toutes les demandes, consultation et ajustement des soldes</w:t>
            </w:r>
          </w:p>
        </w:tc>
      </w:tr>
      <w:tr>
        <w:tc>
          <w:tcPr>
            <w:tcW w:type="dxa" w:w="2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Règle métier centrale</w:t>
            </w:r>
          </w:p>
        </w:tc>
        <w:tc>
          <w:tcPr>
            <w:tcW w:type="dxa" w:w="64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Machine à états de la demande : SOUMISE → VALIDÉE / REFUSÉE / ANNULÉE (transitions verrouillées)</w:t>
            </w:r>
          </w:p>
        </w:tc>
      </w:tr>
    </w:tbl>
    <w:p>
      <w:pPr>
        <w:pStyle w:val="Heading1"/>
      </w:pPr>
      <w:r>
        <w:t xml:space="preserve">4. Choix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tcBorders>
              <w:top w:val="single" w:color="B7C3D0" w:sz="1"/>
              <w:left w:val="single" w:color="B7C3D0" w:sz="1"/>
              <w:bottom w:val="single" w:color="B7C3D0" w:sz="1"/>
              <w:right w:val="single" w:color="B7C3D0" w:sz="1"/>
            </w:tcBorders>
            <w:shd w:fill="0B5394" w:val="clear"/>
            <w:tcMar>
              <w:top w:type="dxa" w:w="70"/>
              <w:left w:type="dxa" w:w="110"/>
              <w:bottom w:type="dxa" w:w="70"/>
              <w:right w:type="dxa" w:w="110"/>
            </w:tcMar>
          </w:tcPr>
          <w:p>
            <w:r>
              <w:rPr>
                <w:b/>
                <w:bCs/>
                <w:color w:val="FFFFFF"/>
                <w:sz w:val="20"/>
                <w:szCs w:val="20"/>
              </w:rPr>
              <w:t xml:space="preserve">Couche</w:t>
            </w:r>
          </w:p>
        </w:tc>
        <w:tc>
          <w:tcPr>
            <w:tcW w:type="dxa" w:w="3600"/>
            <w:tcBorders>
              <w:top w:val="single" w:color="B7C3D0" w:sz="1"/>
              <w:left w:val="single" w:color="B7C3D0" w:sz="1"/>
              <w:bottom w:val="single" w:color="B7C3D0" w:sz="1"/>
              <w:right w:val="single" w:color="B7C3D0" w:sz="1"/>
            </w:tcBorders>
            <w:shd w:fill="0B5394" w:val="clear"/>
            <w:tcMar>
              <w:top w:type="dxa" w:w="70"/>
              <w:left w:type="dxa" w:w="110"/>
              <w:bottom w:type="dxa" w:w="70"/>
              <w:right w:type="dxa" w:w="110"/>
            </w:tcMar>
          </w:tcPr>
          <w:p>
            <w:r>
              <w:rPr>
                <w:b/>
                <w:bCs/>
                <w:color w:val="FFFFFF"/>
                <w:sz w:val="20"/>
                <w:szCs w:val="20"/>
              </w:rPr>
              <w:t xml:space="preserve">Technologies</w:t>
            </w:r>
          </w:p>
        </w:tc>
        <w:tc>
          <w:tcPr>
            <w:tcW w:type="dxa" w:w="3526"/>
            <w:tcBorders>
              <w:top w:val="single" w:color="B7C3D0" w:sz="1"/>
              <w:left w:val="single" w:color="B7C3D0" w:sz="1"/>
              <w:bottom w:val="single" w:color="B7C3D0" w:sz="1"/>
              <w:right w:val="single" w:color="B7C3D0" w:sz="1"/>
            </w:tcBorders>
            <w:shd w:fill="0B5394" w:val="clear"/>
            <w:tcMar>
              <w:top w:type="dxa" w:w="70"/>
              <w:left w:type="dxa" w:w="110"/>
              <w:bottom w:type="dxa" w:w="70"/>
              <w:right w:type="dxa" w:w="110"/>
            </w:tcMar>
          </w:tcPr>
          <w:p>
            <w:r>
              <w:rPr>
                <w:b/>
                <w:bCs/>
                <w:color w:val="FFFFFF"/>
                <w:sz w:val="20"/>
                <w:szCs w:val="20"/>
              </w:rPr>
              <w:t xml:space="preserve">Justification</w:t>
            </w:r>
          </w:p>
        </w:tc>
      </w:tr>
      <w:tr>
        <w:tc>
          <w:tcPr>
            <w:tcW w:type="dxa" w:w="1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Front-end</w:t>
            </w:r>
          </w:p>
        </w:tc>
        <w:tc>
          <w:tcPr>
            <w:tcW w:type="dxa" w:w="3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React, TypeScript, Tailwind, React Query</w:t>
            </w:r>
          </w:p>
        </w:tc>
        <w:tc>
          <w:tcPr>
            <w:tcW w:type="dxa" w:w="35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Écosystème moderne, typage = qualité</w:t>
            </w:r>
          </w:p>
        </w:tc>
      </w:tr>
      <w:tr>
        <w:tc>
          <w:tcPr>
            <w:tcW w:type="dxa" w:w="1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Back-end</w:t>
            </w:r>
          </w:p>
        </w:tc>
        <w:tc>
          <w:tcPr>
            <w:tcW w:type="dxa" w:w="3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Python, FastAPI, SQLAlchemy</w:t>
            </w:r>
          </w:p>
        </w:tc>
        <w:tc>
          <w:tcPr>
            <w:tcW w:type="dxa" w:w="35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Rapide, typé, documentation OpenAPI auto</w:t>
            </w:r>
          </w:p>
        </w:tc>
      </w:tr>
      <w:tr>
        <w:tc>
          <w:tcPr>
            <w:tcW w:type="dxa" w:w="1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Base de données</w:t>
            </w:r>
          </w:p>
        </w:tc>
        <w:tc>
          <w:tcPr>
            <w:tcW w:type="dxa" w:w="3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PostgreSQL</w:t>
            </w:r>
          </w:p>
        </w:tc>
        <w:tc>
          <w:tcPr>
            <w:tcW w:type="dxa" w:w="35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Relationnel, intégrité des données</w:t>
            </w:r>
          </w:p>
        </w:tc>
      </w:tr>
      <w:tr>
        <w:tc>
          <w:tcPr>
            <w:tcW w:type="dxa" w:w="1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Sécurité</w:t>
            </w:r>
          </w:p>
        </w:tc>
        <w:tc>
          <w:tcPr>
            <w:tcW w:type="dxa" w:w="3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JWT, bcrypt, RBAC, validation Pydantic</w:t>
            </w:r>
          </w:p>
        </w:tc>
        <w:tc>
          <w:tcPr>
            <w:tcW w:type="dxa" w:w="35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Standards éprouvés, OWASP</w:t>
            </w:r>
          </w:p>
        </w:tc>
      </w:tr>
      <w:tr>
        <w:tc>
          <w:tcPr>
            <w:tcW w:type="dxa" w:w="19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Qualité / DevOps</w:t>
            </w:r>
          </w:p>
        </w:tc>
        <w:tc>
          <w:tcPr>
            <w:tcW w:type="dxa" w:w="36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pytest, Vitest, Docker, GitHub Actions</w:t>
            </w:r>
          </w:p>
        </w:tc>
        <w:tc>
          <w:tcPr>
            <w:tcW w:type="dxa" w:w="35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Tests, conteneurisation, CI/CD</w:t>
            </w:r>
          </w:p>
        </w:tc>
      </w:tr>
    </w:tbl>
    <w:p>
      <w:pPr>
        <w:pStyle w:val="Heading1"/>
      </w:pPr>
      <w:r>
        <w:t xml:space="preserve">5. Aperçu de la modélisation</w:t>
      </w:r>
    </w:p>
    <w:p>
      <w:pPr>
        <w:spacing w:after="110"/>
      </w:pPr>
      <w:r>
        <w:t xml:space="preserve">La conception s'appuie sur dix diagrammes UML / Merise (contexte, cas d'utilisation, activité, séquence, état-transition, classes, MCD, objets, composants, déploiement). En voici deux représentatifs.</w:t>
      </w:r>
    </w:p>
    <w:p>
      <w:pPr>
        <w:spacing w:after="40" w:before="80"/>
        <w:jc w:val="center"/>
      </w:pPr>
      <w:r>
        <w:drawing>
          <wp:inline distT="0" distB="0" distL="0" distR="0">
            <wp:extent cx="3333750" cy="2857500"/>
            <wp:effectExtent t="0" r="0" b="0" l="0"/>
            <wp:docPr id="1" name="02-cas-utilisation" descr="Diagramme de cas d'utilisation" titl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2857500"/>
                    </a:xfrm>
                    <a:prstGeom prst="rect">
                      <a:avLst/>
                    </a:prstGeom>
                  </pic:spPr>
                </pic:pic>
              </a:graphicData>
            </a:graphic>
          </wp:inline>
        </w:drawing>
      </w:r>
    </w:p>
    <w:p>
      <w:pPr>
        <w:spacing w:after="140"/>
        <w:jc w:val="center"/>
      </w:pPr>
      <w:r>
        <w:rPr>
          <w:i/>
          <w:iCs/>
          <w:color w:val="44505F"/>
          <w:sz w:val="17"/>
          <w:szCs w:val="17"/>
        </w:rPr>
        <w:t xml:space="preserve">Fig.2 — Diagramme de cas d'utilisation</w:t>
      </w:r>
    </w:p>
    <w:p>
      <w:pPr>
        <w:spacing w:after="40" w:before="80"/>
        <w:jc w:val="center"/>
      </w:pPr>
      <w:r>
        <w:drawing>
          <wp:inline distT="0" distB="0" distL="0" distR="0">
            <wp:extent cx="1905000" cy="2857500"/>
            <wp:effectExtent t="0" r="0" b="0" l="0"/>
            <wp:docPr id="1" name="07-mcd" descr="Modèle conceptuel de données (MCD)" titl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857500"/>
                    </a:xfrm>
                    <a:prstGeom prst="rect">
                      <a:avLst/>
                    </a:prstGeom>
                  </pic:spPr>
                </pic:pic>
              </a:graphicData>
            </a:graphic>
          </wp:inline>
        </w:drawing>
      </w:r>
    </w:p>
    <w:p>
      <w:pPr>
        <w:spacing w:after="140"/>
        <w:jc w:val="center"/>
      </w:pPr>
      <w:r>
        <w:rPr>
          <w:i/>
          <w:iCs/>
          <w:color w:val="44505F"/>
          <w:sz w:val="17"/>
          <w:szCs w:val="17"/>
        </w:rPr>
        <w:t xml:space="preserve">Fig.7 — Modèle conceptuel de données (MCD)</w:t>
      </w:r>
    </w:p>
    <w:p>
      <w:pPr>
        <w:pStyle w:val="Heading1"/>
      </w:pPr>
      <w:r>
        <w:t xml:space="preserve">6. État d'avancement</w:t>
      </w:r>
    </w:p>
    <w:p>
      <w:pPr>
        <w:pStyle w:val="Heading2"/>
      </w:pPr>
      <w:r>
        <w:t xml:space="preserve">Réalisé</w:t>
      </w:r>
    </w:p>
    <w:p>
      <w:pPr>
        <w:pStyle w:val="ListParagraph"/>
        <w:numPr>
          <w:ilvl w:val="0"/>
          <w:numId w:val="2"/>
        </w:numPr>
        <w:spacing w:after="50"/>
      </w:pPr>
      <w:r>
        <w:rPr>
          <w:b/>
          <w:bCs/>
          <w:color w:val="1E7E4F"/>
          <w:sz w:val="19"/>
          <w:szCs w:val="19"/>
        </w:rPr>
        <w:t xml:space="preserve">✓ </w:t>
      </w:r>
      <w:r>
        <w:rPr>
          <w:sz w:val="19"/>
          <w:szCs w:val="19"/>
        </w:rPr>
        <w:t xml:space="preserve">Application full-stack fonctionnelle (front + back + base de données)</w:t>
      </w:r>
    </w:p>
    <w:p>
      <w:pPr>
        <w:pStyle w:val="ListParagraph"/>
        <w:numPr>
          <w:ilvl w:val="0"/>
          <w:numId w:val="2"/>
        </w:numPr>
        <w:spacing w:after="50"/>
      </w:pPr>
      <w:r>
        <w:rPr>
          <w:b/>
          <w:bCs/>
          <w:color w:val="1E7E4F"/>
          <w:sz w:val="19"/>
          <w:szCs w:val="19"/>
        </w:rPr>
        <w:t xml:space="preserve">✓ </w:t>
      </w:r>
      <w:r>
        <w:rPr>
          <w:sz w:val="19"/>
          <w:szCs w:val="19"/>
        </w:rPr>
        <w:t xml:space="preserve">Sécurité : authentification JWT, RBAC à 3 rôles, hachage bcrypt, requêtes préparées</w:t>
      </w:r>
    </w:p>
    <w:p>
      <w:pPr>
        <w:pStyle w:val="ListParagraph"/>
        <w:numPr>
          <w:ilvl w:val="0"/>
          <w:numId w:val="2"/>
        </w:numPr>
        <w:spacing w:after="50"/>
      </w:pPr>
      <w:r>
        <w:rPr>
          <w:b/>
          <w:bCs/>
          <w:color w:val="1E7E4F"/>
          <w:sz w:val="19"/>
          <w:szCs w:val="19"/>
        </w:rPr>
        <w:t xml:space="preserve">✓ </w:t>
      </w:r>
      <w:r>
        <w:rPr>
          <w:sz w:val="19"/>
          <w:szCs w:val="19"/>
        </w:rPr>
        <w:t xml:space="preserve">Logique métier testée : 21 tests automatisés au vert (19 back + 2 front)</w:t>
      </w:r>
    </w:p>
    <w:p>
      <w:pPr>
        <w:pStyle w:val="ListParagraph"/>
        <w:numPr>
          <w:ilvl w:val="0"/>
          <w:numId w:val="2"/>
        </w:numPr>
        <w:spacing w:after="50"/>
      </w:pPr>
      <w:r>
        <w:rPr>
          <w:b/>
          <w:bCs/>
          <w:color w:val="1E7E4F"/>
          <w:sz w:val="19"/>
          <w:szCs w:val="19"/>
        </w:rPr>
        <w:t xml:space="preserve">✓ </w:t>
      </w:r>
      <w:r>
        <w:rPr>
          <w:sz w:val="19"/>
          <w:szCs w:val="19"/>
        </w:rPr>
        <w:t xml:space="preserve">Conception : 10 diagrammes UML, MCD / MLD, script SQL</w:t>
      </w:r>
    </w:p>
    <w:p>
      <w:pPr>
        <w:pStyle w:val="ListParagraph"/>
        <w:numPr>
          <w:ilvl w:val="0"/>
          <w:numId w:val="2"/>
        </w:numPr>
        <w:spacing w:after="50"/>
      </w:pPr>
      <w:r>
        <w:rPr>
          <w:b/>
          <w:bCs/>
          <w:color w:val="1E7E4F"/>
          <w:sz w:val="19"/>
          <w:szCs w:val="19"/>
        </w:rPr>
        <w:t xml:space="preserve">✓ </w:t>
      </w:r>
      <w:r>
        <w:rPr>
          <w:sz w:val="19"/>
          <w:szCs w:val="19"/>
        </w:rPr>
        <w:t xml:space="preserve">Industrialisation : Docker, docker-compose, pipeline CI GitHub Actions</w:t>
      </w:r>
    </w:p>
    <w:p>
      <w:pPr>
        <w:pStyle w:val="ListParagraph"/>
        <w:numPr>
          <w:ilvl w:val="0"/>
          <w:numId w:val="2"/>
        </w:numPr>
        <w:spacing w:after="50"/>
      </w:pPr>
      <w:r>
        <w:rPr>
          <w:b/>
          <w:bCs/>
          <w:color w:val="1E7E4F"/>
          <w:sz w:val="19"/>
          <w:szCs w:val="19"/>
        </w:rPr>
        <w:t xml:space="preserve">✓ </w:t>
      </w:r>
      <w:r>
        <w:rPr>
          <w:sz w:val="19"/>
          <w:szCs w:val="19"/>
        </w:rPr>
        <w:t xml:space="preserve">Dossier projet (mémoire), Dossier Professionnel et support de soutenance rédigés</w:t>
      </w:r>
    </w:p>
    <w:p>
      <w:pPr>
        <w:pStyle w:val="Heading2"/>
      </w:pPr>
      <w:r>
        <w:t xml:space="preserve">En cours / à finaliser</w:t>
      </w:r>
    </w:p>
    <w:p>
      <w:pPr>
        <w:pStyle w:val="ListParagraph"/>
        <w:numPr>
          <w:ilvl w:val="0"/>
          <w:numId w:val="2"/>
        </w:numPr>
        <w:spacing w:after="50"/>
      </w:pPr>
      <w:r>
        <w:rPr>
          <w:b/>
          <w:bCs/>
          <w:color w:val="C77A0A"/>
          <w:sz w:val="19"/>
          <w:szCs w:val="19"/>
        </w:rPr>
        <w:t xml:space="preserve">◐ </w:t>
      </w:r>
      <w:r>
        <w:rPr>
          <w:sz w:val="19"/>
          <w:szCs w:val="19"/>
        </w:rPr>
        <w:t xml:space="preserve">Insertion des captures d'écran et des maquettes Figma dans le dossier</w:t>
      </w:r>
    </w:p>
    <w:p>
      <w:pPr>
        <w:pStyle w:val="ListParagraph"/>
        <w:numPr>
          <w:ilvl w:val="0"/>
          <w:numId w:val="2"/>
        </w:numPr>
        <w:spacing w:after="50"/>
      </w:pPr>
      <w:r>
        <w:rPr>
          <w:b/>
          <w:bCs/>
          <w:color w:val="C77A0A"/>
          <w:sz w:val="19"/>
          <w:szCs w:val="19"/>
        </w:rPr>
        <w:t xml:space="preserve">◐ </w:t>
      </w:r>
      <w:r>
        <w:rPr>
          <w:sz w:val="19"/>
          <w:szCs w:val="19"/>
        </w:rPr>
        <w:t xml:space="preserve">Mise en ligne du code sur GitHub et déploiement de démonstration</w:t>
      </w:r>
    </w:p>
    <w:p>
      <w:pPr>
        <w:pStyle w:val="ListParagraph"/>
        <w:numPr>
          <w:ilvl w:val="0"/>
          <w:numId w:val="2"/>
        </w:numPr>
        <w:spacing w:after="50"/>
      </w:pPr>
      <w:r>
        <w:rPr>
          <w:b/>
          <w:bCs/>
          <w:color w:val="C77A0A"/>
          <w:sz w:val="19"/>
          <w:szCs w:val="19"/>
        </w:rPr>
        <w:t xml:space="preserve">◐ </w:t>
      </w:r>
      <w:r>
        <w:rPr>
          <w:sz w:val="19"/>
          <w:szCs w:val="19"/>
        </w:rPr>
        <w:t xml:space="preserve">Éventuelles améliorations selon vos recommandations (voir section 7)</w:t>
      </w:r>
    </w:p>
    <w:p>
      <w:pPr>
        <w:pStyle w:val="Heading1"/>
      </w:pPr>
      <w:r>
        <w:t xml:space="preserve">7. Couverture des 3 blocs de compétences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7C3D0" w:sz="1"/>
              <w:left w:val="single" w:color="B7C3D0" w:sz="1"/>
              <w:bottom w:val="single" w:color="B7C3D0" w:sz="1"/>
              <w:right w:val="single" w:color="B7C3D0" w:sz="1"/>
            </w:tcBorders>
            <w:shd w:fill="0B5394" w:val="clear"/>
            <w:tcMar>
              <w:top w:type="dxa" w:w="70"/>
              <w:left w:type="dxa" w:w="110"/>
              <w:bottom w:type="dxa" w:w="70"/>
              <w:right w:type="dxa" w:w="110"/>
            </w:tcMar>
          </w:tcPr>
          <w:p>
            <w:r>
              <w:rPr>
                <w:b/>
                <w:bCs/>
                <w:color w:val="FFFFFF"/>
                <w:sz w:val="20"/>
                <w:szCs w:val="20"/>
              </w:rPr>
              <w:t xml:space="preserve">Bloc</w:t>
            </w:r>
          </w:p>
        </w:tc>
        <w:tc>
          <w:tcPr>
            <w:tcW w:type="dxa" w:w="6026"/>
            <w:tcBorders>
              <w:top w:val="single" w:color="B7C3D0" w:sz="1"/>
              <w:left w:val="single" w:color="B7C3D0" w:sz="1"/>
              <w:bottom w:val="single" w:color="B7C3D0" w:sz="1"/>
              <w:right w:val="single" w:color="B7C3D0" w:sz="1"/>
            </w:tcBorders>
            <w:shd w:fill="0B5394" w:val="clear"/>
            <w:tcMar>
              <w:top w:type="dxa" w:w="70"/>
              <w:left w:type="dxa" w:w="110"/>
              <w:bottom w:type="dxa" w:w="70"/>
              <w:right w:type="dxa" w:w="110"/>
            </w:tcMar>
          </w:tcPr>
          <w:p>
            <w:r>
              <w:rPr>
                <w:b/>
                <w:bCs/>
                <w:color w:val="FFFFFF"/>
                <w:sz w:val="20"/>
                <w:szCs w:val="20"/>
              </w:rPr>
              <w:t xml:space="preserve">Démonstration dans le projet</w:t>
            </w:r>
          </w:p>
        </w:tc>
      </w:tr>
      <w:tr>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Bloc 1 — Front-end sécurisé</w:t>
            </w:r>
          </w:p>
        </w:tc>
        <w:tc>
          <w:tcPr>
            <w:tcW w:type="dxa" w:w="6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SPA React/TypeScript responsive, routes protégées par rôle, consommation d'API REST</w:t>
            </w:r>
          </w:p>
        </w:tc>
      </w:tr>
      <w:tr>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Bloc 2 — Back-end sécurisé</w:t>
            </w:r>
          </w:p>
        </w:tc>
        <w:tc>
          <w:tcPr>
            <w:tcW w:type="dxa" w:w="6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API REST FastAPI, PostgreSQL, JWT, RBAC, bcrypt, protection OWASP</w:t>
            </w:r>
          </w:p>
        </w:tc>
      </w:tr>
      <w:tr>
        <w:tc>
          <w:tcPr>
            <w:tcW w:type="dxa" w:w="3000"/>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Bloc 3 — Conception &amp; organisation</w:t>
            </w:r>
          </w:p>
        </w:tc>
        <w:tc>
          <w:tcPr>
            <w:tcW w:type="dxa" w:w="6026"/>
            <w:tcBorders>
              <w:top w:val="single" w:color="B7C3D0" w:sz="1"/>
              <w:left w:val="single" w:color="B7C3D0" w:sz="1"/>
              <w:bottom w:val="single" w:color="B7C3D0" w:sz="1"/>
              <w:right w:val="single" w:color="B7C3D0" w:sz="1"/>
            </w:tcBorders>
            <w:tcMar>
              <w:top w:type="dxa" w:w="70"/>
              <w:left w:type="dxa" w:w="110"/>
              <w:bottom w:type="dxa" w:w="70"/>
              <w:right w:type="dxa" w:w="110"/>
            </w:tcMar>
          </w:tcPr>
          <w:p>
            <w:r>
              <w:rPr>
                <w:sz w:val="19"/>
                <w:szCs w:val="19"/>
              </w:rPr>
              <w:t xml:space="preserve">Diagrammes UML, modèle de données, gestion agile, tests, Docker, CI/CD</w:t>
            </w:r>
          </w:p>
        </w:tc>
      </w:tr>
    </w:tbl>
    <w:p>
      <w:pPr>
        <w:pStyle w:val="Heading1"/>
      </w:pPr>
      <w:r>
        <w:t xml:space="preserve">8. Points sur lesquels je souhaite votre avis</w:t>
      </w:r>
    </w:p>
    <w:p>
      <w:pPr>
        <w:spacing w:after="110"/>
      </w:pPr>
      <w:r>
        <w:t xml:space="preserve">Avant de poursuivre, je souhaiterais valider la direction du projet avec vous :</w:t>
      </w:r>
    </w:p>
    <w:p>
      <w:pPr>
        <w:pStyle w:val="ListParagraph"/>
        <w:numPr>
          <w:ilvl w:val="0"/>
          <w:numId w:val="2"/>
        </w:numPr>
        <w:spacing w:after="50"/>
      </w:pPr>
      <w:r>
        <w:t xml:space="preserve">Le périmètre fonctionnel est-il suffisant pour le niveau 6, ou faut-il l'enrichir ?</w:t>
      </w:r>
    </w:p>
    <w:p>
      <w:pPr>
        <w:pStyle w:val="ListParagraph"/>
        <w:numPr>
          <w:ilvl w:val="0"/>
          <w:numId w:val="2"/>
        </w:numPr>
        <w:spacing w:after="50"/>
      </w:pPr>
      <w:r>
        <w:t xml:space="preserve">La modélisation UML couvre-t-elle bien tous les diagrammes attendus ?</w:t>
      </w:r>
    </w:p>
    <w:p>
      <w:pPr>
        <w:pStyle w:val="ListParagraph"/>
        <w:numPr>
          <w:ilvl w:val="0"/>
          <w:numId w:val="2"/>
        </w:numPr>
        <w:spacing w:after="50"/>
      </w:pPr>
      <w:r>
        <w:t xml:space="preserve">Pour le Dossier Professionnel, dois-je utiliser le modèle officiel du centre ?</w:t>
      </w:r>
    </w:p>
    <w:p>
      <w:pPr>
        <w:pStyle w:val="ListParagraph"/>
        <w:numPr>
          <w:ilvl w:val="0"/>
          <w:numId w:val="2"/>
        </w:numPr>
        <w:spacing w:after="50"/>
      </w:pPr>
      <w:r>
        <w:t xml:space="preserve">Le niveau de sécurité (JWT + RBAC + bcrypt + OWASP) est-il jugé suffisant ?</w:t>
      </w:r>
    </w:p>
    <w:p>
      <w:pPr>
        <w:pStyle w:val="ListParagraph"/>
        <w:numPr>
          <w:ilvl w:val="0"/>
          <w:numId w:val="2"/>
        </w:numPr>
        <w:spacing w:after="50"/>
      </w:pPr>
      <w:r>
        <w:t xml:space="preserve">Quelles 1 ou 2 améliorations me conseillez-vous de prioriser sur le temps restant ?</w:t>
      </w:r>
    </w:p>
    <w:p>
      <w:pPr>
        <w:spacing w:before="200"/>
      </w:pPr>
      <w:r>
        <w:rPr>
          <w:i/>
          <w:iCs/>
          <w:color w:val="44505F"/>
        </w:rPr>
        <w:t xml:space="preserve">Je reste à votre disposition pour une démonstration en direct de l'application.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6"/>
        <w:szCs w:val="16"/>
      </w:rPr>
      <w:t xml:space="preserve">CongésFlow — Présentation du projet   |   </w:t>
    </w:r>
    <w:r>
      <w:rPr>
        <w:color w:val="6B77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5394" w:sz="6" w:space="3"/>
      </w:pBdr>
      <w:spacing w:after="120" w:before="240"/>
      <w:outlineLvl w:val="0"/>
    </w:pPr>
    <w:rPr>
      <w:rFonts w:ascii="Cambria" w:cs="Cambria" w:eastAsia="Cambria" w:hAnsi="Cambria"/>
      <w:b/>
      <w:bCs/>
      <w:color w:val="0A1A2F"/>
      <w:sz w:val="26"/>
      <w:szCs w:val="26"/>
    </w:rPr>
  </w:style>
  <w:style w:type="paragraph" w:styleId="Heading2">
    <w:name w:val="Heading 2"/>
    <w:basedOn w:val="Normal"/>
    <w:next w:val="Normal"/>
    <w:qFormat/>
    <w:pPr>
      <w:spacing w:after="80" w:before="160"/>
      <w:outlineLvl w:val="1"/>
    </w:pPr>
    <w:rPr>
      <w:rFonts w:ascii="Cambria" w:cs="Cambria" w:eastAsia="Cambria" w:hAnsi="Cambria"/>
      <w:b/>
      <w:bCs/>
      <w:color w:val="0B539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f65ac1384f02eaf2b79d3f221fe9a46804b5be.png"/><Relationship Id="rId9" Type="http://schemas.openxmlformats.org/officeDocument/2006/relationships/image" Target="media/45c81a0306774388afcc95dfa63e33c9c382e7e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2026-06-11T08:11:40.407Z</dcterms:created>
  <dcterms:modified xsi:type="dcterms:W3CDTF">2026-06-11T08:11:40.408Z</dcterms:modified>
</cp:coreProperties>
</file>

<file path=docProps/custom.xml><?xml version="1.0" encoding="utf-8"?>
<Properties xmlns="http://schemas.openxmlformats.org/officeDocument/2006/custom-properties" xmlns:vt="http://schemas.openxmlformats.org/officeDocument/2006/docPropsVTypes"/>
</file>