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pPr>
      <w:r>
        <w:t xml:space="preserve">Je tiens à remercier mon encadrant, M'hand BOUFALA, pour son accompagnement et ses conseils tout au long de ce projet. Je remercie également l'ensemble de l'équipe pédagogique de l'ESTIAM pour la qualité de la formation dispensée, ainsi que toutes les personnes qui, de près ou de loin, ont contribué à la réalisation de ce travail et m'ont soutenu durant cette période.</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connexion.png" descr="Maquette Figma de l'écran de connexion" title="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Fig.11 — Maquette Figma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tableau-de-bord.png" descr="Maquette Figma de l'écran « Mes demandes » (soldes, formulaire, historique)" title="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Fig.12 — Maquette Figma de l'écran « Mes demandes »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81952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81952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pStyle w:val="ListParagraph"/>
        <w:numPr>
          <w:ilvl w:val="0"/>
          <w:numId w:val="3"/>
        </w:numPr>
        <w:spacing w:after="60"/>
      </w:pPr>
      <w:r>
        <w:rPr>
          <w:b/>
          <w:bCs/>
        </w:rPr>
        <w:t xml:space="preserve">Déploiement et routage SPA : </w:t>
      </w:r>
      <w:r>
        <w:t xml:space="preserve">après la mise en ligne sur Render, la racine du front renvoyait une erreur 404 et l'URL de l'API n'était pas correctement injectée. Solution : ajout d'une règle de réécriture renvoyant toutes les routes vers index.html, et configuration explicite de l'URL publique de l'API, suivies d'un redéploiement avec purge du cache.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447675"/>
                  <wp:effectExtent t="0" r="0" b="0" l="0"/>
                  <wp:docPr id="1" name="fig18-tests.png" descr="Sortie de l'exécution des tests (pytest) — 26 tests au vert" title="Fig.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47675"/>
                          </a:xfrm>
                          <a:prstGeom prst="rect">
                            <a:avLst/>
                          </a:prstGeom>
                        </pic:spPr>
                      </pic:pic>
                    </a:graphicData>
                  </a:graphic>
                </wp:inline>
              </w:drawing>
            </w:r>
          </w:p>
          <w:p>
            <w:pPr>
              <w:jc w:val="center"/>
            </w:pPr>
            <w:r>
              <w:rPr>
                <w:i/>
                <w:iCs/>
                <w:color w:val="44505F"/>
                <w:sz w:val="18"/>
                <w:szCs w:val="18"/>
              </w:rPr>
              <w:t xml:space="preserve">Fig.18 — Sortie de l'exécution des tests (pytest) — 26 tests au vert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pPr>
      <w:r>
        <w:t xml:space="preserve">Les temps de réponse de l'API ont été mesurés en local (moyenne sur 8 appels par endpoint). Les requêtes de lecture sont très rapides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4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Temps de réponse moyen</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/api/health</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0,8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/api/auth/me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1,5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/api/demandes/me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1,7 ms</w:t>
            </w:r>
          </w:p>
        </w:tc>
      </w:tr>
      <w:tr>
        <w:tc>
          <w:tcPr>
            <w:tcW w:type="dxa" w:w="5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 /api/users/me/solde</w:t>
            </w:r>
          </w:p>
        </w:tc>
        <w:tc>
          <w:tcPr>
            <w:tcW w:type="dxa" w:w="4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 1,6 ms</w:t>
            </w:r>
          </w:p>
        </w:tc>
      </w:tr>
    </w:tbl>
    <w:p>
      <w:pPr>
        <w:spacing w:after="120"/>
      </w:pPr>
      <w:r>
        <w:t xml:space="preserve">Ces valeurs, de l'ordre de la milliseconde en local, s'expliquent par l'architecture asynchrone de FastAPI et par les index posés sur les colonnes fréquemment filtrées (email, statut). En production (hébergement Render, offre gratuite), s'ajoutent la latence réseau et, après une période d'inactivité, un délai de « réveil » du service d'environ cinquante secondes au premier appel — comportement propre à l'offre gratuite, sans incidence sur les performances une fois le service actif.</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pPr>
      <w:r>
        <w:t xml:space="preserve">Concrètement, les sources de veille suivies pendant le projet ont été : les documentations officielles et leurs notes de version (FastAPI, React, SQLAlchemy, PostgreSQL), le référentiel OWASP Top 10 pour la sécurité, ainsi que des articles techniques de la communauté (dev.to, blogs spécialisés, dépôts GitHub). Cette veille a eu un impact direct : c'est en consultant les notes de version que j'ai identifié l'incompatibilité entre passlib et les versions récentes de bcrypt, ce qui m'a permis de figer la version adéquate ; de la même manière, la lecture de l'OWASP Top 10 a guidé mes choix de sécurisation (requêtes préparées, hachage des mots de passe, contrôle d'accès par rôle).</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da21cb60100063287aaf597536f1d062a3f6ce2.png"/><Relationship Id="rId18" Type="http://schemas.openxmlformats.org/officeDocument/2006/relationships/image" Target="media/4ecc9f3f253dd112f1f8aa2c73412c8900b73602.png"/><Relationship Id="rId19" Type="http://schemas.openxmlformats.org/officeDocument/2006/relationships/image" Target="media/55f2e16a7c61c91568c07b0ec66252d4674d9286.png"/><Relationship Id="rId20" Type="http://schemas.openxmlformats.org/officeDocument/2006/relationships/image" Target="media/bb001ec0e1308a85969c43f7689736ddbb4efb50.png"/><Relationship Id="rId21" Type="http://schemas.openxmlformats.org/officeDocument/2006/relationships/image" Target="media/623183ed087a6c05d43fe05618a8b4776fd96778.png"/><Relationship Id="rId22" Type="http://schemas.openxmlformats.org/officeDocument/2006/relationships/image" Target="media/0491d6a55f96676af7bf21f8c312b9163b18e32c.png"/><Relationship Id="rId23" Type="http://schemas.openxmlformats.org/officeDocument/2006/relationships/image" Target="media/ad505759c73160d01596a563ef454e521964f1e8.png"/><Relationship Id="rId24" Type="http://schemas.openxmlformats.org/officeDocument/2006/relationships/image" Target="media/b95778e43b5bc5e8d044ebffdd8811cb28d1875c.png"/><Relationship Id="rId25" Type="http://schemas.openxmlformats.org/officeDocument/2006/relationships/image" Target="media/207db854278aa18423a9405afcb26ce3a6cb832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2026-06-14T16:14:48.210Z</dcterms:created>
  <dcterms:modified xsi:type="dcterms:W3CDTF">2026-06-14T16:14:48.210Z</dcterms:modified>
</cp:coreProperties>
</file>

<file path=docProps/custom.xml><?xml version="1.0" encoding="utf-8"?>
<Properties xmlns="http://schemas.openxmlformats.org/officeDocument/2006/custom-properties" xmlns:vt="http://schemas.openxmlformats.org/officeDocument/2006/docPropsVTypes"/>
</file>