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7">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77777777" w:rsidR="00C57308" w:rsidRPr="00C715CC" w:rsidRDefault="00000000" w:rsidP="00132A98">
      <w:pPr>
        <w:pStyle w:val="Heading1"/>
        <w:spacing w:line="240" w:lineRule="auto"/>
      </w:pPr>
      <w:bookmarkStart w:id="2" w:name="_5fl97vwjlziu" w:colFirst="0" w:colLast="0"/>
      <w:bookmarkEnd w:id="2"/>
      <w:r w:rsidRPr="00C715CC">
        <w:t xml:space="preserve">CRediT Author Contributions </w:t>
      </w:r>
    </w:p>
    <w:p w14:paraId="50A0A3E4" w14:textId="3F963EBA" w:rsidR="00AE7146" w:rsidRPr="00AE7146" w:rsidRDefault="00000000" w:rsidP="00AE7146">
      <w:pPr>
        <w:spacing w:after="240"/>
        <w:rPr>
          <w:lang w:val="en-GB"/>
        </w:rPr>
      </w:pPr>
      <w:r w:rsidRPr="00C715CC">
        <w:rPr>
          <w:b/>
          <w:lang w:val="en-GB"/>
        </w:rPr>
        <w:t xml:space="preserve">Scarlett </w:t>
      </w:r>
      <w:r w:rsidR="004E4E3B">
        <w:rPr>
          <w:b/>
          <w:lang w:val="en-GB"/>
        </w:rPr>
        <w:t xml:space="preserve">R. </w:t>
      </w:r>
      <w:r w:rsidRPr="00C715CC">
        <w:rPr>
          <w:b/>
          <w:lang w:val="en-GB"/>
        </w:rPr>
        <w:t>Taylor:</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r w:rsidRPr="00C715CC">
        <w:rPr>
          <w:b/>
          <w:lang w:val="en-GB"/>
        </w:rPr>
        <w:t>Gavin Miller:</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r w:rsidRPr="00C715CC">
        <w:rPr>
          <w:b/>
          <w:lang w:val="en-GB"/>
        </w:rPr>
        <w:t xml:space="preserve">Piers Baillie: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3" w:name="_gshxoay6o58x" w:colFirst="0" w:colLast="0"/>
      <w:bookmarkEnd w:id="3"/>
      <w:r w:rsidR="00AE7146">
        <w:br w:type="page"/>
      </w:r>
    </w:p>
    <w:p w14:paraId="701F33FA" w14:textId="32350D75" w:rsidR="00DD7EBB" w:rsidRDefault="00DD7EBB" w:rsidP="00DD7EBB">
      <w:pPr>
        <w:spacing w:after="240"/>
      </w:pPr>
      <w:r>
        <w:lastRenderedPageBreak/>
        <w:t xml:space="preserve">Running Page Head: Fish on </w:t>
      </w:r>
      <w:r>
        <w:t>Shipwrecks vs</w:t>
      </w:r>
      <w:r>
        <w:t>.</w:t>
      </w:r>
      <w:r>
        <w:t xml:space="preserve"> Pelagic Pinnacles</w:t>
      </w:r>
      <w:r>
        <w:t xml:space="preserve"> </w:t>
      </w:r>
    </w:p>
    <w:p w14:paraId="59E2207F" w14:textId="3B8B7549" w:rsidR="00C57308" w:rsidRPr="00C715CC" w:rsidRDefault="00000000" w:rsidP="00132A98">
      <w:pPr>
        <w:pStyle w:val="Heading1"/>
      </w:pPr>
      <w:r w:rsidRPr="00C715CC">
        <w:t>ABSTRACT</w:t>
      </w:r>
    </w:p>
    <w:p w14:paraId="3B8D8813" w14:textId="101C3739" w:rsidR="00EE0507" w:rsidRDefault="00EE0507" w:rsidP="00EE0507">
      <w:pPr>
        <w:spacing w:after="240" w:line="480" w:lineRule="auto"/>
        <w:rPr>
          <w:lang w:val="en-GB"/>
        </w:rPr>
      </w:pPr>
      <w:r w:rsidRPr="00EE0507">
        <w:rPr>
          <w:lang w:val="en-GB"/>
        </w:rPr>
        <w:t>Artificial reefs are widely deployed to enhance fish populations, yet their capacity to replicate the ecological roles of natural reef systems remains uncertain</w:t>
      </w:r>
      <w:r>
        <w:rPr>
          <w:lang w:val="en-GB"/>
        </w:rPr>
        <w:t>, and</w:t>
      </w:r>
      <w:r w:rsidRPr="00EE0507">
        <w:rPr>
          <w:lang w:val="en-GB"/>
        </w:rPr>
        <w:t xml:space="preserve"> comparisons are often limited to nearby fringing reefs</w:t>
      </w:r>
      <w:r>
        <w:rPr>
          <w:lang w:val="en-GB"/>
        </w:rPr>
        <w:t xml:space="preserve">. </w:t>
      </w:r>
      <w:r w:rsidRPr="00EE0507">
        <w:rPr>
          <w:lang w:val="en-GB"/>
        </w:rPr>
        <w:t>Such assessments may overlook how structural features influence ecological outcomes. This study compared fish assemblages across shipwrecks, pelagic pinnacles, and fringing reefs in the Gulf of Thailand to evaluate how artificial structures align with natural patterns of community structure and trophic composition. Natural reef sites were selected to represent contrasting structural profiles, with pinnacles characterized by high vertical relief and fringing reefs by lower-relief slopes. This design enabled assessment of whether high-relief artificial structures, such as shipwrecks, more closely reflect fish communities found on similarly structured natural reefs. Bayesian multivariate models applied to 350 underwater surveys from 14 sites showed that shipwrecks resembled pelagic pinnacles in supporting mesopredators and higher trophic level predators, but had consistently lower representation of grazers and invertivores relative to both natural reef types. These results indicate functional divergence likely driven by reduced benthic complexity and limited forage availability. While shipwrecks may support fisheries species and predator biomass, they do not fully function as ecological analogues of natural reefs. Findings highlight the importance of aligning artificial reef design with defined ecological objectives and considering structural context in management strategies across tropical reef systems worldwide.</w:t>
      </w:r>
    </w:p>
    <w:p w14:paraId="21A8AA02" w14:textId="4FE2A245"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r w:rsidRPr="00C715CC">
        <w:rPr>
          <w:lang w:val="en-GB"/>
        </w:rPr>
        <w:t xml:space="preserve"> inference, marine conservation. </w:t>
      </w:r>
      <w:bookmarkStart w:id="4" w:name="_tc0du5trno0" w:colFirst="0" w:colLast="0"/>
      <w:bookmarkStart w:id="5" w:name="_d4d6ntvps1wk" w:colFirst="0" w:colLast="0"/>
      <w:bookmarkEnd w:id="4"/>
      <w:bookmarkEnd w:id="5"/>
      <w:r w:rsidR="00AE7146">
        <w:br w:type="page"/>
      </w:r>
    </w:p>
    <w:p w14:paraId="3EE917E6" w14:textId="3054009F" w:rsidR="00C57308" w:rsidRPr="00C715CC" w:rsidRDefault="00000000" w:rsidP="00132A98">
      <w:pPr>
        <w:pStyle w:val="Heading1"/>
      </w:pPr>
      <w:r w:rsidRPr="00C715CC">
        <w:lastRenderedPageBreak/>
        <w:t>1. INTRODUCTION</w:t>
      </w:r>
    </w:p>
    <w:p w14:paraId="5D09C0A6" w14:textId="7D591E62" w:rsidR="00F63F11" w:rsidRDefault="00B10A4B" w:rsidP="00C715CC">
      <w:pPr>
        <w:spacing w:before="240" w:after="240" w:line="480" w:lineRule="auto"/>
        <w:rPr>
          <w:lang w:val="en-GB"/>
        </w:rPr>
      </w:pPr>
      <w:bookmarkStart w:id="6" w:name="_5g48a2m0kxmd" w:colFirst="0" w:colLast="0"/>
      <w:bookmarkEnd w:id="6"/>
      <w:r w:rsidRPr="00B10A4B">
        <w:rPr>
          <w:lang w:val="en-GB"/>
        </w:rPr>
        <w:t xml:space="preserve">Artificial reef performance is </w:t>
      </w:r>
      <w:r>
        <w:rPr>
          <w:lang w:val="en-GB"/>
        </w:rPr>
        <w:t>typically</w:t>
      </w:r>
      <w:r w:rsidRPr="00B10A4B">
        <w:rPr>
          <w:lang w:val="en-GB"/>
        </w:rPr>
        <w:t xml:space="preserve"> evaluated by comparison with nearby fringing reef systems, yet these assessments may overlook how structural features influence ecological outcomes. Fringing reefs, which dominate nearshore tropical coastlines, are generally low in vertical relief and </w:t>
      </w:r>
      <w:r>
        <w:rPr>
          <w:lang w:val="en-GB"/>
        </w:rPr>
        <w:t xml:space="preserve">often </w:t>
      </w:r>
      <w:r w:rsidRPr="00B10A4B">
        <w:rPr>
          <w:lang w:val="en-GB"/>
        </w:rPr>
        <w:t>embedded in sediment-rich, human-impacted environments (Bell &amp; Galzin 1984, Letessier et al. 2019). In contrast, many artificial reefs</w:t>
      </w:r>
      <w:r>
        <w:rPr>
          <w:lang w:val="en-GB"/>
        </w:rPr>
        <w:t xml:space="preserve">, </w:t>
      </w:r>
      <w:r w:rsidRPr="00B10A4B">
        <w:rPr>
          <w:lang w:val="en-GB"/>
        </w:rPr>
        <w:t>particularly shipwrecks</w:t>
      </w:r>
      <w:r>
        <w:rPr>
          <w:lang w:val="en-GB"/>
        </w:rPr>
        <w:t xml:space="preserve">, </w:t>
      </w:r>
      <w:r w:rsidRPr="00B10A4B">
        <w:rPr>
          <w:lang w:val="en-GB"/>
        </w:rPr>
        <w:t xml:space="preserve">share greater physical similarity with offshore pelagic pinnacles, including steep vertical profiles, current exposure, and spatial isolation (Letessier et al. 2019, Paxton et al. 2020b, Galbraith et al. 2022). These </w:t>
      </w:r>
      <w:r>
        <w:rPr>
          <w:lang w:val="en-GB"/>
        </w:rPr>
        <w:t xml:space="preserve">structural </w:t>
      </w:r>
      <w:r w:rsidRPr="00B10A4B">
        <w:rPr>
          <w:lang w:val="en-GB"/>
        </w:rPr>
        <w:t>features influence foraging opportunities, predator access, and planktonic input, potentially 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29A5305C" w14:textId="0CAD7D57" w:rsidR="001C6241" w:rsidRDefault="001C6241" w:rsidP="00B31269">
      <w:pPr>
        <w:spacing w:after="240" w:line="480" w:lineRule="auto"/>
        <w:rPr>
          <w:lang w:val="en-GB"/>
        </w:rPr>
      </w:pPr>
      <w:r w:rsidRPr="001C6241">
        <w:t xml:space="preserve">Artificial reefs are deployed worldwide to mitigate habitat loss and enhance fish populations (Rilov &amp; Benayahu 2000, Paxton et al. 2020a, Harvey et al. 2021, Baillie et al. 2024). Among the various designs, shipwrecks are frequently used due to their complex structure, tourism appeal, and availability through both intentional deployment and maritime accidents (Mattos &amp; Yeemin 2020, Medeiros et al. 2022, Hickman et al. 2024). In Thailand, shipwreck deployment has been widespread since the launch of the national Artificial Reef Program in 1978, aimed at reducing diver pressure on natural reefs and supporting fisheries enhancement (Yeemin et al. 2006, Mattos &amp; Yeemin 2020, Harvey et al. 2021, Baillie et al. 2024). The Gulf of Thailand contains three primary reef habitat types relevant to this study: nearshore fringing reefs that slope gradually toward sandy bottoms (Yeemin et al. 2009), deeper offshore pinnacles with substantial </w:t>
      </w:r>
      <w:r w:rsidRPr="001C6241">
        <w:lastRenderedPageBreak/>
        <w:t>vertical relief, and a growing number of artificial structures such as shipwrecks (Mattos et al. 2023). Despite the prevalence of these artificial reefs, relatively few studies have assessed their ecological functioning, particularly their capacity to support balanced trophic assemblages and replicate the ecological roles of natural reef systems (Fowler &amp; Booth 2012, Simon et al. 2013, Streich et al. 2017, Medeiros et al. 2022, Paxton et al. 2023, Schram et al. 2024).</w:t>
      </w:r>
    </w:p>
    <w:p w14:paraId="565831CA" w14:textId="346A6468" w:rsidR="00C715CC" w:rsidRPr="00D06BB2" w:rsidRDefault="00C715CC" w:rsidP="00D06BB2">
      <w:pPr>
        <w:spacing w:line="480" w:lineRule="auto"/>
      </w:pPr>
      <w:r w:rsidRPr="00C715CC">
        <w:rPr>
          <w:lang w:val="en-GB"/>
        </w:rPr>
        <w:t xml:space="preserve">Where evaluations do exist, artificial reefs, particularly shipwrecks, often support high total fish abundance and species richness compared to nearby natural reefs (Fowler </w:t>
      </w:r>
      <w:r w:rsidR="003C2044">
        <w:rPr>
          <w:lang w:val="en-GB"/>
        </w:rPr>
        <w:t>&amp;</w:t>
      </w:r>
      <w:r w:rsidRPr="00C715CC">
        <w:rPr>
          <w:lang w:val="en-GB"/>
        </w:rPr>
        <w:t xml:space="preserve"> Booth 2012</w:t>
      </w:r>
      <w:r w:rsidR="003C2044">
        <w:rPr>
          <w:lang w:val="en-GB"/>
        </w:rPr>
        <w:t>,</w:t>
      </w:r>
      <w:r w:rsidRPr="00C715CC">
        <w:rPr>
          <w:lang w:val="en-GB"/>
        </w:rPr>
        <w:t xml:space="preserve"> Folpp </w:t>
      </w:r>
      <w:r w:rsidR="003C2044">
        <w:rPr>
          <w:lang w:val="en-GB"/>
        </w:rPr>
        <w:t>et al.</w:t>
      </w:r>
      <w:r w:rsidRPr="00C715CC">
        <w:rPr>
          <w:lang w:val="en-GB"/>
        </w:rPr>
        <w:t xml:space="preserve"> 2013</w:t>
      </w:r>
      <w:r w:rsidR="003C2044">
        <w:rPr>
          <w:lang w:val="en-GB"/>
        </w:rPr>
        <w:t>,</w:t>
      </w:r>
      <w:r w:rsidRPr="00C715CC">
        <w:rPr>
          <w:lang w:val="en-GB"/>
        </w:rPr>
        <w:t xml:space="preserve"> Schulze </w:t>
      </w:r>
      <w:r w:rsidR="003C2044">
        <w:rPr>
          <w:lang w:val="en-GB"/>
        </w:rPr>
        <w:t>et al.</w:t>
      </w:r>
      <w:r w:rsidRPr="00C715CC">
        <w:rPr>
          <w:lang w:val="en-GB"/>
        </w:rPr>
        <w:t xml:space="preserve"> 2020). However, these metrics can obscure differences in community composition and ecological function (</w:t>
      </w:r>
      <w:r w:rsidR="003C2044">
        <w:rPr>
          <w:lang w:val="en-GB"/>
        </w:rPr>
        <w:t>Ross et al. 20</w:t>
      </w:r>
      <w:r w:rsidR="0003772F">
        <w:rPr>
          <w:lang w:val="en-GB"/>
        </w:rPr>
        <w:t>1</w:t>
      </w:r>
      <w:r w:rsidR="003C2044">
        <w:rPr>
          <w:lang w:val="en-GB"/>
        </w:rPr>
        <w:t>6,</w:t>
      </w:r>
      <w:r w:rsidR="003C2044" w:rsidRPr="00D06BB2">
        <w:t xml:space="preserve"> </w:t>
      </w:r>
      <w:r w:rsidRPr="00C715CC">
        <w:rPr>
          <w:lang w:val="en-GB"/>
        </w:rPr>
        <w:t xml:space="preserve">Paxton </w:t>
      </w:r>
      <w:r w:rsidR="003C2044">
        <w:rPr>
          <w:lang w:val="en-GB"/>
        </w:rPr>
        <w:t>et al.</w:t>
      </w:r>
      <w:r w:rsidRPr="00C715CC">
        <w:rPr>
          <w:lang w:val="en-GB"/>
        </w:rPr>
        <w:t xml:space="preserve"> 2020a,</w:t>
      </w:r>
      <w:r w:rsidR="00F63F11" w:rsidRPr="00F63F11">
        <w:rPr>
          <w:lang w:val="en-GB"/>
        </w:rPr>
        <w:t xml:space="preserve"> </w:t>
      </w:r>
      <w:r w:rsidR="00F63F11" w:rsidRPr="00C715CC">
        <w:rPr>
          <w:lang w:val="en-GB"/>
        </w:rPr>
        <w:t xml:space="preserve">Paxton </w:t>
      </w:r>
      <w:r w:rsidR="00F63F11">
        <w:rPr>
          <w:lang w:val="en-GB"/>
        </w:rPr>
        <w:t>et al.</w:t>
      </w:r>
      <w:r w:rsidR="00F63F11" w:rsidRPr="00C715CC">
        <w:rPr>
          <w:lang w:val="en-GB"/>
        </w:rPr>
        <w:t xml:space="preserve"> 2020</w:t>
      </w:r>
      <w:r w:rsidRPr="00C715CC">
        <w:rPr>
          <w:lang w:val="en-GB"/>
        </w:rPr>
        <w:t>b</w:t>
      </w:r>
      <w:r w:rsidR="00D06BB2">
        <w:rPr>
          <w:lang w:val="en-GB"/>
        </w:rPr>
        <w:t xml:space="preserve">, </w:t>
      </w:r>
      <w:r w:rsidR="00D84338" w:rsidRPr="00C715CC">
        <w:rPr>
          <w:lang w:val="en-GB"/>
        </w:rPr>
        <w:t xml:space="preserve">Paxton </w:t>
      </w:r>
      <w:r w:rsidR="00D84338">
        <w:rPr>
          <w:lang w:val="en-GB"/>
        </w:rPr>
        <w:t>et al.</w:t>
      </w:r>
      <w:r w:rsidR="00D84338" w:rsidRPr="00C715CC">
        <w:rPr>
          <w:lang w:val="en-GB"/>
        </w:rPr>
        <w:t xml:space="preserve"> </w:t>
      </w:r>
      <w:r w:rsidR="00D06BB2">
        <w:rPr>
          <w:lang w:val="en-GB"/>
        </w:rPr>
        <w:t>2023</w:t>
      </w:r>
      <w:r w:rsidRPr="00C715CC">
        <w:rPr>
          <w:lang w:val="en-GB"/>
        </w:rPr>
        <w:t xml:space="preserve">). </w:t>
      </w:r>
      <w:r w:rsidR="00F63F11" w:rsidRPr="00C715CC">
        <w:rPr>
          <w:lang w:val="en-GB"/>
        </w:rPr>
        <w:t>Predator</w:t>
      </w:r>
      <w:r w:rsidRPr="00C715CC">
        <w:rPr>
          <w:lang w:val="en-GB"/>
        </w:rPr>
        <w:t xml:space="preserve"> biomass is frequently elevated, while lower trophic guilds such as grazers and invertivores tend to be underrepresented on artificial reefs (Fowler </w:t>
      </w:r>
      <w:r w:rsidR="003C2044">
        <w:rPr>
          <w:lang w:val="en-GB"/>
        </w:rPr>
        <w:t xml:space="preserve">&amp; </w:t>
      </w:r>
      <w:r w:rsidRPr="00C715CC">
        <w:rPr>
          <w:lang w:val="en-GB"/>
        </w:rPr>
        <w:t>Booth 2012</w:t>
      </w:r>
      <w:r w:rsidR="00D84338">
        <w:rPr>
          <w:lang w:val="en-GB"/>
        </w:rPr>
        <w:t>,</w:t>
      </w:r>
      <w:r w:rsidRPr="00C715CC">
        <w:rPr>
          <w:lang w:val="en-GB"/>
        </w:rPr>
        <w:t xml:space="preserve"> Schram </w:t>
      </w:r>
      <w:r w:rsidR="003C2044">
        <w:rPr>
          <w:lang w:val="en-GB"/>
        </w:rPr>
        <w:t>et al.</w:t>
      </w:r>
      <w:r w:rsidRPr="00C715CC">
        <w:rPr>
          <w:lang w:val="en-GB"/>
        </w:rPr>
        <w:t xml:space="preserve"> 2024). </w:t>
      </w:r>
      <w:r w:rsidR="00F63F11" w:rsidRPr="00F63F11">
        <w:rPr>
          <w:lang w:val="en-GB"/>
        </w:rPr>
        <w:t>This imbalance may limit processes such as algal control, nutrient cycling, and trophic transfer, indicating that high fish abundance alone does not equate to ecological equivalence with natural reefs.</w:t>
      </w:r>
      <w:r w:rsidR="00F63F11" w:rsidRPr="00F63F11" w:rsidDel="00F63F11">
        <w:rPr>
          <w:lang w:val="en-GB"/>
        </w:rPr>
        <w:t xml:space="preserve"> </w:t>
      </w:r>
    </w:p>
    <w:p w14:paraId="59B356A0" w14:textId="2FDF0577" w:rsidR="00C715CC" w:rsidRPr="00C715CC" w:rsidRDefault="000049FD" w:rsidP="00C715CC">
      <w:pPr>
        <w:spacing w:before="240" w:after="240" w:line="480" w:lineRule="auto"/>
        <w:rPr>
          <w:lang w:val="en-GB"/>
        </w:rPr>
      </w:pPr>
      <w:r w:rsidRPr="000049FD">
        <w:rPr>
          <w:lang w:val="en-GB"/>
        </w:rPr>
        <w:t xml:space="preserve">Such divergences are influenced by multiple ecological and structural factors, including vertical relief, habitat complexity, reef age, and proximity to natural systems (Rilov &amp; Benayahu 2000, Simon et al. 2013, Streich et al. 2017, Paxton et al. 2023). Shipwrecks tend to be high-relief and spatially isolated, favouring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Paxton et al. 2023, Sibley et al. 2023). Distinguishing superficial species-level similarity from broader ecological performance is therefore essential when evaluating artificial reef outcomes (Simon et al. 2013, Medeiros et al. </w:t>
      </w:r>
      <w:r w:rsidRPr="000049FD">
        <w:rPr>
          <w:lang w:val="en-GB"/>
        </w:rPr>
        <w:lastRenderedPageBreak/>
        <w:t>2022, Schram et al. 2024).</w:t>
      </w:r>
      <w:r w:rsidRPr="000049FD" w:rsidDel="000049FD">
        <w:rPr>
          <w:lang w:val="en-GB"/>
        </w:rPr>
        <w:t xml:space="preserve"> </w:t>
      </w: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 xml:space="preserve">Isolated pelagic pinnacles, often exposed to strong hydrodynamic flow,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(Letessier et al. 2019, Galbraith et al. 2022, Cresswell et al. 2023, Galbraith et al. 2023a,</w:t>
      </w:r>
      <w:r w:rsidR="00F63F11" w:rsidRPr="00F63F11">
        <w:rPr>
          <w:lang w:val="en-GB"/>
        </w:rPr>
        <w:t xml:space="preserve"> </w:t>
      </w:r>
      <w:r w:rsidR="00F63F11" w:rsidRPr="00D84338">
        <w:rPr>
          <w:lang w:val="en-GB"/>
        </w:rPr>
        <w:t>Galbraith et al. 2023</w:t>
      </w:r>
      <w:r w:rsidR="00D84338" w:rsidRPr="00D84338">
        <w:rPr>
          <w:lang w:val="en-GB"/>
        </w:rPr>
        <w:t>b, Mattos et al. 2023)</w:t>
      </w:r>
      <w:r w:rsidR="00C715CC"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r w:rsidR="00C715CC" w:rsidRPr="00C715CC">
        <w:rPr>
          <w:lang w:val="en-GB"/>
        </w:rPr>
        <w:t xml:space="preserve">Galbraith </w:t>
      </w:r>
      <w:r w:rsidR="003C2044">
        <w:rPr>
          <w:lang w:val="en-GB"/>
        </w:rPr>
        <w:t>et al.</w:t>
      </w:r>
      <w:r w:rsidR="00C715CC" w:rsidRPr="00C715CC">
        <w:rPr>
          <w:lang w:val="en-GB"/>
        </w:rPr>
        <w:t xml:space="preserve"> 2023). Pinnacles also exhibit substantial vertical relief and structural complexity, which provide refuge and foraging opportunities across multiple trophic guilds (Galbraith </w:t>
      </w:r>
      <w:r w:rsidR="003C2044">
        <w:rPr>
          <w:lang w:val="en-GB"/>
        </w:rPr>
        <w:t>et al.</w:t>
      </w:r>
      <w:r w:rsidR="00C715CC" w:rsidRPr="00C715CC">
        <w:rPr>
          <w:lang w:val="en-GB"/>
        </w:rPr>
        <w:t xml:space="preserve"> 2023</w:t>
      </w:r>
      <w:r>
        <w:rPr>
          <w:lang w:val="en-GB"/>
        </w:rPr>
        <w:t>,</w:t>
      </w:r>
      <w:r w:rsidR="00C715CC" w:rsidRPr="00C715CC">
        <w:rPr>
          <w:lang w:val="en-GB"/>
        </w:rPr>
        <w:t xml:space="preserve"> Letessier </w:t>
      </w:r>
      <w:r w:rsidR="003C2044">
        <w:rPr>
          <w:lang w:val="en-GB"/>
        </w:rPr>
        <w:t>et al.</w:t>
      </w:r>
      <w:r w:rsidR="00C715CC" w:rsidRPr="00C715CC">
        <w:rPr>
          <w:lang w:val="en-GB"/>
        </w:rPr>
        <w:t xml:space="preserve"> 2019).</w:t>
      </w:r>
    </w:p>
    <w:p w14:paraId="500F1017" w14:textId="1B208980" w:rsidR="00C715CC" w:rsidRPr="00C715CC" w:rsidRDefault="00C715CC" w:rsidP="00C715CC">
      <w:pPr>
        <w:spacing w:before="240" w:after="240" w:line="480" w:lineRule="auto"/>
        <w:rPr>
          <w:lang w:val="en-GB"/>
        </w:rPr>
      </w:pPr>
      <w:r w:rsidRPr="00C715CC">
        <w:rPr>
          <w:lang w:val="en-GB"/>
        </w:rPr>
        <w:t xml:space="preserve">In contrast, fringing reefs and other emergent coastal systems are shaped more strongly by local variation in benthic composition, hydrodynamic exposure, and human disturbance (Bell </w:t>
      </w:r>
      <w:r w:rsidR="003C2044">
        <w:rPr>
          <w:lang w:val="en-GB"/>
        </w:rPr>
        <w:t>&amp;</w:t>
      </w:r>
      <w:r w:rsidRPr="00C715CC">
        <w:rPr>
          <w:lang w:val="en-GB"/>
        </w:rPr>
        <w:t xml:space="preserve"> Galzin, 1984</w:t>
      </w:r>
      <w:r w:rsidR="003C2044">
        <w:rPr>
          <w:lang w:val="en-GB"/>
        </w:rPr>
        <w:t>,</w:t>
      </w:r>
      <w:r w:rsidRPr="00C715CC">
        <w:rPr>
          <w:lang w:val="en-GB"/>
        </w:rPr>
        <w:t xml:space="preserve"> </w:t>
      </w:r>
      <w:r w:rsidR="003C2044" w:rsidRPr="00C715CC">
        <w:rPr>
          <w:lang w:val="en-GB"/>
        </w:rPr>
        <w:t xml:space="preserve">Letessier </w:t>
      </w:r>
      <w:r w:rsidR="003C2044">
        <w:rPr>
          <w:lang w:val="en-GB"/>
        </w:rPr>
        <w:t>et al.</w:t>
      </w:r>
      <w:r w:rsidR="003C2044" w:rsidRPr="00C715CC">
        <w:rPr>
          <w:lang w:val="en-GB"/>
        </w:rPr>
        <w:t xml:space="preserve"> 2019</w:t>
      </w:r>
      <w:r w:rsidR="003C2044">
        <w:rPr>
          <w:lang w:val="en-GB"/>
        </w:rPr>
        <w:t xml:space="preserve">, </w:t>
      </w:r>
      <w:r w:rsidRPr="00C715CC">
        <w:rPr>
          <w:lang w:val="en-GB"/>
        </w:rPr>
        <w:t xml:space="preserve">Galbraith 2021). These environments tend to support more trophically balanced assemblages, with a greater relative abundance of grazers and invertivores that play key roles in reef resilience and benthic regulation </w:t>
      </w:r>
      <w:r w:rsidR="00D84338" w:rsidRPr="00D84338">
        <w:rPr>
          <w:lang w:val="en-GB"/>
        </w:rPr>
        <w:t>(Koeck et al. 2014, Boaden &amp; Kingsford 2015, Streit et al. 2015, Schram et al. 2024</w:t>
      </w:r>
      <w:r w:rsidRPr="00C715CC">
        <w:rPr>
          <w:lang w:val="en-GB"/>
        </w:rPr>
        <w:t xml:space="preserve">). Comparisons between artificial reefs and adjacent natural reefs, including fringing systems, have consistently shown that shipwrecks 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r w:rsidRPr="00C715CC">
        <w:rPr>
          <w:i/>
          <w:lang w:val="en-GB"/>
        </w:rPr>
        <w:t>Plectorhinchus</w:t>
      </w:r>
      <w:r w:rsidRPr="00C715CC">
        <w:rPr>
          <w:lang w:val="en-GB"/>
        </w:rPr>
        <w:t xml:space="preserve">, and </w:t>
      </w:r>
      <w:r w:rsidRPr="00C715CC">
        <w:rPr>
          <w:i/>
          <w:lang w:val="en-GB"/>
        </w:rPr>
        <w:t>Epinephelus</w:t>
      </w:r>
      <w:r w:rsidRPr="00C715CC">
        <w:rPr>
          <w:lang w:val="en-GB"/>
        </w:rPr>
        <w:t xml:space="preserve"> spp., but reduced densities of lower trophic guilds (</w:t>
      </w:r>
      <w:r w:rsidR="003C2044">
        <w:rPr>
          <w:lang w:val="en-GB"/>
        </w:rPr>
        <w:t>Fowler &amp; Booth</w:t>
      </w:r>
      <w:r w:rsidRPr="00C715CC">
        <w:rPr>
          <w:lang w:val="en-GB"/>
        </w:rPr>
        <w:t xml:space="preserve"> 2012</w:t>
      </w:r>
      <w:r w:rsidR="00D84338">
        <w:rPr>
          <w:lang w:val="en-GB"/>
        </w:rPr>
        <w:t>,</w:t>
      </w:r>
      <w:r w:rsidRPr="00C715CC">
        <w:rPr>
          <w:lang w:val="en-GB"/>
        </w:rPr>
        <w:t xml:space="preserve"> Paxton </w:t>
      </w:r>
      <w:r w:rsidR="003C2044">
        <w:rPr>
          <w:lang w:val="en-GB"/>
        </w:rPr>
        <w:t>et al.</w:t>
      </w:r>
      <w:r w:rsidRPr="00C715CC">
        <w:rPr>
          <w:lang w:val="en-GB"/>
        </w:rPr>
        <w:t xml:space="preserve"> 2020a</w:t>
      </w:r>
      <w:r w:rsidR="00D84338">
        <w:rPr>
          <w:lang w:val="en-GB"/>
        </w:rPr>
        <w:t>,</w:t>
      </w:r>
      <w:r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Pr="00C715CC">
        <w:rPr>
          <w:lang w:val="en-GB"/>
        </w:rPr>
        <w:t xml:space="preserve">Schram </w:t>
      </w:r>
      <w:r w:rsidR="003C2044">
        <w:rPr>
          <w:lang w:val="en-GB"/>
        </w:rPr>
        <w:t>et al.</w:t>
      </w:r>
      <w:r w:rsidRPr="00C715CC">
        <w:rPr>
          <w:lang w:val="en-GB"/>
        </w:rPr>
        <w:t xml:space="preserve"> 2024). These patterns likely reflect limited food availability for grazers and invertivores on artificial substrates, as well as differences in benthic microhabitats and structural complexity (</w:t>
      </w:r>
      <w:r w:rsidR="003C2044">
        <w:rPr>
          <w:lang w:val="en-GB"/>
        </w:rPr>
        <w:t>Rilov &amp; Benayahu</w:t>
      </w:r>
      <w:r w:rsidRPr="00C715CC">
        <w:rPr>
          <w:lang w:val="en-GB"/>
        </w:rPr>
        <w:t>, 2000</w:t>
      </w:r>
      <w:r w:rsidR="00D84338">
        <w:rPr>
          <w:lang w:val="en-GB"/>
        </w:rPr>
        <w:t>,</w:t>
      </w:r>
      <w:r w:rsidRPr="00C715CC">
        <w:rPr>
          <w:lang w:val="en-GB"/>
        </w:rPr>
        <w:t xml:space="preserve"> Schram </w:t>
      </w:r>
      <w:r w:rsidR="003C2044">
        <w:rPr>
          <w:lang w:val="en-GB"/>
        </w:rPr>
        <w:t>et al.</w:t>
      </w:r>
      <w:r w:rsidRPr="00C715CC">
        <w:rPr>
          <w:lang w:val="en-GB"/>
        </w:rPr>
        <w:t xml:space="preserve"> 2024).</w:t>
      </w:r>
    </w:p>
    <w:p w14:paraId="4755AB8A" w14:textId="060BE837" w:rsidR="00C715CC" w:rsidRPr="00C715CC" w:rsidRDefault="00C715CC" w:rsidP="00C715CC">
      <w:pPr>
        <w:spacing w:before="240" w:after="240" w:line="480" w:lineRule="auto"/>
        <w:rPr>
          <w:lang w:val="en-GB"/>
        </w:rPr>
      </w:pPr>
      <w:r w:rsidRPr="00C715CC">
        <w:rPr>
          <w:lang w:val="en-GB"/>
        </w:rPr>
        <w:lastRenderedPageBreak/>
        <w:t xml:space="preserve">This study builds on previous assessments of fish assemblages in the Gulf of Thailand </w:t>
      </w:r>
      <w:r w:rsidR="00D84338" w:rsidRPr="00D84338">
        <w:rPr>
          <w:lang w:val="en-GB"/>
        </w:rPr>
        <w:t>(Mattos &amp; Yeemin 2020, Harvey et al. 2021, Mattos et al. 2023, Baillie et al. 2024</w:t>
      </w:r>
      <w:r w:rsidRPr="00C715CC">
        <w:rPr>
          <w:lang w:val="en-GB"/>
        </w:rPr>
        <w:t xml:space="preserve">), with the aim of evaluating whether shipwrecks replicate the community structure and trophic composition of natural reef analogues or represent a functionally novel assemblage type. </w:t>
      </w:r>
      <w:r w:rsidR="000049FD" w:rsidRPr="000049FD">
        <w:rPr>
          <w:lang w:val="en-GB"/>
        </w:rPr>
        <w:t>Unlike most prior studies, which have compared artificial reefs only to nearby fringing reefs, this work explicitly tests shipwreck similarity against two contrasting natural reef types: fringing reefs and pelagic pinnacles, to determine which they more closely resemble.</w:t>
      </w:r>
      <w:r w:rsidR="003C2044">
        <w:rPr>
          <w:lang w:val="en-GB"/>
        </w:rPr>
        <w:t xml:space="preserve"> </w:t>
      </w:r>
      <w:r w:rsidRPr="00C715CC">
        <w:rPr>
          <w:lang w:val="en-GB"/>
        </w:rPr>
        <w:t>Given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w:t>
      </w:r>
      <w:r w:rsidR="003C2044">
        <w:rPr>
          <w:lang w:val="en-GB"/>
        </w:rPr>
        <w:t>Fowler &amp; Booth</w:t>
      </w:r>
      <w:r w:rsidRPr="00C715CC">
        <w:rPr>
          <w:lang w:val="en-GB"/>
        </w:rPr>
        <w:t xml:space="preserve"> 2012</w:t>
      </w:r>
      <w:r w:rsidR="00D84338">
        <w:rPr>
          <w:lang w:val="en-GB"/>
        </w:rPr>
        <w:t>,</w:t>
      </w:r>
      <w:r w:rsidRPr="00C715CC">
        <w:rPr>
          <w:lang w:val="en-GB"/>
        </w:rPr>
        <w:t xml:space="preserve"> Simon </w:t>
      </w:r>
      <w:r w:rsidR="003C2044">
        <w:rPr>
          <w:lang w:val="en-GB"/>
        </w:rPr>
        <w:t>et al.</w:t>
      </w:r>
      <w:r w:rsidRPr="00C715CC">
        <w:rPr>
          <w:lang w:val="en-GB"/>
        </w:rPr>
        <w:t xml:space="preserve"> 2013</w:t>
      </w:r>
      <w:r w:rsidR="00D84338">
        <w:rPr>
          <w:lang w:val="en-GB"/>
        </w:rPr>
        <w:t>,</w:t>
      </w:r>
      <w:r w:rsidRPr="00C715CC">
        <w:rPr>
          <w:lang w:val="en-GB"/>
        </w:rPr>
        <w:t xml:space="preserve"> Schram </w:t>
      </w:r>
      <w:r w:rsidR="003C2044">
        <w:rPr>
          <w:lang w:val="en-GB"/>
        </w:rPr>
        <w:t>et al.</w:t>
      </w:r>
      <w:r w:rsidRPr="00C715CC">
        <w:rPr>
          <w:lang w:val="en-GB"/>
        </w:rPr>
        <w:t xml:space="preserve"> 2024). These divergences may reflect differences in habitat structure, trophic filtering, or broader ecological constraints. Characterising such patterns is critical to evaluating the ecological role of artificial reefs in tropical marine systems.</w:t>
      </w:r>
    </w:p>
    <w:p w14:paraId="4D5F24A4" w14:textId="77777777" w:rsidR="000049FD" w:rsidRPr="001C6241" w:rsidRDefault="000049FD" w:rsidP="000049FD">
      <w:pPr>
        <w:spacing w:after="240" w:line="480" w:lineRule="auto"/>
        <w:rPr>
          <w:lang w:val="en-GB"/>
        </w:rPr>
      </w:pPr>
      <w:r w:rsidRPr="000049FD">
        <w:rPr>
          <w:lang w:val="en-GB"/>
        </w:rPr>
        <w:t xml:space="preserve">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Key design features such as vertical relief, surface complexity, and orientation are considered in interpreting assemblage patterns, given their known influence on artificial reef performance (Rilov &amp; Benayahu 2000, Paxton et al. 2020a). These findings contribute to a broader understanding of how artificial reefs function across structurally varied reef contexts and are intended to inform </w:t>
      </w:r>
      <w:r w:rsidRPr="000049FD">
        <w:rPr>
          <w:lang w:val="en-GB"/>
        </w:rPr>
        <w:lastRenderedPageBreak/>
        <w:t>ecologically grounded deployment strategies not only in Thailand, where shipwreck use continues to expand, but in other tropical regions pursuing artificial reef development to support reef fisheries and conservation goals (Paxton et al. 2020a, Baillie et al. 2024).</w:t>
      </w:r>
      <w:r w:rsidRPr="000049FD" w:rsidDel="000049FD">
        <w:rPr>
          <w:lang w:val="en-GB"/>
        </w:rPr>
        <w:t xml:space="preserve"> </w:t>
      </w:r>
    </w:p>
    <w:p w14:paraId="44C7C463" w14:textId="7370E71C" w:rsidR="00C57308" w:rsidRPr="00C715CC" w:rsidRDefault="00000000" w:rsidP="00132A98">
      <w:pPr>
        <w:pStyle w:val="Heading1"/>
      </w:pPr>
      <w:r w:rsidRPr="00C715CC">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7" w:name="_oufnu1adhg4c" w:colFirst="0" w:colLast="0"/>
      <w:bookmarkEnd w:id="7"/>
      <w:r w:rsidRPr="00C715CC">
        <w:t xml:space="preserve">2.1. </w:t>
      </w:r>
      <w:r w:rsidR="001E279D">
        <w:t>Study Sites</w:t>
      </w:r>
    </w:p>
    <w:p w14:paraId="45F84795" w14:textId="76DADF33" w:rsidR="00C57308" w:rsidRPr="00C715CC" w:rsidRDefault="00A772F9" w:rsidP="001E279D">
      <w:pPr>
        <w:spacing w:after="240" w:line="480" w:lineRule="auto"/>
        <w:rPr>
          <w:lang w:val="en-GB"/>
        </w:rPr>
      </w:pPr>
      <w:r w:rsidRPr="00A772F9">
        <w:rPr>
          <w:lang w:val="en-GB"/>
        </w:rPr>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r w:rsidR="00000000"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r w:rsidR="00000000" w:rsidRPr="00C715CC">
        <w:rPr>
          <w:lang w:val="en-GB"/>
        </w:rPr>
        <w:t xml:space="preserve">The three shipwrecks studied were </w:t>
      </w:r>
      <w:r w:rsidR="00B31269">
        <w:rPr>
          <w:lang w:val="en-GB"/>
        </w:rPr>
        <w:t xml:space="preserve">decommissioned Royal Thai Navy vessels: </w:t>
      </w:r>
      <w:r w:rsidR="00000000" w:rsidRPr="00C715CC">
        <w:rPr>
          <w:lang w:val="en-GB"/>
        </w:rPr>
        <w:t>the</w:t>
      </w:r>
      <w:r w:rsidR="00B31269">
        <w:rPr>
          <w:lang w:val="en-GB"/>
        </w:rPr>
        <w:t xml:space="preserve"> landing craft</w:t>
      </w:r>
      <w:r w:rsidR="00000000" w:rsidRPr="00C715CC">
        <w:rPr>
          <w:lang w:val="en-GB"/>
        </w:rPr>
        <w:t xml:space="preserve"> </w:t>
      </w:r>
      <w:r w:rsidR="00000000" w:rsidRPr="00C715CC">
        <w:rPr>
          <w:i/>
          <w:lang w:val="en-GB"/>
        </w:rPr>
        <w:t>HTMS Sattakut</w:t>
      </w:r>
      <w:r w:rsidR="00000000" w:rsidRPr="00C715CC">
        <w:rPr>
          <w:lang w:val="en-GB"/>
        </w:rPr>
        <w:t xml:space="preserve">, which was deployed in June 2011, and the two fast-attack vessels </w:t>
      </w:r>
      <w:r w:rsidR="00000000" w:rsidRPr="00C715CC">
        <w:rPr>
          <w:i/>
          <w:lang w:val="en-GB"/>
        </w:rPr>
        <w:t>HTMS Supharin</w:t>
      </w:r>
      <w:r w:rsidR="00000000" w:rsidRPr="00C715CC">
        <w:rPr>
          <w:lang w:val="en-GB"/>
        </w:rPr>
        <w:t xml:space="preserve"> and </w:t>
      </w:r>
      <w:r w:rsidR="00000000" w:rsidRPr="00C715CC">
        <w:rPr>
          <w:i/>
          <w:lang w:val="en-GB"/>
        </w:rPr>
        <w:t>HTMS Hanhak Sattru</w:t>
      </w:r>
      <w:r w:rsidR="00000000" w:rsidRPr="00C715CC">
        <w:rPr>
          <w:lang w:val="en-GB"/>
        </w:rPr>
        <w:t xml:space="preserve">, both deployed in September 2023.  </w:t>
      </w:r>
      <w:r w:rsidRPr="00A772F9">
        <w:rPr>
          <w:lang w:val="en-GB"/>
        </w:rPr>
        <w:t xml:space="preserve">Each site was surveyed repeatedly over the study period, yielding a total of 350 fish surveys: 150 on fringing reefs, 130 on pinnacles, and 70 on shipwrecks. </w:t>
      </w:r>
      <w:r>
        <w:rPr>
          <w:lang w:val="en-GB"/>
        </w:rPr>
        <w:t xml:space="preserve"> Repeated s</w:t>
      </w:r>
      <w:r w:rsidR="00000000" w:rsidRPr="00C715CC">
        <w:rPr>
          <w:lang w:val="en-GB"/>
        </w:rPr>
        <w:t xml:space="preserve">urveys were performed at predetermined locations within each reef type to ensure consistency across dives. </w:t>
      </w:r>
    </w:p>
    <w:p w14:paraId="60DEEABB" w14:textId="1905578A" w:rsidR="00C57308" w:rsidRPr="00C715CC" w:rsidRDefault="00000000" w:rsidP="00A772F9">
      <w:pPr>
        <w:spacing w:after="240" w:line="480" w:lineRule="auto"/>
      </w:pPr>
      <w:bookmarkStart w:id="8" w:name="_wkrrlat1y6lc" w:colFirst="0" w:colLast="0"/>
      <w:bookmarkEnd w:id="8"/>
      <w:r w:rsidRPr="00C715CC">
        <w:t xml:space="preserve">2.2. </w:t>
      </w:r>
      <w:r w:rsidR="001E279D">
        <w:t>Survey Protocol</w:t>
      </w:r>
    </w:p>
    <w:p w14:paraId="62DFEC56" w14:textId="32F42983" w:rsidR="00C57308" w:rsidRPr="00C715CC" w:rsidRDefault="00000000" w:rsidP="001E279D">
      <w:pPr>
        <w:spacing w:after="240" w:line="480" w:lineRule="auto"/>
        <w:rPr>
          <w:lang w:val="en-GB"/>
        </w:rPr>
      </w:pPr>
      <w:r w:rsidRPr="00C715CC">
        <w:rPr>
          <w:lang w:val="en-GB"/>
        </w:rPr>
        <w:t xml:space="preserve">All surveys followed standardised underwater census (UVC) methodology. Divers conducted eight minute timed swim surveys using a predetermined survey species list (Table S1), which encompasses multiple functional groups (grazers, invertivores, mesopredators and higher trophic level predators) and ensures consistency in species identification and data collection. </w:t>
      </w:r>
      <w:r w:rsidR="00E85ACD" w:rsidRPr="00E85ACD">
        <w:rPr>
          <w:lang w:val="en-GB"/>
        </w:rPr>
        <w:t xml:space="preserve">Eight </w:t>
      </w:r>
      <w:r w:rsidR="00E85ACD" w:rsidRPr="00E85ACD">
        <w:rPr>
          <w:lang w:val="en-GB"/>
        </w:rPr>
        <w:lastRenderedPageBreak/>
        <w:t xml:space="preserve">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Sattakut, </w:t>
      </w:r>
      <w:r w:rsidR="00E85ACD" w:rsidRPr="00E85ACD">
        <w:rPr>
          <w:lang w:val="en-GB"/>
        </w:rPr>
        <w:t xml:space="preserve">where one full circuit of the wreck could be completed without overlap, minimizing double </w:t>
      </w:r>
      <w:r w:rsidR="00E85ACD">
        <w:rPr>
          <w:lang w:val="en-GB"/>
        </w:rPr>
        <w:t>counting.</w:t>
      </w:r>
    </w:p>
    <w:p w14:paraId="437A885E" w14:textId="0A681FF8"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Divers maintained a position of 1-2 m away from each other at all times, and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 xml:space="preserve">The observation field included all fish present within a 10-metre radius in the 180-degree field of view ahead, covering the left, forward, and right directions, and extending vertically to form a 180-degree three-dimensional arc above and below the divers. </w:t>
      </w:r>
      <w:r w:rsidRPr="004C68AF">
        <w:rPr>
          <w:rFonts w:ascii="Times New Roman" w:hAnsi="Times New Roman" w:cs="Times New Roman"/>
        </w:rPr>
        <w:t xml:space="preserve">Divers swam slowly to maximise observation time and reduce disturbance to the fish. </w:t>
      </w:r>
      <w:r w:rsidR="00E85ACD" w:rsidRPr="004C68AF">
        <w:rPr>
          <w:rFonts w:ascii="Times New Roman" w:hAnsi="Times New Roman" w:cs="Times New Roman"/>
        </w:rPr>
        <w:t xml:space="preserve">The estimated area covered during each survey was calculated by measuring the distance covered during multiple pilot timed-swim surveys on the HTMS </w:t>
      </w:r>
      <w:r w:rsidR="00E85ACD" w:rsidRPr="004C68AF">
        <w:rPr>
          <w:rFonts w:ascii="Times New Roman" w:hAnsi="Times New Roman" w:cs="Times New Roman"/>
          <w:i/>
          <w:iCs/>
        </w:rPr>
        <w:t>Sattakut.</w:t>
      </w:r>
    </w:p>
    <w:p w14:paraId="4ECE51EB" w14:textId="77777777" w:rsidR="00C57308" w:rsidRPr="00C715CC" w:rsidRDefault="00000000" w:rsidP="001E279D">
      <w:pPr>
        <w:spacing w:after="240" w:line="480" w:lineRule="auto"/>
        <w:rPr>
          <w:lang w:val="en-GB"/>
        </w:rPr>
      </w:pPr>
      <w:r w:rsidRPr="00C715CC">
        <w:rPr>
          <w:lang w:val="en-GB"/>
        </w:rPr>
        <w:t xml:space="preserve">All observed fish on the species list within the designated radius were recorded on waterproof slates. Data were recorded in real-time during the survey. Each new survey was recorded in a separate section of the slate to maintain data integrity. </w:t>
      </w:r>
    </w:p>
    <w:p w14:paraId="5C29810E" w14:textId="5A02E1EE" w:rsidR="00C57308" w:rsidRPr="00C715CC" w:rsidRDefault="00000000" w:rsidP="00132A98">
      <w:pPr>
        <w:pStyle w:val="Heading2"/>
      </w:pPr>
      <w:bookmarkStart w:id="9" w:name="_kmnnqgfdlep6" w:colFirst="0" w:colLast="0"/>
      <w:bookmarkEnd w:id="9"/>
      <w:r w:rsidRPr="00C715CC">
        <w:t xml:space="preserve">2.3. </w:t>
      </w:r>
      <w:r w:rsidR="001E279D">
        <w:t>Data Analysis</w:t>
      </w:r>
      <w:r w:rsidRPr="00C715CC">
        <w:t xml:space="preserve"> </w:t>
      </w:r>
    </w:p>
    <w:p w14:paraId="3F48EA60" w14:textId="77D06B24"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(Bürkner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r w:rsidRPr="00C715CC">
        <w:rPr>
          <w:i/>
          <w:lang w:val="en-GB"/>
        </w:rPr>
        <w:t>tidyverse</w:t>
      </w:r>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w:t>
      </w:r>
      <w:r w:rsidRPr="00C715CC">
        <w:rPr>
          <w:lang w:val="en-GB"/>
        </w:rPr>
        <w:lastRenderedPageBreak/>
        <w:t>(Table S1) for analysis of broader ecological patterns and to facilitate interpretation of community-level responses. Separate multivariate models were fitted to evaluate differences in functional group abundance across reef classifications and, independently, across geographic zones. Subsequent species-specific models were used to examine finer-scale patterns within each functional group.</w:t>
      </w:r>
    </w:p>
    <w:p w14:paraId="6B543B1D" w14:textId="77777777" w:rsidR="00C57308" w:rsidRPr="00C715CC" w:rsidRDefault="00000000" w:rsidP="00132A98">
      <w:pPr>
        <w:pStyle w:val="Heading3"/>
      </w:pPr>
      <w:bookmarkStart w:id="10" w:name="_ap0laf6xnjoq" w:colFirst="0" w:colLast="0"/>
      <w:bookmarkEnd w:id="10"/>
      <w:r w:rsidRPr="00C715CC">
        <w:t xml:space="preserve">2.3.1. Functional group analysis </w:t>
      </w:r>
    </w:p>
    <w:p w14:paraId="196CCA5D" w14:textId="77777777" w:rsidR="00C57308" w:rsidRPr="00C715CC" w:rsidRDefault="00000000" w:rsidP="001E279D">
      <w:pPr>
        <w:spacing w:after="240"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mvbind(Grazer, Invertivore, Mesopredator, HTLP) ~ Classification + (1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03066F5"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extreme counts (e.g. </w:t>
      </w:r>
      <w:r w:rsidRPr="00C715CC">
        <w:rPr>
          <w:i/>
          <w:lang w:val="en-GB"/>
        </w:rPr>
        <w:t>Sphyraena</w:t>
      </w:r>
      <w:r w:rsidRPr="00C715CC">
        <w:rPr>
          <w:lang w:val="en-GB"/>
        </w:rPr>
        <w:t xml:space="preserve"> spp., </w:t>
      </w:r>
      <w:r w:rsidRPr="00C715CC">
        <w:rPr>
          <w:i/>
          <w:lang w:val="en-GB"/>
        </w:rPr>
        <w:t>Gymnothorax</w:t>
      </w:r>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Diodon</w:t>
      </w:r>
      <w:r w:rsidRPr="00C715CC">
        <w:rPr>
          <w:lang w:val="en-GB"/>
        </w:rPr>
        <w:t xml:space="preserve"> spp., all rays) were excluded due to their disproportionate influence on group-level patterns (&lt;2% of observations removed). Functional group stability was assessed using coefficients of variation, and proportional group composition was </w:t>
      </w:r>
      <w:r w:rsidR="005A4E44" w:rsidRPr="00C715CC">
        <w:rPr>
          <w:lang w:val="en-GB"/>
        </w:rPr>
        <w:t xml:space="preserve">assessed </w:t>
      </w:r>
      <w:r w:rsidRPr="00C715CC">
        <w:rPr>
          <w:lang w:val="en-GB"/>
        </w:rPr>
        <w:t>by site to evaluate consistency across reef types. These diagnostics informed data filtering and supported the robustness of the functional group classification. Zero-inflation was not evident in the remaining functional group data, while overdispersion was moderate, supporting the use of a negative binomial distribution.</w:t>
      </w:r>
    </w:p>
    <w:p w14:paraId="66576371" w14:textId="02BBECD6" w:rsidR="00C57308" w:rsidRPr="00C715CC" w:rsidRDefault="00000000" w:rsidP="001E279D">
      <w:pPr>
        <w:spacing w:after="240" w:line="480" w:lineRule="auto"/>
        <w:rPr>
          <w:lang w:val="en-GB"/>
        </w:rPr>
      </w:pPr>
      <w:r w:rsidRPr="00C715CC">
        <w:rPr>
          <w:lang w:val="en-GB"/>
        </w:rPr>
        <w:lastRenderedPageBreak/>
        <w:t xml:space="preserve">Several candidate models were evaluated, including those with and without zero-inflation terms and with or without site-level random intercepts to account for repeated surveys. Model performance was compared using leave-one-out cross-validation (LOO-CV; Vehtari </w:t>
      </w:r>
      <w:r w:rsidR="003C2044">
        <w:rPr>
          <w:lang w:val="en-GB"/>
        </w:rPr>
        <w:t>et al.</w:t>
      </w:r>
      <w:r w:rsidRPr="00C715CC">
        <w:rPr>
          <w:lang w:val="en-GB"/>
        </w:rPr>
        <w:t xml:space="preserve"> 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47EB3DEE"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 Models excluding site-level effects or including zero-inflation performed substantially worse, and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r w:rsidRPr="00C715CC">
        <w:rPr>
          <w:rFonts w:ascii="Consolas" w:eastAsia="Courier New" w:hAnsi="Consolas" w:cs="Consolas"/>
          <w:lang w:val="en-GB"/>
        </w:rPr>
        <w:t xml:space="preserve">adapt_delta = 0.90 </w:t>
      </w:r>
      <w:r w:rsidRPr="00C715CC">
        <w:rPr>
          <w:lang w:val="en-GB"/>
        </w:rPr>
        <w:t>and</w:t>
      </w:r>
      <w:r w:rsidRPr="00C715CC">
        <w:rPr>
          <w:rFonts w:ascii="Consolas" w:hAnsi="Consolas" w:cs="Consolas"/>
          <w:lang w:val="en-GB"/>
        </w:rPr>
        <w:t xml:space="preserve"> </w:t>
      </w:r>
      <w:r w:rsidRPr="00C715CC">
        <w:rPr>
          <w:rFonts w:ascii="Consolas" w:eastAsia="Courier New" w:hAnsi="Consolas" w:cs="Consolas"/>
          <w:lang w:val="en-GB"/>
        </w:rPr>
        <w:t>max_treedepth = 20</w:t>
      </w:r>
      <w:r w:rsidRPr="00C715CC">
        <w:rPr>
          <w:lang w:val="en-GB"/>
        </w:rPr>
        <w:t xml:space="preserve">. Default weakly informative priors 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(Bürkner 2017). Posterior predictive checks were conducted using </w:t>
      </w:r>
      <w:r w:rsidRPr="00C715CC">
        <w:rPr>
          <w:rFonts w:ascii="Consolas" w:eastAsia="Courier New" w:hAnsi="Consolas" w:cs="Consolas"/>
          <w:lang w:val="en-GB"/>
        </w:rPr>
        <w:t>pp_check()</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w:t>
      </w:r>
      <w:r w:rsidRPr="00C715CC">
        <w:rPr>
          <w:lang w:val="en-GB"/>
        </w:rPr>
        <w:lastRenderedPageBreak/>
        <w:t xml:space="preserve">population-level predictions via </w:t>
      </w:r>
      <w:r w:rsidRPr="00C715CC">
        <w:rPr>
          <w:rFonts w:ascii="Consolas" w:eastAsia="Courier New" w:hAnsi="Consolas" w:cs="Consolas"/>
          <w:lang w:val="en-GB"/>
        </w:rPr>
        <w:t>conditional_effects()</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r w:rsidRPr="00C715CC">
        <w:rPr>
          <w:rFonts w:ascii="Consolas" w:eastAsia="Courier New" w:hAnsi="Consolas" w:cs="Consolas"/>
          <w:lang w:val="en-GB"/>
        </w:rPr>
        <w:t>spread_draws()</w:t>
      </w:r>
      <w:r w:rsidRPr="00C715CC">
        <w:rPr>
          <w:lang w:val="en-GB"/>
        </w:rPr>
        <w:t xml:space="preserve"> to estimate log-scale differences in functional group abundance across reef classifications. Differences were visualised using </w:t>
      </w:r>
      <w:r w:rsidRPr="00C715CC">
        <w:rPr>
          <w:rFonts w:ascii="Consolas" w:eastAsia="Courier New" w:hAnsi="Consolas" w:cs="Consolas"/>
          <w:lang w:val="en-GB"/>
        </w:rPr>
        <w:t>stat_halfeye()</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11" w:name="_y4qkqo9zdgtp" w:colFirst="0" w:colLast="0"/>
      <w:bookmarkEnd w:id="11"/>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213430">
      <w:pPr>
        <w:spacing w:line="480"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Shipwrecks were retained as the reference level for interpretability. Model fitting and diagnostics followed the </w:t>
      </w:r>
      <w:r w:rsidRPr="00C715CC">
        <w:rPr>
          <w:lang w:val="en-GB"/>
        </w:rPr>
        <w:lastRenderedPageBreak/>
        <w:t xml:space="preserve">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r w:rsidRPr="00C715CC">
        <w:rPr>
          <w:rFonts w:ascii="Consolas" w:eastAsia="Courier New" w:hAnsi="Consolas" w:cs="Consolas"/>
          <w:lang w:val="en-GB"/>
        </w:rPr>
        <w:t>spread_draws()</w:t>
      </w:r>
      <w:r w:rsidRPr="00C715CC">
        <w:rPr>
          <w:rFonts w:ascii="Consolas" w:hAnsi="Consolas" w:cs="Consolas"/>
          <w:lang w:val="en-GB"/>
        </w:rPr>
        <w:t>,</w:t>
      </w:r>
      <w:r w:rsidRPr="00C715CC">
        <w:rPr>
          <w:lang w:val="en-GB"/>
        </w:rPr>
        <w:t xml:space="preserve"> and zone-level effects were visualised using </w:t>
      </w:r>
      <w:r w:rsidRPr="00C715CC">
        <w:rPr>
          <w:rFonts w:ascii="Consolas" w:eastAsia="Courier New" w:hAnsi="Consolas" w:cs="Consolas"/>
          <w:lang w:val="en-GB"/>
        </w:rPr>
        <w:t>stat_halfeye()</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12" w:name="_ghijga7vsfoa" w:colFirst="0" w:colLast="0"/>
      <w:bookmarkEnd w:id="12"/>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67DB73B3" w:rsidR="00C57308" w:rsidRPr="00C715CC" w:rsidRDefault="00000000">
      <w:pPr>
        <w:spacing w:before="240" w:after="240" w:line="480" w:lineRule="auto"/>
        <w:rPr>
          <w:lang w:val="en-GB"/>
        </w:rPr>
      </w:pPr>
      <w:r w:rsidRPr="00C715CC">
        <w:rPr>
          <w:lang w:val="en-GB"/>
        </w:rPr>
        <w:lastRenderedPageBreak/>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xml:space="preserve">​ represents the count of species ss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is the species-specific dispersion parameter, and shipwrecks were treated as the reference category. Site was not included as a random effect due to limited data and resulting model instability. With 1</w:t>
      </w:r>
      <w:r w:rsidR="00835B01">
        <w:rPr>
          <w:lang w:val="en-GB"/>
        </w:rPr>
        <w:t>8</w:t>
      </w:r>
      <w:r w:rsidRPr="00C715CC">
        <w:rPr>
          <w:lang w:val="en-GB"/>
        </w:rPr>
        <w:t xml:space="preserve"> taxa across 12 sites, the model became overparameterised and failed to converge reliably. Excluding random intercepts improved stability while retaining the ability to detect habitat-based trends.  Model fitting used four chains of 4000 iterations each (1000 warmup) with </w:t>
      </w:r>
      <w:r w:rsidRPr="00C715CC">
        <w:rPr>
          <w:rFonts w:ascii="Consolas" w:eastAsia="Courier New" w:hAnsi="Consolas" w:cs="Consolas"/>
          <w:lang w:val="en-GB"/>
        </w:rPr>
        <w:t>adapt_delta = 0.90</w:t>
      </w:r>
      <w:r w:rsidRPr="00C715CC">
        <w:rPr>
          <w:lang w:val="en-GB"/>
        </w:rPr>
        <w:t xml:space="preserve"> and</w:t>
      </w:r>
      <w:r w:rsidRPr="00C715CC">
        <w:rPr>
          <w:rFonts w:ascii="Consolas" w:hAnsi="Consolas" w:cs="Consolas"/>
          <w:lang w:val="en-GB"/>
        </w:rPr>
        <w:t xml:space="preserve"> </w:t>
      </w:r>
      <w:r w:rsidRPr="00C715CC">
        <w:rPr>
          <w:rFonts w:ascii="Consolas" w:eastAsia="Courier New" w:hAnsi="Consolas" w:cs="Consolas"/>
          <w:lang w:val="en-GB"/>
        </w:rPr>
        <w:t>max_treedepth = 20</w:t>
      </w:r>
      <w:r w:rsidRPr="00C715CC">
        <w:rPr>
          <w:lang w:val="en-GB"/>
        </w:rPr>
        <w:t xml:space="preserve">. Species-level predictions were generated using </w:t>
      </w:r>
      <w:r w:rsidRPr="00C715CC">
        <w:rPr>
          <w:rFonts w:ascii="Consolas" w:eastAsia="Courier New" w:hAnsi="Consolas" w:cs="Consolas"/>
          <w:lang w:val="en-GB"/>
        </w:rPr>
        <w:t>conditional_effects()</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13" w:name="_igkw3jbs1h89" w:colFirst="0" w:colLast="0"/>
      <w:bookmarkStart w:id="14" w:name="_bf7wafrjl4fh" w:colFirst="0" w:colLast="0"/>
      <w:bookmarkEnd w:id="13"/>
      <w:bookmarkEnd w:id="14"/>
      <w:r>
        <w:t>3. RESULTS </w:t>
      </w:r>
    </w:p>
    <w:p w14:paraId="7A7166E3" w14:textId="77777777" w:rsidR="00E13A21" w:rsidRDefault="00E13A21" w:rsidP="00E13A21">
      <w:pPr>
        <w:pStyle w:val="NormalWeb"/>
        <w:spacing w:before="0" w:beforeAutospacing="0" w:after="160" w:afterAutospacing="0" w:line="480" w:lineRule="auto"/>
        <w:rPr>
          <w:color w:val="000000"/>
        </w:rPr>
      </w:pPr>
      <w:r>
        <w:rPr>
          <w:color w:val="000000"/>
        </w:rPr>
        <w:t>A total of 350 fish surveys were conducted across 14 unique reef sites, comprising 5 fringing reefs, 6 pelagic pinnacles, and 3 shipwrecks. Repeated surveys were conducted at each site, with 150 surveys on fringing reefs, 130 on pinnacles, and 70 on shipwrecks. Each survey covered an estimated area of ~1,200 m², yielding a cumulative surveyed area of ~42 hectares. Across all sites, 162,894 individual fish were recorded. Mean (±SD) fish density was highest on pinnacles (668 ± 928 fish per 1,200 m²), followed by shipwrecks (348 ± 396) and fringing reefs (345 ± 220), indicating elevated average fish abundance at pinnacles and, to a lesser extent, shipwrecks relative to fringing reefs.</w:t>
      </w:r>
    </w:p>
    <w:p w14:paraId="6B84FD29" w14:textId="77777777" w:rsidR="00E13A21" w:rsidRDefault="00E13A21" w:rsidP="00132A98">
      <w:pPr>
        <w:pStyle w:val="Heading2"/>
      </w:pPr>
      <w:r>
        <w:t>3.1. Functional groups</w:t>
      </w:r>
    </w:p>
    <w:p w14:paraId="67F100E8" w14:textId="77777777"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w:t>
      </w:r>
      <w:r>
        <w:rPr>
          <w:color w:val="000000"/>
        </w:rPr>
        <w:lastRenderedPageBreak/>
        <w:t>grazer abundance was highest at fringing reefs (median: 127.9 fish per 1,200 m²; 95% Credible Interval: [91, 181]), slightly lower at pinnacles (105.9; [78, 145]), and substantially lower at shipwrecks (59.7; [38, 94]). Invertivores showed comparable predicted abundance at pinnacles (56.0; [34, 94]) and fringing reefs (55.9; [32, 97]), with lower estimates at shipwrecks (33.0; [16, 66]). Mesopredator abundance was highest at pinnacles (130.5; [56, 302]), with lower values at fringing reefs (68.7; [26, 172]) and shipwrecks (43.5; [13, 140]). HTLPs had the lowest predicted abundance at fringing reefs (11.0; [5, 23]), with similar values at pinnacles (26.4; [13, 51]) and shipwrecks (25.6; [10, 68]).</w:t>
      </w:r>
    </w:p>
    <w:p w14:paraId="23BCBD98" w14:textId="33E4F77D" w:rsidR="00E13A21" w:rsidRDefault="00E13A21" w:rsidP="00E13A21">
      <w:pPr>
        <w:pStyle w:val="NormalWeb"/>
        <w:spacing w:before="240" w:beforeAutospacing="0" w:after="240" w:afterAutospacing="0" w:line="480" w:lineRule="auto"/>
        <w:rPr>
          <w:color w:val="000000"/>
        </w:rPr>
      </w:pPr>
      <w:r>
        <w:rPr>
          <w:color w:val="000000"/>
        </w:rPr>
        <w:t>Posterior distributions indicated differences in functional group abundance across reef types, with varying levels of statistical support (Figure 3, Table 2). Grazers were more abundant at fringing reefs than shipwrecks, with a median effect of 0.76 (95% CrI: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89% and 90%, respectively. Mesopredators were more abundant at pinnacles than shipwrecks (1.10; [–0.35, 2.58]), with 94% support for a positive effect, and may have also been more abundant at fringing reefs (0.45; [–1.07, 1.99]), though posterior support was weaker (74%). For higher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1AC2269F" w14:textId="77777777" w:rsidR="00E13A21" w:rsidRDefault="00E13A21" w:rsidP="00132A98">
      <w:pPr>
        <w:pStyle w:val="Heading2"/>
      </w:pPr>
      <w:r>
        <w:lastRenderedPageBreak/>
        <w:t>3.2. Geographic zones</w:t>
      </w:r>
    </w:p>
    <w:p w14:paraId="2550504B" w14:textId="2ADBA1BF" w:rsidR="00E13A21" w:rsidRDefault="00E13A21" w:rsidP="00E13A21">
      <w:pPr>
        <w:pStyle w:val="NormalWeb"/>
        <w:spacing w:before="240" w:beforeAutospacing="0" w:after="240" w:afterAutospacing="0" w:line="480"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Figure 4). Grazers were more abundant in both nearshore (median effect: 0.67; 95% CrI: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15251F5F" w14:textId="77777777" w:rsidR="00E13A21" w:rsidRDefault="00E13A21" w:rsidP="00132A98">
      <w:pPr>
        <w:pStyle w:val="Heading2"/>
      </w:pPr>
      <w:r>
        <w:t>3.3. Species-level contrasts </w:t>
      </w:r>
    </w:p>
    <w:p w14:paraId="4C3135FC" w14:textId="77777777"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lastRenderedPageBreak/>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CrI: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CrI: [–1.44, –0.69]; 100%) and fringing reefs (–2.85; [–3.28, –2.44]; 100%). </w:t>
      </w:r>
      <w:r>
        <w:rPr>
          <w:i/>
          <w:iCs/>
          <w:color w:val="000000"/>
        </w:rPr>
        <w:t>Caranx</w:t>
      </w:r>
      <w:r>
        <w:rPr>
          <w:color w:val="000000"/>
        </w:rPr>
        <w:t xml:space="preserve"> spp. (trevallies; high trophic level predators) were more abundant at pinnacles compared to shipwrecks (0.85; 95% CrI: [0.55, 1.15]; 100%) and more abundant at shipwrecks relative to fringing reefs (–0.54; [–0.86, –0.23]; 100%). </w:t>
      </w:r>
      <w:r>
        <w:rPr>
          <w:i/>
          <w:iCs/>
          <w:color w:val="000000"/>
        </w:rPr>
        <w:t>Diagramma/ Plectorhinchus</w:t>
      </w:r>
      <w:r>
        <w:rPr>
          <w:color w:val="000000"/>
        </w:rPr>
        <w:t xml:space="preserve"> spp. (sweetlips; invertivores) were less abundant at both fringing reefs (–1.38; 95% CrI: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CrI: [0.57, 1.19]; 100%), while differences between fringing reefs and shipwrecks were minor and weakly supported (0.13; [–0.20, 0.44]; 78%). </w:t>
      </w:r>
      <w:r>
        <w:rPr>
          <w:i/>
          <w:iCs/>
          <w:color w:val="000000"/>
        </w:rPr>
        <w:t>Epinephelus/ Plectropomus</w:t>
      </w:r>
      <w:r>
        <w:rPr>
          <w:color w:val="000000"/>
        </w:rPr>
        <w:t xml:space="preserve"> spp. &gt;30cm (large groupers; high trophic level predators) were more abundant at pinnacles relative to shipwrecks (0.37; 95% CrI: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grazer and invertivore taxa were consistently lower on shipwrecks relative to natural reefs. </w:t>
      </w:r>
      <w:r>
        <w:rPr>
          <w:i/>
          <w:iCs/>
          <w:color w:val="000000"/>
        </w:rPr>
        <w:t>Pomacanthus spp.</w:t>
      </w:r>
      <w:r>
        <w:rPr>
          <w:color w:val="000000"/>
        </w:rPr>
        <w:t xml:space="preserve"> (angelfish; invertivores) showed higher predicted abundance at both fringing reefs (0.94; 95% CrI: [0.69, 1.20]; 100%) and pinnacles (1.17; [0.92, 1.41]; 100%) compared to shipwrecks, with minimally elevated abundance at pinnacles relative to fringing </w:t>
      </w:r>
      <w:r>
        <w:rPr>
          <w:color w:val="000000"/>
        </w:rPr>
        <w:lastRenderedPageBreak/>
        <w:t xml:space="preserve">reefs (0.23; [0.07, 0.39]; 99.8%). </w:t>
      </w:r>
      <w:r>
        <w:rPr>
          <w:i/>
          <w:iCs/>
          <w:color w:val="000000"/>
        </w:rPr>
        <w:t>Labroides dimidiatus</w:t>
      </w:r>
      <w:r>
        <w:rPr>
          <w:color w:val="000000"/>
        </w:rPr>
        <w:t xml:space="preserve"> (cleaner wrasse; invertivores) also had higher predicted abundance at fringing reefs (2.29; 95% CrI: [1.99, 2.59]; 100%) and pinnacles (2.27; [1.98, 2.57]; 100%) compared to shipwrecks. </w:t>
      </w:r>
      <w:r>
        <w:rPr>
          <w:i/>
          <w:iCs/>
          <w:color w:val="000000"/>
        </w:rPr>
        <w:t>Epibulus insidiator</w:t>
      </w:r>
      <w:r>
        <w:rPr>
          <w:color w:val="000000"/>
        </w:rPr>
        <w:t xml:space="preserve"> (slingjaw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t xml:space="preserve">4. DISCUSSION </w:t>
      </w:r>
    </w:p>
    <w:p w14:paraId="13AC5AB5" w14:textId="695CD2D2"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similar to pinnacles than found on fringing reefs. By modelling both functional group and </w:t>
      </w:r>
      <w:r w:rsidRPr="00C715CC">
        <w:rPr>
          <w:lang w:val="en-GB"/>
        </w:rPr>
        <w:lastRenderedPageBreak/>
        <w:t>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predators, but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 xml:space="preserve">deployment strategies, and for natural reef conservation to remain a priority in Thailand (Baillie </w:t>
      </w:r>
      <w:r w:rsidR="003C2044">
        <w:rPr>
          <w:lang w:val="en-GB"/>
        </w:rPr>
        <w:t>et al.</w:t>
      </w:r>
      <w:r w:rsidRPr="00C715CC">
        <w:rPr>
          <w:lang w:val="en-GB"/>
        </w:rPr>
        <w:t xml:space="preserve"> 2024; Paxton </w:t>
      </w:r>
      <w:r w:rsidR="003C2044">
        <w:rPr>
          <w:lang w:val="en-GB"/>
        </w:rPr>
        <w:t>et al.</w:t>
      </w:r>
      <w:r w:rsidRPr="00C715CC">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15" w:name="_f60g0u5kmq4" w:colFirst="0" w:colLast="0"/>
      <w:bookmarkEnd w:id="15"/>
      <w:r w:rsidRPr="00C715CC">
        <w:t>4.1. Shipwrecks resemble pinnacles in meso- and higher trophic level predators</w:t>
      </w:r>
    </w:p>
    <w:p w14:paraId="38257FCC" w14:textId="1A0DC041"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13A21">
        <w:rPr>
          <w:lang w:val="en-GB"/>
        </w:rPr>
        <w:t>larger</w:t>
      </w:r>
      <w:r w:rsidRPr="00C715CC">
        <w:rPr>
          <w:lang w:val="en-GB"/>
        </w:rPr>
        <w:t xml:space="preserve"> predators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(Rilov &amp; Benayahu 2000, Galbraith 2021, Galbraith et al. 2023, Cresswell et al. 2023).</w:t>
      </w:r>
      <w:r w:rsidR="001437F9">
        <w:t xml:space="preserve"> </w:t>
      </w:r>
      <w:r w:rsidRPr="00C715CC">
        <w:rPr>
          <w:lang w:val="en-GB"/>
        </w:rPr>
        <w:t>Vertical extent has also 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p>
    <w:p w14:paraId="11A48403" w14:textId="294FBD96" w:rsidR="00C57308" w:rsidRPr="00C715CC" w:rsidRDefault="00000000" w:rsidP="001E279D">
      <w:pPr>
        <w:spacing w:after="240" w:line="480" w:lineRule="auto"/>
        <w:rPr>
          <w:lang w:val="en-GB"/>
        </w:rPr>
      </w:pPr>
      <w:r w:rsidRPr="00C715CC">
        <w:rPr>
          <w:lang w:val="en-GB"/>
        </w:rPr>
        <w:lastRenderedPageBreak/>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Plectropomus, Caranx, </w:t>
      </w:r>
      <w:r w:rsidRPr="00C715CC">
        <w:rPr>
          <w:lang w:val="en-GB"/>
        </w:rPr>
        <w:t xml:space="preserve">and </w:t>
      </w:r>
      <w:r w:rsidRPr="00C715CC">
        <w:rPr>
          <w:i/>
          <w:lang w:val="en-GB"/>
        </w:rPr>
        <w:t xml:space="preserve">Diagramma / Plectorhinchus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potentially providing vital insights into management decision making for artificial reef deployments in the region.</w:t>
      </w:r>
      <w:r w:rsidR="00E13A21">
        <w:rPr>
          <w:lang w:val="en-GB"/>
        </w:rPr>
        <w:t xml:space="preserve"> </w:t>
      </w:r>
    </w:p>
    <w:p w14:paraId="6F6924D4" w14:textId="77777777" w:rsidR="00C57308" w:rsidRPr="00C715CC" w:rsidRDefault="00000000" w:rsidP="00132A98">
      <w:pPr>
        <w:pStyle w:val="Heading2"/>
      </w:pPr>
      <w:bookmarkStart w:id="16" w:name="_8priziyv84wp" w:colFirst="0" w:colLast="0"/>
      <w:bookmarkEnd w:id="16"/>
      <w:r w:rsidRPr="00C715CC">
        <w:t xml:space="preserve">4.2. Divergence in lower trophic guilds </w:t>
      </w:r>
    </w:p>
    <w:p w14:paraId="2FB6CCA2" w14:textId="585F3156" w:rsidR="00C57308" w:rsidRPr="00C715CC" w:rsidRDefault="00000000" w:rsidP="001E279D">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r w:rsidRPr="00C715CC">
        <w:rPr>
          <w:i/>
          <w:lang w:val="en-GB"/>
        </w:rPr>
        <w:t>Pomacanthus</w:t>
      </w:r>
      <w:r w:rsidRPr="00C715CC">
        <w:rPr>
          <w:lang w:val="en-GB"/>
        </w:rPr>
        <w:t xml:space="preserve">, and various labrids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(Mattos &amp; Yeemin 2020, Koeck et al. 2014, Hickman et al. 2024, Schram et al. 2024</w:t>
      </w:r>
      <w:r w:rsidRPr="00C715CC">
        <w:rPr>
          <w:lang w:val="en-GB"/>
        </w:rPr>
        <w:t xml:space="preserve">). Notably, </w:t>
      </w:r>
      <w:r w:rsidRPr="00C715CC">
        <w:rPr>
          <w:i/>
          <w:lang w:val="en-GB"/>
        </w:rPr>
        <w:t>Labroides</w:t>
      </w:r>
      <w:r w:rsidRPr="00C715CC">
        <w:rPr>
          <w:lang w:val="en-GB"/>
        </w:rPr>
        <w:t xml:space="preserve"> and </w:t>
      </w:r>
      <w:r w:rsidRPr="00C715CC">
        <w:rPr>
          <w:i/>
          <w:lang w:val="en-GB"/>
        </w:rPr>
        <w:t>Hemigymnus</w:t>
      </w:r>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 xml:space="preserve">that artificial reefs tend to support distinct </w:t>
      </w:r>
      <w:r w:rsidRPr="00C715CC">
        <w:rPr>
          <w:lang w:val="en-GB"/>
        </w:rPr>
        <w:lastRenderedPageBreak/>
        <w:t>assemblages lacking key functional groups associated with benthic foraging. These patterns suggest a degree of functional divergence from natural reef communities, driven by limitations in habitat complexity and resource availability on artificial structures (</w:t>
      </w:r>
      <w:r w:rsidR="003C2044">
        <w:rPr>
          <w:lang w:val="en-GB"/>
        </w:rPr>
        <w:t>Fowler &amp; Booth</w:t>
      </w:r>
      <w:r w:rsidR="001437F9">
        <w:rPr>
          <w:lang w:val="en-GB"/>
        </w:rPr>
        <w:t xml:space="preserve"> </w:t>
      </w:r>
      <w:r w:rsidRPr="00C715CC">
        <w:rPr>
          <w:lang w:val="en-GB"/>
        </w:rPr>
        <w:t>2012</w:t>
      </w:r>
      <w:r w:rsidR="001437F9">
        <w:rPr>
          <w:lang w:val="en-GB"/>
        </w:rPr>
        <w:t xml:space="preserve">,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S</w:t>
      </w:r>
      <w:r w:rsidRPr="00C715CC">
        <w:rPr>
          <w:lang w:val="en-GB"/>
        </w:rPr>
        <w:t xml:space="preserve">chram </w:t>
      </w:r>
      <w:r w:rsidR="003C2044">
        <w:rPr>
          <w:lang w:val="en-GB"/>
        </w:rPr>
        <w:t>et al.</w:t>
      </w:r>
      <w:r w:rsidRPr="00C715CC">
        <w:rPr>
          <w:lang w:val="en-GB"/>
        </w:rPr>
        <w:t xml:space="preserve"> 2024).</w:t>
      </w:r>
    </w:p>
    <w:p w14:paraId="12D520D2" w14:textId="6023FD64" w:rsidR="00C57308" w:rsidRPr="00C715CC" w:rsidRDefault="00000000" w:rsidP="001E279D">
      <w:pPr>
        <w:spacing w:after="240" w:line="480" w:lineRule="auto"/>
        <w:rPr>
          <w:lang w:val="en-GB"/>
        </w:rPr>
      </w:pPr>
      <w:r w:rsidRPr="00C715CC">
        <w:rPr>
          <w:lang w:val="en-GB"/>
        </w:rPr>
        <w:t>Several ecological and physical constraints likely contribute to this divergence. Structural complexity is likely insufficient to establish shipwrecks as effective ecological analogues of natural reefs; shipwrecks often lack fine-scale refugia, cryptic microhabitats, and turf algal cover needed by benthic feeders (</w:t>
      </w:r>
      <w:r w:rsidR="001437F9" w:rsidRPr="001437F9">
        <w:rPr>
          <w:lang w:val="en-GB"/>
        </w:rPr>
        <w:t>Simon et al. 2013, Koeck et al. 2014, Mattos &amp; Yeemin 2020, Monchanin et al. 2021, Monchanin et al. 2025)</w:t>
      </w:r>
      <w:r w:rsidR="001437F9">
        <w:rPr>
          <w:lang w:val="en-GB"/>
        </w:rPr>
        <w:t xml:space="preserve">, </w:t>
      </w:r>
      <w:r w:rsidRPr="00C715CC">
        <w:rPr>
          <w:lang w:val="en-GB"/>
        </w:rPr>
        <w:t>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658B83A7" w:rsidR="00C57308" w:rsidRPr="00C715CC" w:rsidRDefault="00000000" w:rsidP="001E279D">
      <w:pPr>
        <w:spacing w:after="240"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Siganus javus</w:t>
      </w:r>
      <w:r w:rsidRPr="00C715CC">
        <w:rPr>
          <w:lang w:val="en-GB"/>
        </w:rPr>
        <w:t xml:space="preserve">, are known to exhibit more flexible or planktivorous feeding strategies (Streit </w:t>
      </w:r>
      <w:r w:rsidR="003C2044">
        <w:rPr>
          <w:lang w:val="en-GB"/>
        </w:rPr>
        <w:t>et al.</w:t>
      </w:r>
      <w:r w:rsidRPr="00C715CC">
        <w:rPr>
          <w:lang w:val="en-GB"/>
        </w:rPr>
        <w:t xml:space="preserve"> 2015), potentially allowing persistence on shipwrecks where benthic forage is limited. Their presence on structurally complex artificial reefs has also been reported in other parts of Thailand (</w:t>
      </w:r>
      <w:r w:rsidR="003C2044">
        <w:rPr>
          <w:lang w:val="en-GB"/>
        </w:rPr>
        <w:t>Mattos &amp; Yeemin</w:t>
      </w:r>
      <w:r w:rsidR="001437F9">
        <w:rPr>
          <w:lang w:val="en-GB"/>
        </w:rPr>
        <w:t xml:space="preserve"> </w:t>
      </w:r>
      <w:r w:rsidRPr="00C715CC">
        <w:rPr>
          <w:lang w:val="en-GB"/>
        </w:rPr>
        <w:t xml:space="preserve">2020), suggesting a degree of dietary or habitat plasticity not shared by other herbivorous taxa. Additionally, a dominance of planktivores has </w:t>
      </w:r>
      <w:r w:rsidRPr="00C715CC">
        <w:rPr>
          <w:lang w:val="en-GB"/>
        </w:rPr>
        <w:lastRenderedPageBreak/>
        <w:t xml:space="preserve">been observed on shipwrecks in other regions, including the eastern Mediterranean (Sensurat-Genc </w:t>
      </w:r>
      <w:r w:rsidR="003C2044">
        <w:rPr>
          <w:lang w:val="en-GB"/>
        </w:rPr>
        <w:t>et al.</w:t>
      </w:r>
      <w:r w:rsidRPr="00C715CC">
        <w:rPr>
          <w:lang w:val="en-GB"/>
        </w:rPr>
        <w:t xml:space="preserve">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C715CC" w:rsidRDefault="00000000" w:rsidP="00132A98">
      <w:pPr>
        <w:pStyle w:val="Heading2"/>
      </w:pPr>
      <w:bookmarkStart w:id="17" w:name="_tu4l9qpiadwm" w:colFirst="0" w:colLast="0"/>
      <w:bookmarkEnd w:id="17"/>
      <w:r w:rsidRPr="00C715CC">
        <w:t xml:space="preserve">4.3. Functional limitations of ARs as ecosystem surrogates </w:t>
      </w:r>
    </w:p>
    <w:p w14:paraId="52C027A1" w14:textId="57BE085F" w:rsidR="00C57308" w:rsidRPr="00C715CC"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 Assemblages dominated by predators and lacking 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 xml:space="preserve">communities are thus compositionally novel and shaped by deployment context, structural design, and regional species pools (Folpp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 Coral surveys at the same reef sites included in this study found that communities on artificial structures remain distinct from those on natural reefs, showing partial convergence with pinnacle assemblages over time (Monchanin </w:t>
      </w:r>
      <w:r w:rsidR="003C2044">
        <w:rPr>
          <w:lang w:val="en-GB"/>
        </w:rPr>
        <w:t>et al.</w:t>
      </w:r>
      <w:r w:rsidRPr="00C715CC">
        <w:rPr>
          <w:lang w:val="en-GB"/>
        </w:rPr>
        <w:t xml:space="preserve"> 2021, </w:t>
      </w:r>
      <w:r w:rsidR="001437F9" w:rsidRPr="00C715CC">
        <w:rPr>
          <w:lang w:val="en-GB"/>
        </w:rPr>
        <w:t xml:space="preserve">Monchanin </w:t>
      </w:r>
      <w:r w:rsidR="001437F9">
        <w:rPr>
          <w:lang w:val="en-GB"/>
        </w:rPr>
        <w:t>et al.</w:t>
      </w:r>
      <w:r w:rsidR="001437F9" w:rsidRPr="00C715CC">
        <w:rPr>
          <w:lang w:val="en-GB"/>
        </w:rPr>
        <w:t xml:space="preserve"> </w:t>
      </w:r>
      <w:r w:rsidRPr="00C715CC">
        <w:rPr>
          <w:lang w:val="en-GB"/>
        </w:rPr>
        <w:t xml:space="preserve">2025). While shipwrecks may offer fisheries value and act as de facto refuges under high exploitation pressure as they serve as physical barriers to bottom-trawling practices (Hickman </w:t>
      </w:r>
      <w:r w:rsidR="003C2044">
        <w:rPr>
          <w:lang w:val="en-GB"/>
        </w:rPr>
        <w:t>et al.</w:t>
      </w:r>
      <w:r w:rsidRPr="00C715CC">
        <w:rPr>
          <w:lang w:val="en-GB"/>
        </w:rPr>
        <w:t xml:space="preserve">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 xml:space="preserve">ecological function of natural reefs. These findings underscore the need for </w:t>
      </w:r>
      <w:r w:rsidRPr="00C715CC">
        <w:rPr>
          <w:lang w:val="en-GB"/>
        </w:rPr>
        <w:lastRenderedPageBreak/>
        <w:t>functionally driven reef design and context-aware management goals when deploying artificial structures.</w:t>
      </w:r>
    </w:p>
    <w:p w14:paraId="30BD1CF0" w14:textId="77777777" w:rsidR="00C57308" w:rsidRPr="00C715CC" w:rsidRDefault="00000000" w:rsidP="00132A98">
      <w:pPr>
        <w:pStyle w:val="Heading2"/>
      </w:pPr>
      <w:bookmarkStart w:id="18" w:name="_f110367vqcnr" w:colFirst="0" w:colLast="0"/>
      <w:bookmarkEnd w:id="18"/>
      <w:r w:rsidRPr="00C715CC">
        <w:t xml:space="preserve">4.4. Design and management implications </w:t>
      </w:r>
    </w:p>
    <w:p w14:paraId="620BE7AC" w14:textId="61A6DC4D" w:rsidR="00C57308" w:rsidRPr="00C715CC" w:rsidRDefault="00000000" w:rsidP="001E279D">
      <w:pPr>
        <w:spacing w:before="240" w:after="240" w:line="480" w:lineRule="auto"/>
        <w:rPr>
          <w:lang w:val="en-GB"/>
        </w:rPr>
      </w:pPr>
      <w:r w:rsidRPr="00C715CC">
        <w:rPr>
          <w:lang w:val="en-GB"/>
        </w:rPr>
        <w:t>Recognising these structural and ecological mismatches is essential for guiding the design of artificial reefs that support a broader range of functional groups. Artificial reefs can play a valuable role in 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Structures that offer vertical relief are highly effective at attracting predators, particularly mobile and pelagic species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xml:space="preserve">, </w:t>
      </w:r>
      <w:r w:rsidRPr="00C715CC">
        <w:rPr>
          <w:lang w:val="en-GB"/>
        </w:rPr>
        <w:t xml:space="preserve">Paxton </w:t>
      </w:r>
      <w:r w:rsidR="003C2044">
        <w:rPr>
          <w:lang w:val="en-GB"/>
        </w:rPr>
        <w:t>et al.</w:t>
      </w:r>
      <w:r w:rsidRPr="00C715CC">
        <w:rPr>
          <w:lang w:val="en-GB"/>
        </w:rPr>
        <w:t xml:space="preserve"> 2020b). However, replicating the full ecological breadth of natural reefs requires more than height alone (Monchanin </w:t>
      </w:r>
      <w:r w:rsidR="003C2044">
        <w:rPr>
          <w:lang w:val="en-GB"/>
        </w:rPr>
        <w:t>et al.</w:t>
      </w:r>
      <w:r w:rsidRPr="00C715CC">
        <w:rPr>
          <w:lang w:val="en-GB"/>
        </w:rPr>
        <w:t xml:space="preserve"> 202</w:t>
      </w:r>
      <w:r w:rsidR="001437F9">
        <w:rPr>
          <w:lang w:val="en-GB"/>
        </w:rPr>
        <w:t>1</w:t>
      </w:r>
      <w:r w:rsidRPr="00C715CC">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001437F9">
        <w:rPr>
          <w:lang w:val="en-GB"/>
        </w:rPr>
        <w:t xml:space="preserve">, </w:t>
      </w:r>
      <w:r w:rsidR="001437F9" w:rsidRPr="00C715CC">
        <w:rPr>
          <w:lang w:val="en-GB"/>
        </w:rPr>
        <w:t xml:space="preserve">Monchanin </w:t>
      </w:r>
      <w:r w:rsidR="001437F9">
        <w:rPr>
          <w:lang w:val="en-GB"/>
        </w:rPr>
        <w:t>et al.</w:t>
      </w:r>
      <w:r w:rsidR="001437F9" w:rsidRPr="00C715CC">
        <w:rPr>
          <w:lang w:val="en-GB"/>
        </w:rPr>
        <w:t xml:space="preserve"> </w:t>
      </w:r>
      <w:r w:rsidRPr="00C715CC">
        <w:rPr>
          <w:lang w:val="en-GB"/>
        </w:rPr>
        <w:t>2025). Small grazers and invertivores depend on benthic complexity: fine-scale refugia, branching substrates, crevices, and textured surfaces that support turf algae and invertebrate prey</w:t>
      </w:r>
      <w:r w:rsidR="005A599C">
        <w:rPr>
          <w:lang w:val="en-GB"/>
        </w:rPr>
        <w:t>; features that are often lacking from artificial reef structures</w:t>
      </w:r>
      <w:r w:rsidRPr="00C715CC">
        <w:rPr>
          <w:lang w:val="en-GB"/>
        </w:rPr>
        <w:t xml:space="preserve"> (Koeck </w:t>
      </w:r>
      <w:r w:rsidR="003C2044">
        <w:rPr>
          <w:lang w:val="en-GB"/>
        </w:rPr>
        <w:t>et al.</w:t>
      </w:r>
      <w:r w:rsidRPr="00C715CC">
        <w:rPr>
          <w:lang w:val="en-GB"/>
        </w:rPr>
        <w:t xml:space="preserve"> 2014; </w:t>
      </w:r>
      <w:r w:rsidR="003C2044">
        <w:rPr>
          <w:lang w:val="en-GB"/>
        </w:rPr>
        <w:t>Mattos &amp; Yeemin</w:t>
      </w:r>
      <w:r w:rsidRPr="00C715CC">
        <w:rPr>
          <w:lang w:val="en-GB"/>
        </w:rPr>
        <w:t xml:space="preserve"> 2020). Studies show that modular units and internally complex structures can promote the coloni</w:t>
      </w:r>
      <w:r w:rsidR="009D4853" w:rsidRPr="00C715CC">
        <w:rPr>
          <w:lang w:val="en-GB"/>
        </w:rPr>
        <w:t>s</w:t>
      </w:r>
      <w:r w:rsidRPr="00C715CC">
        <w:rPr>
          <w:lang w:val="en-GB"/>
        </w:rPr>
        <w:t xml:space="preserve">ation of benthic specialists more effectively than uniform concrete blocks or ship hulls </w:t>
      </w:r>
      <w:r w:rsidR="001437F9" w:rsidRPr="001437F9">
        <w:rPr>
          <w:lang w:val="en-GB"/>
        </w:rPr>
        <w:t>(Monchanin et al. 2021, Monchanin et al. 2025, Jaxion-Harm et al. 2018, Baillie et al. 2024)</w:t>
      </w:r>
      <w:r w:rsidR="001437F9">
        <w:rPr>
          <w:lang w:val="en-GB"/>
        </w:rPr>
        <w:t xml:space="preserve">. </w:t>
      </w:r>
      <w:r w:rsidRPr="00C715CC">
        <w:rPr>
          <w:lang w:val="en-GB"/>
        </w:rPr>
        <w:t>Internal cavities and varied surface materials that shipwrecks may lack, can help to improve habitat heterogeneity and support functional diversity in fish assemblages.</w:t>
      </w:r>
    </w:p>
    <w:p w14:paraId="7DC38C12" w14:textId="0E888FC7" w:rsidR="00C57308" w:rsidRPr="00C715CC" w:rsidRDefault="00000000" w:rsidP="001E279D">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influence the foraging efficiency of pelagic </w:t>
      </w:r>
      <w:r w:rsidRPr="00C715CC">
        <w:rPr>
          <w:lang w:val="en-GB"/>
        </w:rPr>
        <w:lastRenderedPageBreak/>
        <w:t xml:space="preserve">feeders and may enhance the persistence of planktivores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 xml:space="preserve">Site context matters as much as structure: while deploying artificial reefs near natural reefs may enhance coral recruitment (Monchanin </w:t>
      </w:r>
      <w:r w:rsidR="003C2044">
        <w:rPr>
          <w:color w:val="000000"/>
        </w:rPr>
        <w:t>et al.</w:t>
      </w:r>
      <w:r w:rsidR="00B90758">
        <w:rPr>
          <w:color w:val="000000"/>
        </w:rPr>
        <w:t xml:space="preserve"> 2021,</w:t>
      </w:r>
      <w:r w:rsidR="001437F9" w:rsidRPr="001437F9">
        <w:rPr>
          <w:color w:val="000000"/>
        </w:rPr>
        <w:t xml:space="preserve"> </w:t>
      </w:r>
      <w:r w:rsidR="001437F9">
        <w:rPr>
          <w:color w:val="000000"/>
        </w:rPr>
        <w:t xml:space="preserve">Monchanin et al. </w:t>
      </w:r>
      <w:r w:rsidR="00B90758">
        <w:rPr>
          <w:color w:val="000000"/>
        </w:rPr>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Allegier 2020; </w:t>
      </w:r>
      <w:r w:rsidRPr="00C715CC">
        <w:rPr>
          <w:lang w:val="en-GB"/>
        </w:rPr>
        <w:t xml:space="preserve">Medeiros </w:t>
      </w:r>
      <w:r w:rsidR="003C2044">
        <w:rPr>
          <w:lang w:val="en-GB"/>
        </w:rPr>
        <w:t>et al.</w:t>
      </w:r>
      <w:r w:rsidRPr="00C715CC">
        <w:rPr>
          <w:lang w:val="en-GB"/>
        </w:rPr>
        <w:t xml:space="preserve"> 2022</w:t>
      </w:r>
      <w:r w:rsidR="001437F9">
        <w:rPr>
          <w:lang w:val="en-GB"/>
        </w:rPr>
        <w:t>,</w:t>
      </w:r>
      <w:r w:rsidR="003C73AD">
        <w:rPr>
          <w:lang w:val="en-GB"/>
        </w:rPr>
        <w:t xml:space="preserve"> Paxton et al. 2023</w:t>
      </w:r>
      <w:r w:rsidRPr="00C715CC">
        <w:rPr>
          <w:lang w:val="en-GB"/>
        </w:rPr>
        <w:t xml:space="preserve">). </w:t>
      </w:r>
      <w:r w:rsidR="003C73AD">
        <w:rPr>
          <w:lang w:val="en-GB"/>
        </w:rPr>
        <w:t xml:space="preserve">This is central to the attractor versus producer hypothesis that is subject to debate in the artificial reef literature (see Paxton et al. 2023 review). </w:t>
      </w:r>
      <w:r w:rsidRPr="00C715CC">
        <w:rPr>
          <w:lang w:val="en-GB"/>
        </w:rPr>
        <w:t>Such displacement can also increase vulnerability to exploitation, particularly when artificial habitats draw fish away from protected areas. However, other studies report limited effects of proximity to natural reefs on fish assemblages at shipwrecks (</w:t>
      </w:r>
      <w:r w:rsidR="000D57B8">
        <w:rPr>
          <w:lang w:val="en-GB"/>
        </w:rPr>
        <w:t>Ross et al. 20</w:t>
      </w:r>
      <w:r w:rsidR="0003772F">
        <w:rPr>
          <w:lang w:val="en-GB"/>
        </w:rPr>
        <w:t>1</w:t>
      </w:r>
      <w:r w:rsidR="000D57B8">
        <w:rPr>
          <w:lang w:val="en-GB"/>
        </w:rPr>
        <w:t xml:space="preserve">6, </w:t>
      </w:r>
      <w:r w:rsidRPr="00C715CC">
        <w:rPr>
          <w:lang w:val="en-GB"/>
        </w:rPr>
        <w:t xml:space="preserve">Sensurat-Genc </w:t>
      </w:r>
      <w:r w:rsidR="003C2044">
        <w:rPr>
          <w:lang w:val="en-GB"/>
        </w:rPr>
        <w:t>et al.</w:t>
      </w:r>
      <w:r w:rsidRPr="00C715CC">
        <w:rPr>
          <w:lang w:val="en-GB"/>
        </w:rPr>
        <w:t xml:space="preserve"> 2022). Even where displacement occurs, it may not be ecologically detrimental in all contexts. In areas with high fishing pressure, shipwrecks can act as de facto marine refuges, supporting greater fish biomass and more structured communities than surrounding trawled zones (Hickman </w:t>
      </w:r>
      <w:r w:rsidR="003C2044">
        <w:rPr>
          <w:lang w:val="en-GB"/>
        </w:rPr>
        <w:t>et al.</w:t>
      </w:r>
      <w:r w:rsidRPr="00C715CC">
        <w:rPr>
          <w:lang w:val="en-GB"/>
        </w:rPr>
        <w:t xml:space="preserve">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76CE7499" w:rsidR="00C57308" w:rsidRPr="00C715CC" w:rsidRDefault="00000000" w:rsidP="001E279D">
      <w:pPr>
        <w:spacing w:before="240" w:after="240" w:line="480" w:lineRule="auto"/>
        <w:rPr>
          <w:lang w:val="en-GB"/>
        </w:rPr>
      </w:pPr>
      <w:r w:rsidRPr="00C715CC">
        <w:rPr>
          <w:lang w:val="en-GB"/>
        </w:rPr>
        <w:t xml:space="preserve">Beyond site-level design, broader management strategies in the Gulf of Thailand should ensure that artificial reefs are paired with natural reef conservation to ensure ecosystem function is maintained. While shipwrecks and similar structures can support fisheries management, particularly with </w:t>
      </w:r>
      <w:r w:rsidR="00E13A21">
        <w:rPr>
          <w:lang w:val="en-GB"/>
        </w:rPr>
        <w:t>larger</w:t>
      </w:r>
      <w:r w:rsidRPr="00C715CC">
        <w:rPr>
          <w:lang w:val="en-GB"/>
        </w:rPr>
        <w:t xml:space="preserve"> predators (Harvey </w:t>
      </w:r>
      <w:r w:rsidR="003C2044">
        <w:rPr>
          <w:lang w:val="en-GB"/>
        </w:rPr>
        <w:t>et al.</w:t>
      </w:r>
      <w:r w:rsidRPr="00C715CC">
        <w:rPr>
          <w:lang w:val="en-GB"/>
        </w:rPr>
        <w:t xml:space="preserve"> 2021), they are not ecological replacements for natural reefs and must be integrated within broader reef management strategies that prioritise </w:t>
      </w:r>
      <w:r w:rsidRPr="00C715CC">
        <w:rPr>
          <w:lang w:val="en-GB"/>
        </w:rPr>
        <w:lastRenderedPageBreak/>
        <w:t>ecosystem conservation (</w:t>
      </w:r>
      <w:r w:rsidR="000D57B8" w:rsidRPr="00C715CC">
        <w:rPr>
          <w:lang w:val="en-GB"/>
        </w:rPr>
        <w:t xml:space="preserve">Streich </w:t>
      </w:r>
      <w:r w:rsidR="000D57B8">
        <w:rPr>
          <w:lang w:val="en-GB"/>
        </w:rPr>
        <w:t>et al.</w:t>
      </w:r>
      <w:r w:rsidR="000D57B8" w:rsidRPr="00C715CC">
        <w:rPr>
          <w:lang w:val="en-GB"/>
        </w:rPr>
        <w:t xml:space="preserve"> 2017</w:t>
      </w:r>
      <w:r w:rsidR="000D57B8">
        <w:rPr>
          <w:lang w:val="en-GB"/>
        </w:rPr>
        <w:t>, S</w:t>
      </w:r>
      <w:r w:rsidRPr="00C715CC">
        <w:rPr>
          <w:lang w:val="en-GB"/>
        </w:rPr>
        <w:t xml:space="preserve">ibley </w:t>
      </w:r>
      <w:r w:rsidR="003C2044">
        <w:rPr>
          <w:lang w:val="en-GB"/>
        </w:rPr>
        <w:t>et al.</w:t>
      </w:r>
      <w:r w:rsidRPr="00C715CC">
        <w:rPr>
          <w:lang w:val="en-GB"/>
        </w:rPr>
        <w:t xml:space="preserve"> 2023). 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 Positioning artificial reefs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r w:rsidR="000D57B8" w:rsidRPr="00C715CC">
        <w:rPr>
          <w:lang w:val="en-GB"/>
        </w:rPr>
        <w:t xml:space="preserve">Folpp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complement conservation goals, but protecting and restoring natural reefs remains essential to sustaining biodiversity and ecosystem resilience in the region. </w:t>
      </w:r>
    </w:p>
    <w:p w14:paraId="52E65AF3" w14:textId="2C8A243E" w:rsidR="00C57308" w:rsidRPr="00C715CC" w:rsidRDefault="00000000" w:rsidP="001E279D">
      <w:pPr>
        <w:spacing w:before="240" w:after="240" w:line="480" w:lineRule="auto"/>
        <w:rPr>
          <w:lang w:val="en-GB"/>
        </w:rPr>
      </w:pPr>
      <w:r w:rsidRPr="00C715CC">
        <w:rPr>
          <w:lang w:val="en-GB"/>
        </w:rPr>
        <w:t>Where this study focused on variance of fish assemblages across natural and artificial reef sites, future research should extend beyond fish to include benthic and fouling communities, which influence habitat development and substrate use over time (</w:t>
      </w:r>
      <w:r w:rsidR="003C2044">
        <w:rPr>
          <w:lang w:val="en-GB"/>
        </w:rPr>
        <w:t>Fowler &amp; Booth</w:t>
      </w:r>
      <w:r w:rsidRPr="00C715CC">
        <w:rPr>
          <w:lang w:val="en-GB"/>
        </w:rPr>
        <w:t xml:space="preserve"> 2012). Long-term monitoring of </w:t>
      </w:r>
      <w:r w:rsidR="009D4853" w:rsidRPr="00C715CC">
        <w:rPr>
          <w:lang w:val="en-GB"/>
        </w:rPr>
        <w:t>colonisation and successional</w:t>
      </w:r>
      <w:r w:rsidRPr="00C715CC">
        <w:rPr>
          <w:lang w:val="en-GB"/>
        </w:rPr>
        <w:t xml:space="preserve"> trajectories as done in Monchanin et al. (2021, 2025) will help capture shifts in community composition and ecosystem function (Folpp </w:t>
      </w:r>
      <w:r w:rsidR="003C2044">
        <w:rPr>
          <w:lang w:val="en-GB"/>
        </w:rPr>
        <w:t>et al.</w:t>
      </w:r>
      <w:r w:rsidRPr="00C715CC">
        <w:rPr>
          <w:lang w:val="en-GB"/>
        </w:rPr>
        <w:t xml:space="preserve"> </w:t>
      </w:r>
      <w:r w:rsidRPr="00C715CC">
        <w:rPr>
          <w:lang w:val="en-GB"/>
        </w:rPr>
        <w:lastRenderedPageBreak/>
        <w:t>2013). Structural comparisons between modular and monolithic designs, particularly with respect to internal complexity, may reveal strategies for enhancing habitat suitability for lower trophic guilds (</w:t>
      </w:r>
      <w:r w:rsidR="003C2044">
        <w:rPr>
          <w:lang w:val="en-GB"/>
        </w:rPr>
        <w:t>Mattos &amp; Yeemin</w:t>
      </w:r>
      <w:r w:rsidRPr="00C715CC">
        <w:rPr>
          <w:lang w:val="en-GB"/>
        </w:rPr>
        <w:t xml:space="preserve"> 2020). 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Overall, this study provides a foundation for evaluating functional </w:t>
      </w:r>
      <w:r w:rsidR="005A599C">
        <w:rPr>
          <w:lang w:val="en-GB"/>
        </w:rPr>
        <w:t xml:space="preserve">performance and </w:t>
      </w:r>
      <w:r w:rsidRPr="00C715CC">
        <w:rPr>
          <w:lang w:val="en-GB"/>
        </w:rPr>
        <w:t>outcomes of artificial reefs. 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rsidP="00132A98">
      <w:pPr>
        <w:pStyle w:val="Heading1"/>
      </w:pPr>
      <w:bookmarkStart w:id="19" w:name="_boey4qhpyqif" w:colFirst="0" w:colLast="0"/>
      <w:bookmarkEnd w:id="19"/>
      <w:r w:rsidRPr="00C715CC">
        <w:t>5. CONCLUSION</w:t>
      </w:r>
    </w:p>
    <w:p w14:paraId="182FDC27" w14:textId="7014C272"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depends on more than high relief and isolation. Designs should incorporate fine-scale complexity to support lower trophic guilds, and site selection should consider hydrodynamics, connectivity, and spatial placement </w:t>
      </w:r>
      <w:r w:rsidRPr="00491E9D">
        <w:lastRenderedPageBreak/>
        <w:t>relative to natural reefs. In Thailand and other tropical regions, high-relief offshore structures may better meet objectives for vulnerable and commercially important species. Artificial reefs can complement, but not replace, the protection and restoration of natural reefs, 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20" w:name="_yk50kyr7wai0" w:colFirst="0" w:colLast="0"/>
      <w:bookmarkEnd w:id="20"/>
      <w:r w:rsidRPr="00C715CC">
        <w:lastRenderedPageBreak/>
        <w:t>6. TABLES</w:t>
      </w:r>
    </w:p>
    <w:p w14:paraId="2A0D94E6" w14:textId="77777777" w:rsidR="00C57308" w:rsidRPr="00C715CC" w:rsidRDefault="00000000">
      <w:pPr>
        <w:rPr>
          <w:lang w:val="en-GB"/>
        </w:rPr>
      </w:pPr>
      <w:r w:rsidRPr="00C715CC">
        <w:rPr>
          <w:lang w:val="en-GB"/>
        </w:rPr>
        <w:t>Table 1  Predicted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r w:rsidRPr="00C715CC">
              <w:rPr>
                <w:b/>
                <w:lang w:val="en-GB"/>
              </w:rPr>
              <w:t>Mesopredator</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3052F777" w:rsidR="00C57308" w:rsidRPr="00C715CC" w:rsidRDefault="00000000" w:rsidP="00564D8C">
      <w:pPr>
        <w:spacing w:before="240" w:line="276" w:lineRule="auto"/>
        <w:rPr>
          <w:lang w:val="en-GB"/>
        </w:rPr>
      </w:pPr>
      <w:r w:rsidRPr="00C715CC">
        <w:rPr>
          <w:lang w:val="en-GB"/>
        </w:rPr>
        <w:t xml:space="preserve">Table 2  </w:t>
      </w:r>
      <w:r w:rsidR="002632BD" w:rsidRPr="00C715CC">
        <w:rPr>
          <w:lang w:val="en-GB"/>
        </w:rPr>
        <w:t xml:space="preserve">Posterior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r w:rsidRPr="00C715CC">
              <w:rPr>
                <w:b/>
                <w:lang w:val="en-GB"/>
              </w:rPr>
              <w:t>Mesopredator</w:t>
            </w:r>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jc w:val="center"/>
              <w:rPr>
                <w:lang w:val="en-GB"/>
              </w:rPr>
            </w:pPr>
            <w:r w:rsidRPr="00C715CC">
              <w:rPr>
                <w:lang w:val="en-GB"/>
              </w:rPr>
              <w:t>0.041</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564D8C">
            <w:pPr>
              <w:jc w:val="right"/>
              <w:rPr>
                <w:lang w:val="en-GB"/>
              </w:rPr>
            </w:pPr>
            <w:r w:rsidRPr="00C715CC">
              <w:rPr>
                <w:lang w:val="en-GB"/>
              </w:rPr>
              <w:t>0.674</w:t>
            </w:r>
          </w:p>
        </w:tc>
        <w:tc>
          <w:tcPr>
            <w:tcW w:w="1753"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564D8C">
            <w:pPr>
              <w:jc w:val="center"/>
              <w:rPr>
                <w:lang w:val="en-GB"/>
              </w:rPr>
            </w:pPr>
            <w:r w:rsidRPr="00C715CC">
              <w:rPr>
                <w:lang w:val="en-GB"/>
              </w:rPr>
              <w:t>[0.122, 1.280]</w:t>
            </w:r>
          </w:p>
        </w:tc>
        <w:tc>
          <w:tcPr>
            <w:tcW w:w="92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564D8C">
            <w:pPr>
              <w:jc w:val="center"/>
              <w:rPr>
                <w:lang w:val="en-GB"/>
              </w:rPr>
            </w:pPr>
            <w:r w:rsidRPr="00C715CC">
              <w:rPr>
                <w:lang w:val="en-GB"/>
              </w:rPr>
              <w:t>0.988</w:t>
            </w:r>
          </w:p>
        </w:tc>
        <w:tc>
          <w:tcPr>
            <w:tcW w:w="92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564D8C">
            <w:pPr>
              <w:jc w:val="center"/>
              <w:rPr>
                <w:lang w:val="en-GB"/>
              </w:rPr>
            </w:pPr>
            <w:r w:rsidRPr="00C715CC">
              <w:rPr>
                <w:lang w:val="en-GB"/>
              </w:rPr>
              <w:t>0.012</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77777777" w:rsidR="00087EAF" w:rsidRPr="00C715CC" w:rsidRDefault="00087EAF" w:rsidP="00564D8C">
            <w:pPr>
              <w:jc w:val="right"/>
              <w:rPr>
                <w:lang w:val="en-GB"/>
              </w:rPr>
            </w:pPr>
            <w:r w:rsidRPr="00C715CC">
              <w:rPr>
                <w:lang w:val="en-GB"/>
              </w:rPr>
              <w:t>0.615</w:t>
            </w:r>
          </w:p>
        </w:tc>
        <w:tc>
          <w:tcPr>
            <w:tcW w:w="1753" w:type="dxa"/>
            <w:tcMar>
              <w:top w:w="100" w:type="dxa"/>
              <w:left w:w="100" w:type="dxa"/>
              <w:bottom w:w="100" w:type="dxa"/>
              <w:right w:w="100" w:type="dxa"/>
            </w:tcMar>
          </w:tcPr>
          <w:p w14:paraId="4F3C35A7" w14:textId="77777777" w:rsidR="00087EAF" w:rsidRPr="00C715CC" w:rsidRDefault="00087EAF" w:rsidP="00564D8C">
            <w:pPr>
              <w:jc w:val="center"/>
              <w:rPr>
                <w:lang w:val="en-GB"/>
              </w:rPr>
            </w:pPr>
            <w:r w:rsidRPr="00C715CC">
              <w:rPr>
                <w:lang w:val="en-GB"/>
              </w:rPr>
              <w:t>[–0.095, 1.320]</w:t>
            </w:r>
          </w:p>
        </w:tc>
        <w:tc>
          <w:tcPr>
            <w:tcW w:w="925" w:type="dxa"/>
            <w:tcMar>
              <w:top w:w="100" w:type="dxa"/>
              <w:left w:w="100" w:type="dxa"/>
              <w:bottom w:w="100" w:type="dxa"/>
              <w:right w:w="100" w:type="dxa"/>
            </w:tcMar>
          </w:tcPr>
          <w:p w14:paraId="53E32BD9" w14:textId="77777777" w:rsidR="00087EAF" w:rsidRPr="00C715CC" w:rsidRDefault="00087EAF" w:rsidP="00564D8C">
            <w:pPr>
              <w:jc w:val="center"/>
              <w:rPr>
                <w:lang w:val="en-GB"/>
              </w:rPr>
            </w:pPr>
            <w:r w:rsidRPr="00C715CC">
              <w:rPr>
                <w:lang w:val="en-GB"/>
              </w:rPr>
              <w:t>0.958</w:t>
            </w:r>
          </w:p>
        </w:tc>
        <w:tc>
          <w:tcPr>
            <w:tcW w:w="925" w:type="dxa"/>
            <w:tcMar>
              <w:top w:w="100" w:type="dxa"/>
              <w:left w:w="100" w:type="dxa"/>
              <w:bottom w:w="100" w:type="dxa"/>
              <w:right w:w="100" w:type="dxa"/>
            </w:tcMar>
          </w:tcPr>
          <w:p w14:paraId="4D15F80D" w14:textId="77777777" w:rsidR="00087EAF" w:rsidRPr="00C715CC" w:rsidRDefault="00087EAF" w:rsidP="00564D8C">
            <w:pPr>
              <w:jc w:val="center"/>
              <w:rPr>
                <w:lang w:val="en-GB"/>
              </w:rPr>
            </w:pPr>
            <w:r w:rsidRPr="00C715CC">
              <w:rPr>
                <w:lang w:val="en-GB"/>
              </w:rPr>
              <w:t>0.042</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77777777" w:rsidR="00087EAF" w:rsidRPr="00C715CC" w:rsidRDefault="00087EAF" w:rsidP="00564D8C">
            <w:pPr>
              <w:jc w:val="right"/>
              <w:rPr>
                <w:lang w:val="en-GB"/>
              </w:rPr>
            </w:pPr>
            <w:r w:rsidRPr="00C715CC">
              <w:rPr>
                <w:lang w:val="en-GB"/>
              </w:rPr>
              <w:t>–0.066</w:t>
            </w:r>
          </w:p>
        </w:tc>
        <w:tc>
          <w:tcPr>
            <w:tcW w:w="1753" w:type="dxa"/>
            <w:tcMar>
              <w:top w:w="100" w:type="dxa"/>
              <w:left w:w="100" w:type="dxa"/>
              <w:bottom w:w="100" w:type="dxa"/>
              <w:right w:w="100" w:type="dxa"/>
            </w:tcMar>
          </w:tcPr>
          <w:p w14:paraId="41F48342" w14:textId="77777777" w:rsidR="00087EAF" w:rsidRPr="00C715CC" w:rsidRDefault="00087EAF" w:rsidP="00564D8C">
            <w:pPr>
              <w:jc w:val="center"/>
              <w:rPr>
                <w:lang w:val="en-GB"/>
              </w:rPr>
            </w:pPr>
            <w:r w:rsidRPr="00C715CC">
              <w:rPr>
                <w:lang w:val="en-GB"/>
              </w:rPr>
              <w:t>[–0.662, 0.505]</w:t>
            </w:r>
          </w:p>
        </w:tc>
        <w:tc>
          <w:tcPr>
            <w:tcW w:w="925" w:type="dxa"/>
            <w:tcMar>
              <w:top w:w="100" w:type="dxa"/>
              <w:left w:w="100" w:type="dxa"/>
              <w:bottom w:w="100" w:type="dxa"/>
              <w:right w:w="100" w:type="dxa"/>
            </w:tcMar>
          </w:tcPr>
          <w:p w14:paraId="5C5C4275" w14:textId="77777777" w:rsidR="00087EAF" w:rsidRPr="00C715CC" w:rsidRDefault="00087EAF" w:rsidP="00564D8C">
            <w:pPr>
              <w:jc w:val="center"/>
              <w:rPr>
                <w:lang w:val="en-GB"/>
              </w:rPr>
            </w:pPr>
            <w:r w:rsidRPr="00C715CC">
              <w:rPr>
                <w:lang w:val="en-GB"/>
              </w:rPr>
              <w:t>0.404</w:t>
            </w:r>
          </w:p>
        </w:tc>
        <w:tc>
          <w:tcPr>
            <w:tcW w:w="925" w:type="dxa"/>
            <w:tcMar>
              <w:top w:w="100" w:type="dxa"/>
              <w:left w:w="100" w:type="dxa"/>
              <w:bottom w:w="100" w:type="dxa"/>
              <w:right w:w="100" w:type="dxa"/>
            </w:tcMar>
          </w:tcPr>
          <w:p w14:paraId="5A6E6748" w14:textId="77777777" w:rsidR="00087EAF" w:rsidRPr="00C715CC" w:rsidRDefault="00087EAF" w:rsidP="00564D8C">
            <w:pPr>
              <w:jc w:val="center"/>
              <w:rPr>
                <w:lang w:val="en-GB"/>
              </w:rPr>
            </w:pPr>
            <w:r w:rsidRPr="00C715CC">
              <w:rPr>
                <w:lang w:val="en-GB"/>
              </w:rPr>
              <w:t>0.596</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77777777" w:rsidR="00087EAF" w:rsidRPr="00C715CC" w:rsidRDefault="00087EAF" w:rsidP="00564D8C">
            <w:pPr>
              <w:jc w:val="right"/>
              <w:rPr>
                <w:lang w:val="en-GB"/>
              </w:rPr>
            </w:pPr>
            <w:r w:rsidRPr="00C715CC">
              <w:rPr>
                <w:lang w:val="en-GB"/>
              </w:rPr>
              <w:t>0.670</w:t>
            </w:r>
          </w:p>
        </w:tc>
        <w:tc>
          <w:tcPr>
            <w:tcW w:w="1753" w:type="dxa"/>
            <w:tcMar>
              <w:top w:w="100" w:type="dxa"/>
              <w:left w:w="100" w:type="dxa"/>
              <w:bottom w:w="100" w:type="dxa"/>
              <w:right w:w="100" w:type="dxa"/>
            </w:tcMar>
          </w:tcPr>
          <w:p w14:paraId="077A3AE4" w14:textId="77777777" w:rsidR="00087EAF" w:rsidRPr="00C715CC" w:rsidRDefault="00087EAF" w:rsidP="00564D8C">
            <w:pPr>
              <w:jc w:val="center"/>
              <w:rPr>
                <w:lang w:val="en-GB"/>
              </w:rPr>
            </w:pPr>
            <w:r w:rsidRPr="00C715CC">
              <w:rPr>
                <w:lang w:val="en-GB"/>
              </w:rPr>
              <w:t>[–0.083, 1.440]</w:t>
            </w:r>
          </w:p>
        </w:tc>
        <w:tc>
          <w:tcPr>
            <w:tcW w:w="925" w:type="dxa"/>
            <w:tcMar>
              <w:top w:w="100" w:type="dxa"/>
              <w:left w:w="100" w:type="dxa"/>
              <w:bottom w:w="100" w:type="dxa"/>
              <w:right w:w="100" w:type="dxa"/>
            </w:tcMar>
          </w:tcPr>
          <w:p w14:paraId="77320342" w14:textId="77777777" w:rsidR="00087EAF" w:rsidRPr="00C715CC" w:rsidRDefault="00087EAF" w:rsidP="00564D8C">
            <w:pPr>
              <w:jc w:val="center"/>
              <w:rPr>
                <w:lang w:val="en-GB"/>
              </w:rPr>
            </w:pPr>
            <w:r w:rsidRPr="00C715CC">
              <w:rPr>
                <w:lang w:val="en-GB"/>
              </w:rPr>
              <w:t>0.964</w:t>
            </w:r>
          </w:p>
        </w:tc>
        <w:tc>
          <w:tcPr>
            <w:tcW w:w="925" w:type="dxa"/>
            <w:tcMar>
              <w:top w:w="100" w:type="dxa"/>
              <w:left w:w="100" w:type="dxa"/>
              <w:bottom w:w="100" w:type="dxa"/>
              <w:right w:w="100" w:type="dxa"/>
            </w:tcMar>
          </w:tcPr>
          <w:p w14:paraId="54B3F14A" w14:textId="77777777" w:rsidR="00087EAF" w:rsidRPr="00C715CC" w:rsidRDefault="00087EAF" w:rsidP="00564D8C">
            <w:pPr>
              <w:jc w:val="center"/>
              <w:rPr>
                <w:lang w:val="en-GB"/>
              </w:rPr>
            </w:pPr>
            <w:r w:rsidRPr="00C715CC">
              <w:rPr>
                <w:lang w:val="en-GB"/>
              </w:rPr>
              <w:t>0.036</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77777777" w:rsidR="00087EAF" w:rsidRPr="00C715CC" w:rsidRDefault="00087EAF" w:rsidP="00564D8C">
            <w:pPr>
              <w:jc w:val="right"/>
              <w:rPr>
                <w:lang w:val="en-GB"/>
              </w:rPr>
            </w:pPr>
            <w:r w:rsidRPr="00C715CC">
              <w:rPr>
                <w:lang w:val="en-GB"/>
              </w:rPr>
              <w:t>0.119</w:t>
            </w:r>
          </w:p>
        </w:tc>
        <w:tc>
          <w:tcPr>
            <w:tcW w:w="1753" w:type="dxa"/>
            <w:tcMar>
              <w:top w:w="100" w:type="dxa"/>
              <w:left w:w="100" w:type="dxa"/>
              <w:bottom w:w="100" w:type="dxa"/>
              <w:right w:w="100" w:type="dxa"/>
            </w:tcMar>
          </w:tcPr>
          <w:p w14:paraId="0D9B9E50" w14:textId="77777777" w:rsidR="00087EAF" w:rsidRPr="00C715CC" w:rsidRDefault="00087EAF" w:rsidP="00564D8C">
            <w:pPr>
              <w:jc w:val="center"/>
              <w:rPr>
                <w:lang w:val="en-GB"/>
              </w:rPr>
            </w:pPr>
            <w:r w:rsidRPr="00C715CC">
              <w:rPr>
                <w:lang w:val="en-GB"/>
              </w:rPr>
              <w:t>[–0.770, 1.050]</w:t>
            </w:r>
          </w:p>
        </w:tc>
        <w:tc>
          <w:tcPr>
            <w:tcW w:w="925" w:type="dxa"/>
            <w:tcMar>
              <w:top w:w="100" w:type="dxa"/>
              <w:left w:w="100" w:type="dxa"/>
              <w:bottom w:w="100" w:type="dxa"/>
              <w:right w:w="100" w:type="dxa"/>
            </w:tcMar>
          </w:tcPr>
          <w:p w14:paraId="26151E42" w14:textId="77777777" w:rsidR="00087EAF" w:rsidRPr="00C715CC" w:rsidRDefault="00087EAF" w:rsidP="00564D8C">
            <w:pPr>
              <w:jc w:val="center"/>
              <w:rPr>
                <w:lang w:val="en-GB"/>
              </w:rPr>
            </w:pPr>
            <w:r w:rsidRPr="00C715CC">
              <w:rPr>
                <w:lang w:val="en-GB"/>
              </w:rPr>
              <w:t>0.606</w:t>
            </w:r>
          </w:p>
        </w:tc>
        <w:tc>
          <w:tcPr>
            <w:tcW w:w="925" w:type="dxa"/>
            <w:tcMar>
              <w:top w:w="100" w:type="dxa"/>
              <w:left w:w="100" w:type="dxa"/>
              <w:bottom w:w="100" w:type="dxa"/>
              <w:right w:w="100" w:type="dxa"/>
            </w:tcMar>
          </w:tcPr>
          <w:p w14:paraId="1336907D" w14:textId="77777777" w:rsidR="00087EAF" w:rsidRPr="00C715CC" w:rsidRDefault="00087EAF" w:rsidP="00564D8C">
            <w:pPr>
              <w:jc w:val="center"/>
              <w:rPr>
                <w:lang w:val="en-GB"/>
              </w:rPr>
            </w:pPr>
            <w:r w:rsidRPr="00C715CC">
              <w:rPr>
                <w:lang w:val="en-GB"/>
              </w:rPr>
              <w:t>0.394</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77777777" w:rsidR="00087EAF" w:rsidRPr="00C715CC" w:rsidRDefault="00087EAF" w:rsidP="00564D8C">
            <w:pPr>
              <w:jc w:val="right"/>
              <w:rPr>
                <w:lang w:val="en-GB"/>
              </w:rPr>
            </w:pPr>
            <w:r w:rsidRPr="00C715CC">
              <w:rPr>
                <w:lang w:val="en-GB"/>
              </w:rPr>
              <w:t>–0.553</w:t>
            </w:r>
          </w:p>
        </w:tc>
        <w:tc>
          <w:tcPr>
            <w:tcW w:w="1753" w:type="dxa"/>
            <w:tcMar>
              <w:top w:w="100" w:type="dxa"/>
              <w:left w:w="100" w:type="dxa"/>
              <w:bottom w:w="100" w:type="dxa"/>
              <w:right w:w="100" w:type="dxa"/>
            </w:tcMar>
          </w:tcPr>
          <w:p w14:paraId="393DABA2" w14:textId="77777777" w:rsidR="00087EAF" w:rsidRPr="00C715CC" w:rsidRDefault="00087EAF" w:rsidP="00564D8C">
            <w:pPr>
              <w:jc w:val="center"/>
              <w:rPr>
                <w:lang w:val="en-GB"/>
              </w:rPr>
            </w:pPr>
            <w:r w:rsidRPr="00C715CC">
              <w:rPr>
                <w:lang w:val="en-GB"/>
              </w:rPr>
              <w:t>[–1.290, 0.190]</w:t>
            </w:r>
          </w:p>
        </w:tc>
        <w:tc>
          <w:tcPr>
            <w:tcW w:w="925" w:type="dxa"/>
            <w:tcMar>
              <w:top w:w="100" w:type="dxa"/>
              <w:left w:w="100" w:type="dxa"/>
              <w:bottom w:w="100" w:type="dxa"/>
              <w:right w:w="100" w:type="dxa"/>
            </w:tcMar>
          </w:tcPr>
          <w:p w14:paraId="0DEE2FCF" w14:textId="77777777" w:rsidR="00087EAF" w:rsidRPr="00C715CC" w:rsidRDefault="00087EAF" w:rsidP="00564D8C">
            <w:pPr>
              <w:jc w:val="center"/>
              <w:rPr>
                <w:lang w:val="en-GB"/>
              </w:rPr>
            </w:pPr>
            <w:r w:rsidRPr="00C715CC">
              <w:rPr>
                <w:lang w:val="en-GB"/>
              </w:rPr>
              <w:t>0.063</w:t>
            </w:r>
          </w:p>
        </w:tc>
        <w:tc>
          <w:tcPr>
            <w:tcW w:w="925" w:type="dxa"/>
            <w:tcMar>
              <w:top w:w="100" w:type="dxa"/>
              <w:left w:w="100" w:type="dxa"/>
              <w:bottom w:w="100" w:type="dxa"/>
              <w:right w:w="100" w:type="dxa"/>
            </w:tcMar>
          </w:tcPr>
          <w:p w14:paraId="05ACD665" w14:textId="77777777" w:rsidR="00087EAF" w:rsidRPr="00C715CC" w:rsidRDefault="00087EAF" w:rsidP="00564D8C">
            <w:pPr>
              <w:jc w:val="center"/>
              <w:rPr>
                <w:lang w:val="en-GB"/>
              </w:rPr>
            </w:pPr>
            <w:r w:rsidRPr="00C715CC">
              <w:rPr>
                <w:lang w:val="en-GB"/>
              </w:rPr>
              <w:t>0.937</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r w:rsidRPr="00C715CC">
              <w:rPr>
                <w:b/>
                <w:lang w:val="en-GB"/>
              </w:rPr>
              <w:t>Mesopredator</w:t>
            </w:r>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77777777" w:rsidR="00087EAF" w:rsidRPr="00C715CC" w:rsidRDefault="00087EAF" w:rsidP="00564D8C">
            <w:pPr>
              <w:jc w:val="right"/>
              <w:rPr>
                <w:lang w:val="en-GB"/>
              </w:rPr>
            </w:pPr>
            <w:r w:rsidRPr="00C715CC">
              <w:rPr>
                <w:lang w:val="en-GB"/>
              </w:rPr>
              <w:t>0.843</w:t>
            </w:r>
          </w:p>
        </w:tc>
        <w:tc>
          <w:tcPr>
            <w:tcW w:w="1753" w:type="dxa"/>
            <w:tcMar>
              <w:top w:w="100" w:type="dxa"/>
              <w:left w:w="100" w:type="dxa"/>
              <w:bottom w:w="100" w:type="dxa"/>
              <w:right w:w="100" w:type="dxa"/>
            </w:tcMar>
          </w:tcPr>
          <w:p w14:paraId="519CEFC9" w14:textId="77777777" w:rsidR="00087EAF" w:rsidRPr="00C715CC" w:rsidRDefault="00087EAF" w:rsidP="00564D8C">
            <w:pPr>
              <w:jc w:val="center"/>
              <w:rPr>
                <w:lang w:val="en-GB"/>
              </w:rPr>
            </w:pPr>
            <w:r w:rsidRPr="00C715CC">
              <w:rPr>
                <w:lang w:val="en-GB"/>
              </w:rPr>
              <w:t>[–0.679, 2.290]</w:t>
            </w:r>
          </w:p>
        </w:tc>
        <w:tc>
          <w:tcPr>
            <w:tcW w:w="925" w:type="dxa"/>
            <w:tcMar>
              <w:top w:w="100" w:type="dxa"/>
              <w:left w:w="100" w:type="dxa"/>
              <w:bottom w:w="100" w:type="dxa"/>
              <w:right w:w="100" w:type="dxa"/>
            </w:tcMar>
          </w:tcPr>
          <w:p w14:paraId="0CA7D23B" w14:textId="77777777" w:rsidR="00087EAF" w:rsidRPr="00C715CC" w:rsidRDefault="00087EAF" w:rsidP="00564D8C">
            <w:pPr>
              <w:jc w:val="center"/>
              <w:rPr>
                <w:lang w:val="en-GB"/>
              </w:rPr>
            </w:pPr>
            <w:r w:rsidRPr="00C715CC">
              <w:rPr>
                <w:lang w:val="en-GB"/>
              </w:rPr>
              <w:t>0.878</w:t>
            </w:r>
          </w:p>
        </w:tc>
        <w:tc>
          <w:tcPr>
            <w:tcW w:w="925" w:type="dxa"/>
            <w:tcMar>
              <w:top w:w="100" w:type="dxa"/>
              <w:left w:w="100" w:type="dxa"/>
              <w:bottom w:w="100" w:type="dxa"/>
              <w:right w:w="100" w:type="dxa"/>
            </w:tcMar>
          </w:tcPr>
          <w:p w14:paraId="1D38EBFD" w14:textId="77777777" w:rsidR="00087EAF" w:rsidRPr="00C715CC" w:rsidRDefault="00087EAF" w:rsidP="00564D8C">
            <w:pPr>
              <w:jc w:val="center"/>
              <w:rPr>
                <w:lang w:val="en-GB"/>
              </w:rPr>
            </w:pPr>
            <w:r w:rsidRPr="00C715CC">
              <w:rPr>
                <w:lang w:val="en-GB"/>
              </w:rPr>
              <w:t>0.122</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7777777" w:rsidR="00087EAF" w:rsidRPr="00C715CC" w:rsidRDefault="00087EAF" w:rsidP="00564D8C">
            <w:pPr>
              <w:jc w:val="right"/>
              <w:rPr>
                <w:lang w:val="en-GB"/>
              </w:rPr>
            </w:pPr>
            <w:r w:rsidRPr="00C715CC">
              <w:rPr>
                <w:lang w:val="en-GB"/>
              </w:rPr>
              <w:t>0.675</w:t>
            </w:r>
          </w:p>
        </w:tc>
        <w:tc>
          <w:tcPr>
            <w:tcW w:w="1753" w:type="dxa"/>
            <w:tcMar>
              <w:top w:w="100" w:type="dxa"/>
              <w:left w:w="100" w:type="dxa"/>
              <w:bottom w:w="100" w:type="dxa"/>
              <w:right w:w="100" w:type="dxa"/>
            </w:tcMar>
          </w:tcPr>
          <w:p w14:paraId="21BAABE6" w14:textId="77777777" w:rsidR="00087EAF" w:rsidRPr="00C715CC" w:rsidRDefault="00087EAF" w:rsidP="00564D8C">
            <w:pPr>
              <w:jc w:val="center"/>
              <w:rPr>
                <w:lang w:val="en-GB"/>
              </w:rPr>
            </w:pPr>
            <w:r w:rsidRPr="00C715CC">
              <w:rPr>
                <w:lang w:val="en-GB"/>
              </w:rPr>
              <w:t>[–1.170, 2.490]</w:t>
            </w:r>
          </w:p>
        </w:tc>
        <w:tc>
          <w:tcPr>
            <w:tcW w:w="925" w:type="dxa"/>
            <w:tcMar>
              <w:top w:w="100" w:type="dxa"/>
              <w:left w:w="100" w:type="dxa"/>
              <w:bottom w:w="100" w:type="dxa"/>
              <w:right w:w="100" w:type="dxa"/>
            </w:tcMar>
          </w:tcPr>
          <w:p w14:paraId="11615293" w14:textId="77777777" w:rsidR="00087EAF" w:rsidRPr="00C715CC" w:rsidRDefault="00087EAF" w:rsidP="00564D8C">
            <w:pPr>
              <w:jc w:val="center"/>
              <w:rPr>
                <w:lang w:val="en-GB"/>
              </w:rPr>
            </w:pPr>
            <w:r w:rsidRPr="00C715CC">
              <w:rPr>
                <w:lang w:val="en-GB"/>
              </w:rPr>
              <w:t>0.782</w:t>
            </w:r>
          </w:p>
        </w:tc>
        <w:tc>
          <w:tcPr>
            <w:tcW w:w="925" w:type="dxa"/>
            <w:tcMar>
              <w:top w:w="100" w:type="dxa"/>
              <w:left w:w="100" w:type="dxa"/>
              <w:bottom w:w="100" w:type="dxa"/>
              <w:right w:w="100" w:type="dxa"/>
            </w:tcMar>
          </w:tcPr>
          <w:p w14:paraId="5DA997D5" w14:textId="77777777" w:rsidR="00087EAF" w:rsidRPr="00C715CC" w:rsidRDefault="00087EAF" w:rsidP="00564D8C">
            <w:pPr>
              <w:jc w:val="center"/>
              <w:rPr>
                <w:lang w:val="en-GB"/>
              </w:rPr>
            </w:pPr>
            <w:r w:rsidRPr="00C715CC">
              <w:rPr>
                <w:lang w:val="en-GB"/>
              </w:rPr>
              <w:t>0.218</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7777777" w:rsidR="00087EAF" w:rsidRPr="00C715CC" w:rsidRDefault="00087EAF" w:rsidP="00564D8C">
            <w:pPr>
              <w:jc w:val="right"/>
              <w:rPr>
                <w:lang w:val="en-GB"/>
              </w:rPr>
            </w:pPr>
            <w:r w:rsidRPr="00C715CC">
              <w:rPr>
                <w:lang w:val="en-GB"/>
              </w:rPr>
              <w:t>–0.163</w:t>
            </w:r>
          </w:p>
        </w:tc>
        <w:tc>
          <w:tcPr>
            <w:tcW w:w="1753" w:type="dxa"/>
            <w:tcMar>
              <w:top w:w="100" w:type="dxa"/>
              <w:left w:w="100" w:type="dxa"/>
              <w:bottom w:w="100" w:type="dxa"/>
              <w:right w:w="100" w:type="dxa"/>
            </w:tcMar>
          </w:tcPr>
          <w:p w14:paraId="0FDF54A3" w14:textId="77777777" w:rsidR="00087EAF" w:rsidRPr="00C715CC" w:rsidRDefault="00087EAF" w:rsidP="00564D8C">
            <w:pPr>
              <w:jc w:val="center"/>
              <w:rPr>
                <w:lang w:val="en-GB"/>
              </w:rPr>
            </w:pPr>
            <w:r w:rsidRPr="00C715CC">
              <w:rPr>
                <w:lang w:val="en-GB"/>
              </w:rPr>
              <w:t>[–1.650, 1.340]</w:t>
            </w:r>
          </w:p>
        </w:tc>
        <w:tc>
          <w:tcPr>
            <w:tcW w:w="925" w:type="dxa"/>
            <w:tcMar>
              <w:top w:w="100" w:type="dxa"/>
              <w:left w:w="100" w:type="dxa"/>
              <w:bottom w:w="100" w:type="dxa"/>
              <w:right w:w="100" w:type="dxa"/>
            </w:tcMar>
          </w:tcPr>
          <w:p w14:paraId="05BEB960" w14:textId="77777777" w:rsidR="00087EAF" w:rsidRPr="00C715CC" w:rsidRDefault="00087EAF" w:rsidP="00564D8C">
            <w:pPr>
              <w:jc w:val="center"/>
              <w:rPr>
                <w:lang w:val="en-GB"/>
              </w:rPr>
            </w:pPr>
            <w:r w:rsidRPr="00C715CC">
              <w:rPr>
                <w:lang w:val="en-GB"/>
              </w:rPr>
              <w:t>0.408</w:t>
            </w:r>
          </w:p>
        </w:tc>
        <w:tc>
          <w:tcPr>
            <w:tcW w:w="925" w:type="dxa"/>
            <w:tcMar>
              <w:top w:w="100" w:type="dxa"/>
              <w:left w:w="100" w:type="dxa"/>
              <w:bottom w:w="100" w:type="dxa"/>
              <w:right w:w="100" w:type="dxa"/>
            </w:tcMar>
          </w:tcPr>
          <w:p w14:paraId="00DA4848" w14:textId="77777777" w:rsidR="00087EAF" w:rsidRPr="00C715CC" w:rsidRDefault="00087EAF" w:rsidP="00564D8C">
            <w:pPr>
              <w:jc w:val="center"/>
              <w:rPr>
                <w:lang w:val="en-GB"/>
              </w:rPr>
            </w:pPr>
            <w:r w:rsidRPr="00C715CC">
              <w:rPr>
                <w:lang w:val="en-GB"/>
              </w:rPr>
              <w:t>0.592</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77777777" w:rsidR="00087EAF" w:rsidRPr="00C715CC" w:rsidRDefault="00087EAF" w:rsidP="00564D8C">
            <w:pPr>
              <w:jc w:val="right"/>
              <w:rPr>
                <w:lang w:val="en-GB"/>
              </w:rPr>
            </w:pPr>
            <w:r w:rsidRPr="00C715CC">
              <w:rPr>
                <w:lang w:val="en-GB"/>
              </w:rPr>
              <w:t>–0.499</w:t>
            </w:r>
          </w:p>
        </w:tc>
        <w:tc>
          <w:tcPr>
            <w:tcW w:w="1753" w:type="dxa"/>
            <w:tcMar>
              <w:top w:w="100" w:type="dxa"/>
              <w:left w:w="100" w:type="dxa"/>
              <w:bottom w:w="100" w:type="dxa"/>
              <w:right w:w="100" w:type="dxa"/>
            </w:tcMar>
          </w:tcPr>
          <w:p w14:paraId="57AA616E" w14:textId="77777777" w:rsidR="00087EAF" w:rsidRPr="00C715CC" w:rsidRDefault="00087EAF" w:rsidP="00564D8C">
            <w:pPr>
              <w:jc w:val="center"/>
              <w:rPr>
                <w:lang w:val="en-GB"/>
              </w:rPr>
            </w:pPr>
            <w:r w:rsidRPr="00C715CC">
              <w:rPr>
                <w:lang w:val="en-GB"/>
              </w:rPr>
              <w:t>[–1.740, 0.773]</w:t>
            </w:r>
          </w:p>
        </w:tc>
        <w:tc>
          <w:tcPr>
            <w:tcW w:w="925" w:type="dxa"/>
            <w:tcMar>
              <w:top w:w="100" w:type="dxa"/>
              <w:left w:w="100" w:type="dxa"/>
              <w:bottom w:w="100" w:type="dxa"/>
              <w:right w:w="100" w:type="dxa"/>
            </w:tcMar>
          </w:tcPr>
          <w:p w14:paraId="3E68ACBA" w14:textId="77777777" w:rsidR="00087EAF" w:rsidRPr="00C715CC" w:rsidRDefault="00087EAF" w:rsidP="00564D8C">
            <w:pPr>
              <w:jc w:val="center"/>
              <w:rPr>
                <w:lang w:val="en-GB"/>
              </w:rPr>
            </w:pPr>
            <w:r w:rsidRPr="00C715CC">
              <w:rPr>
                <w:lang w:val="en-GB"/>
              </w:rPr>
              <w:t>0.200</w:t>
            </w:r>
          </w:p>
        </w:tc>
        <w:tc>
          <w:tcPr>
            <w:tcW w:w="925" w:type="dxa"/>
            <w:tcMar>
              <w:top w:w="100" w:type="dxa"/>
              <w:left w:w="100" w:type="dxa"/>
              <w:bottom w:w="100" w:type="dxa"/>
              <w:right w:w="100" w:type="dxa"/>
            </w:tcMar>
          </w:tcPr>
          <w:p w14:paraId="50B72766" w14:textId="77777777" w:rsidR="00087EAF" w:rsidRPr="00C715CC" w:rsidRDefault="00087EAF" w:rsidP="00564D8C">
            <w:pPr>
              <w:jc w:val="center"/>
              <w:rPr>
                <w:lang w:val="en-GB"/>
              </w:rPr>
            </w:pPr>
            <w:r w:rsidRPr="00C715CC">
              <w:rPr>
                <w:lang w:val="en-GB"/>
              </w:rPr>
              <w:t>0.800</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77777777" w:rsidR="00087EAF" w:rsidRPr="00C715CC" w:rsidRDefault="00087EAF" w:rsidP="00564D8C">
            <w:pPr>
              <w:jc w:val="right"/>
              <w:rPr>
                <w:lang w:val="en-GB"/>
              </w:rPr>
            </w:pPr>
            <w:r w:rsidRPr="00C715CC">
              <w:rPr>
                <w:lang w:val="en-GB"/>
              </w:rPr>
              <w:t>0.069</w:t>
            </w:r>
          </w:p>
        </w:tc>
        <w:tc>
          <w:tcPr>
            <w:tcW w:w="1753" w:type="dxa"/>
            <w:tcMar>
              <w:top w:w="100" w:type="dxa"/>
              <w:left w:w="100" w:type="dxa"/>
              <w:bottom w:w="100" w:type="dxa"/>
              <w:right w:w="100" w:type="dxa"/>
            </w:tcMar>
          </w:tcPr>
          <w:p w14:paraId="35DCA3B5" w14:textId="77777777" w:rsidR="00087EAF" w:rsidRPr="00C715CC" w:rsidRDefault="00087EAF" w:rsidP="00564D8C">
            <w:pPr>
              <w:jc w:val="center"/>
              <w:rPr>
                <w:lang w:val="en-GB"/>
              </w:rPr>
            </w:pPr>
            <w:r w:rsidRPr="00C715CC">
              <w:rPr>
                <w:lang w:val="en-GB"/>
              </w:rPr>
              <w:t>[–1.450, 1.600]</w:t>
            </w:r>
          </w:p>
        </w:tc>
        <w:tc>
          <w:tcPr>
            <w:tcW w:w="925" w:type="dxa"/>
            <w:tcMar>
              <w:top w:w="100" w:type="dxa"/>
              <w:left w:w="100" w:type="dxa"/>
              <w:bottom w:w="100" w:type="dxa"/>
              <w:right w:w="100" w:type="dxa"/>
            </w:tcMar>
          </w:tcPr>
          <w:p w14:paraId="6C81329D" w14:textId="77777777" w:rsidR="00087EAF" w:rsidRPr="00C715CC" w:rsidRDefault="00087EAF" w:rsidP="00564D8C">
            <w:pPr>
              <w:jc w:val="center"/>
              <w:rPr>
                <w:lang w:val="en-GB"/>
              </w:rPr>
            </w:pPr>
            <w:r w:rsidRPr="00C715CC">
              <w:rPr>
                <w:lang w:val="en-GB"/>
              </w:rPr>
              <w:t>0.539</w:t>
            </w:r>
          </w:p>
        </w:tc>
        <w:tc>
          <w:tcPr>
            <w:tcW w:w="925" w:type="dxa"/>
            <w:tcMar>
              <w:top w:w="100" w:type="dxa"/>
              <w:left w:w="100" w:type="dxa"/>
              <w:bottom w:w="100" w:type="dxa"/>
              <w:right w:w="100" w:type="dxa"/>
            </w:tcMar>
          </w:tcPr>
          <w:p w14:paraId="337FA566" w14:textId="77777777" w:rsidR="00087EAF" w:rsidRPr="00C715CC" w:rsidRDefault="00087EAF" w:rsidP="00564D8C">
            <w:pPr>
              <w:jc w:val="center"/>
              <w:rPr>
                <w:lang w:val="en-GB"/>
              </w:rPr>
            </w:pPr>
            <w:r w:rsidRPr="00C715CC">
              <w:rPr>
                <w:lang w:val="en-GB"/>
              </w:rPr>
              <w:t>0.461</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564D8C">
            <w:pPr>
              <w:jc w:val="right"/>
              <w:rPr>
                <w:lang w:val="en-GB"/>
              </w:rPr>
            </w:pPr>
            <w:r w:rsidRPr="00C715CC">
              <w:rPr>
                <w:lang w:val="en-GB"/>
              </w:rPr>
              <w:t>0.569</w:t>
            </w:r>
          </w:p>
        </w:tc>
        <w:tc>
          <w:tcPr>
            <w:tcW w:w="1753"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564D8C">
            <w:pPr>
              <w:jc w:val="center"/>
              <w:rPr>
                <w:lang w:val="en-GB"/>
              </w:rPr>
            </w:pPr>
            <w:r w:rsidRPr="00C715CC">
              <w:rPr>
                <w:lang w:val="en-GB"/>
              </w:rPr>
              <w:t>[–0.681, 1.840]</w:t>
            </w:r>
          </w:p>
        </w:tc>
        <w:tc>
          <w:tcPr>
            <w:tcW w:w="92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564D8C">
            <w:pPr>
              <w:jc w:val="center"/>
              <w:rPr>
                <w:lang w:val="en-GB"/>
              </w:rPr>
            </w:pPr>
            <w:r w:rsidRPr="00C715CC">
              <w:rPr>
                <w:lang w:val="en-GB"/>
              </w:rPr>
              <w:t>0.819</w:t>
            </w:r>
          </w:p>
        </w:tc>
        <w:tc>
          <w:tcPr>
            <w:tcW w:w="92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564D8C">
            <w:pPr>
              <w:jc w:val="center"/>
              <w:rPr>
                <w:lang w:val="en-GB"/>
              </w:rPr>
            </w:pPr>
            <w:r w:rsidRPr="00C715CC">
              <w:rPr>
                <w:lang w:val="en-GB"/>
              </w:rPr>
              <w:t>0.181</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21" w:name="_r8za2knmn1z1" w:colFirst="0" w:colLast="0"/>
      <w:bookmarkEnd w:id="21"/>
      <w:r w:rsidRPr="00C715CC">
        <w:lastRenderedPageBreak/>
        <w:t>7. FIGURES</w:t>
      </w:r>
    </w:p>
    <w:p w14:paraId="194713F4" w14:textId="45B1A93A" w:rsidR="00C57308" w:rsidRPr="00C715CC" w:rsidRDefault="0041702C">
      <w:pPr>
        <w:rPr>
          <w:lang w:val="en-GB"/>
        </w:rPr>
      </w:pPr>
      <w:r>
        <w:rPr>
          <w:noProof/>
          <w:lang w:val="en-GB"/>
        </w:rPr>
        <w:lastRenderedPageBreak/>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r w:rsidR="005A4E44" w:rsidRPr="00C715CC">
        <w:rPr>
          <w:lang w:val="en-GB"/>
        </w:rPr>
        <w:t>2</w:t>
      </w:r>
      <w:r w:rsidRPr="00C715CC">
        <w:rPr>
          <w:lang w:val="en-GB"/>
        </w:rPr>
        <w:t xml:space="preserve">  Predicted mean abundances of four functional fish groups—grazers, inv</w:t>
      </w:r>
      <w:r w:rsidRPr="00C715CC">
        <w:rPr>
          <w:lang w:val="en-GB"/>
        </w:rPr>
        <w:lastRenderedPageBreak/>
        <w:t xml:space="preserve">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r w:rsidR="00EE4FC8" w:rsidRPr="00C715CC">
        <w:rPr>
          <w:lang w:val="en-GB"/>
        </w:rPr>
        <w:t>3</w:t>
      </w:r>
      <w:r w:rsidRPr="00C715CC">
        <w:rPr>
          <w:lang w:val="en-GB"/>
        </w:rPr>
        <w:t xml:space="preserve">  Posterior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406F68A5" w:rsidR="00C57308" w:rsidRPr="00C715CC" w:rsidRDefault="00000000">
      <w:pPr>
        <w:rPr>
          <w:lang w:val="en-GB"/>
        </w:rPr>
      </w:pPr>
      <w:r w:rsidRPr="00C715CC">
        <w:rPr>
          <w:lang w:val="en-GB"/>
        </w:rPr>
        <w:t>Figure 4  Pr</w:t>
      </w:r>
      <w:r w:rsidR="005A4E44" w:rsidRPr="00C715CC">
        <w:rPr>
          <w:lang w:val="en-GB"/>
        </w:rPr>
        <w:t>edicted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5F7094FA">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p>
    <w:p w14:paraId="0FEDE22A" w14:textId="77777777" w:rsidR="00C57308" w:rsidRPr="00C715CC" w:rsidRDefault="00000000">
      <w:pPr>
        <w:rPr>
          <w:lang w:val="en-GB"/>
        </w:rPr>
      </w:pPr>
      <w:r w:rsidRPr="00C715CC">
        <w:rPr>
          <w:lang w:val="en-GB"/>
        </w:rPr>
        <w:t>Figure 5  Posterior distributions show estimated log-scale differences in abundance for each functional group in nearshore (dark green) and pelagic (light blue) zones, relative to shipwrecks.Densities represent posterior uncertainty, with medians (dots) and 95% credible intervals (thick bars) overlaid. Zero indicates no difference from shipwrecks; positive values denote higher predicted abundance.</w:t>
      </w:r>
    </w:p>
    <w:p w14:paraId="340A2FAA" w14:textId="507C4D82" w:rsidR="00C57308" w:rsidRPr="00C715CC" w:rsidRDefault="00A33D27">
      <w:pPr>
        <w:spacing w:line="276" w:lineRule="auto"/>
        <w:rPr>
          <w:rFonts w:eastAsia="Arial"/>
          <w:sz w:val="22"/>
          <w:szCs w:val="22"/>
          <w:lang w:val="en-GB"/>
        </w:rPr>
      </w:pPr>
      <w:r>
        <w:rPr>
          <w:rFonts w:eastAsia="Arial"/>
          <w:noProof/>
          <w:sz w:val="22"/>
          <w:szCs w:val="22"/>
          <w:lang w:val="en-GB"/>
        </w:rPr>
        <w:lastRenderedPageBreak/>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15D39286" w:rsidR="00C57308" w:rsidRPr="00C715CC" w:rsidRDefault="00000000" w:rsidP="001E279D">
      <w:pPr>
        <w:spacing w:after="240"/>
        <w:rPr>
          <w:lang w:val="en-GB"/>
        </w:rPr>
      </w:pPr>
      <w:r w:rsidRPr="00C715CC">
        <w:rPr>
          <w:lang w:val="en-GB"/>
        </w:rPr>
        <w:t xml:space="preserve">Figure 6  Predicted mean abundances of 18 reef fish taxa </w:t>
      </w:r>
      <w:r w:rsidR="00A33D27">
        <w:rPr>
          <w:lang w:val="en-GB"/>
        </w:rPr>
        <w:t xml:space="preserve">(a through r) </w:t>
      </w:r>
      <w:r w:rsidRPr="00C715CC">
        <w:rPr>
          <w:lang w:val="en-GB"/>
        </w:rPr>
        <w:t xml:space="preserve">across three reef classifications: fringing reef, pelagic 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22" w:name="_985k75it9yz4" w:colFirst="0" w:colLast="0"/>
      <w:bookmarkEnd w:id="22"/>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4457700"/>
                    </a:xfrm>
                    <a:prstGeom prst="rect">
                      <a:avLst/>
                    </a:prstGeom>
                    <a:ln/>
                  </pic:spPr>
                </pic:pic>
              </a:graphicData>
            </a:graphic>
          </wp:inline>
        </w:drawing>
      </w:r>
      <w:r w:rsidRPr="00C715CC">
        <w:rPr>
          <w:lang w:val="en-GB"/>
        </w:rPr>
        <w:t>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plus signs indicate positive effects, and minus signs indicate negative effects.</w:t>
      </w:r>
      <w:bookmarkStart w:id="23" w:name="_kmw9l3yusmgk" w:colFirst="0" w:colLast="0"/>
      <w:bookmarkEnd w:id="23"/>
      <w:r w:rsidRPr="00C715CC">
        <w:rPr>
          <w:lang w:val="en-GB"/>
        </w:rPr>
        <w:br w:type="page"/>
      </w:r>
    </w:p>
    <w:p w14:paraId="0AE2E46D" w14:textId="77777777" w:rsidR="00C57308" w:rsidRPr="00C715CC" w:rsidRDefault="00000000" w:rsidP="00132A98">
      <w:pPr>
        <w:pStyle w:val="Heading1"/>
      </w:pPr>
      <w:bookmarkStart w:id="24" w:name="_hnnllomz5v09" w:colFirst="0" w:colLast="0"/>
      <w:bookmarkEnd w:id="24"/>
      <w:r w:rsidRPr="00C715CC">
        <w:lastRenderedPageBreak/>
        <w:t xml:space="preserve">8. ACKNOWLEDGEMENTS </w:t>
      </w:r>
    </w:p>
    <w:p w14:paraId="3D61E1DF" w14:textId="77777777"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p>
    <w:p w14:paraId="6F22EB4B" w14:textId="77777777" w:rsidR="00C57308" w:rsidRPr="00C715CC" w:rsidRDefault="00000000" w:rsidP="00132A98">
      <w:pPr>
        <w:pStyle w:val="Heading1"/>
      </w:pPr>
      <w:bookmarkStart w:id="25" w:name="_c9ufq256rcpa" w:colFirst="0" w:colLast="0"/>
      <w:bookmarkEnd w:id="25"/>
      <w:r w:rsidRPr="00C715CC">
        <w:t>9. FUNDING</w:t>
      </w:r>
    </w:p>
    <w:p w14:paraId="29A9A0CC" w14:textId="3C329D1F"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the Global Reef.</w:t>
      </w:r>
    </w:p>
    <w:p w14:paraId="6B8A7205" w14:textId="77777777" w:rsidR="00C57308" w:rsidRPr="00C715CC" w:rsidRDefault="00000000" w:rsidP="00132A98">
      <w:pPr>
        <w:pStyle w:val="Heading1"/>
      </w:pPr>
      <w:bookmarkStart w:id="26" w:name="_2pxcsaxlieuv" w:colFirst="0" w:colLast="0"/>
      <w:bookmarkEnd w:id="26"/>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27" w:name="_jkyvumhvy7in" w:colFirst="0" w:colLast="0"/>
      <w:bookmarkEnd w:id="27"/>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28" w:name="_ybva4sl89vak" w:colFirst="0" w:colLast="0"/>
      <w:bookmarkEnd w:id="28"/>
      <w:r w:rsidRPr="00C715CC">
        <w:t xml:space="preserve">12. DATA AVAILABILITY </w:t>
      </w:r>
    </w:p>
    <w:p w14:paraId="23598B6B" w14:textId="34B15D1E"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r w:rsidR="00C409F4" w:rsidRPr="00C409F4">
        <w:rPr>
          <w:lang w:val="en-GB"/>
        </w:rPr>
        <w:t>https://doi.org/</w:t>
      </w:r>
      <w:r w:rsidR="00EE0507" w:rsidRPr="00EE0507">
        <w:rPr>
          <w:lang w:val="en-GB"/>
        </w:rPr>
        <w:t>10.5281/zenodo.16784464</w:t>
      </w:r>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29" w:name="_mgdh7rqr3ie9" w:colFirst="0" w:colLast="0"/>
      <w:bookmarkEnd w:id="29"/>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Phuket Marine Biological Center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15">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Galzin,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16">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17">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Bürkner,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18">
        <w:r w:rsidR="00C57308"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19">
        <w:r w:rsidR="00C57308" w:rsidRPr="00C715CC">
          <w:rPr>
            <w:rFonts w:eastAsia="Arial"/>
            <w:color w:val="1155CC"/>
            <w:sz w:val="22"/>
            <w:szCs w:val="22"/>
            <w:u w:val="single"/>
            <w:lang w:val="en-GB"/>
          </w:rPr>
          <w:t>https://doi.org/10.3354/meps14377</w:t>
        </w:r>
      </w:hyperlink>
    </w:p>
    <w:p w14:paraId="52C1C95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Folpp, H., Lowry, M., Gregson, M., and Suthers, I. M. (2013). Fish Assemblages on Estuarine Artificial Reefs: Natural Rocky-Reef Mimics or Discrete Assemblages? </w:t>
      </w:r>
      <w:r w:rsidRPr="00C715CC">
        <w:rPr>
          <w:rFonts w:eastAsia="Arial"/>
          <w:i/>
          <w:sz w:val="22"/>
          <w:szCs w:val="22"/>
          <w:lang w:val="en-GB"/>
        </w:rPr>
        <w:t>PLoS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0">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1">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2">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643F78D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Mcclure,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xml:space="preserve">. </w:t>
      </w:r>
      <w:r w:rsidR="002632BD">
        <w:rPr>
          <w:rFonts w:eastAsia="Arial"/>
          <w:sz w:val="22"/>
          <w:szCs w:val="22"/>
          <w:lang w:val="en-GB"/>
        </w:rPr>
        <w:t xml:space="preserve">Report prepared for Parks Australia. </w:t>
      </w:r>
      <w:hyperlink r:id="rId23" w:history="1">
        <w:r w:rsidR="002632BD" w:rsidRPr="00F3016D">
          <w:rPr>
            <w:rStyle w:val="Hyperlink"/>
            <w:rFonts w:eastAsia="Arial"/>
            <w:sz w:val="22"/>
            <w:szCs w:val="22"/>
            <w:lang w:val="en-GB"/>
          </w:rPr>
          <w:t>https://doi.org/10.13140/RG.2.2.10516.68487/1</w:t>
        </w:r>
      </w:hyperlink>
      <w:r w:rsidR="00D06BB2">
        <w:rPr>
          <w:rFonts w:eastAsia="Arial"/>
          <w:sz w:val="22"/>
          <w:szCs w:val="22"/>
          <w:lang w:val="en-GB"/>
        </w:rPr>
        <w:t xml:space="preserve">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4">
        <w:r w:rsidR="00C57308"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Songploy, S., Kettratad, J., Sitaworawet, P., Chaiyakul, S., Elsdon, T. S., and Marnane, M. J. (2021). Fish Assemblages Associated With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5">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Hickman, J., Richards, J., Rees, A., and Sheehan, E. v.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26">
        <w:r w:rsidR="00C57308" w:rsidRPr="00C715CC">
          <w:rPr>
            <w:rFonts w:eastAsia="Arial"/>
            <w:color w:val="1155CC"/>
            <w:sz w:val="22"/>
            <w:szCs w:val="22"/>
            <w:u w:val="single"/>
            <w:lang w:val="en-GB"/>
          </w:rPr>
          <w:t>https://doi.org/10.1111/maec.12782</w:t>
        </w:r>
      </w:hyperlink>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Szedlmayer,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27"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Koeck, B., Tessier, A., Brind’Amour, A., Pastor, J., Bijaoui, B., Dalias, N., Astruch, P., Saragoni, G., and Lenfant,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28">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29" w:history="1">
        <w:r w:rsidRPr="00F3016D">
          <w:rPr>
            <w:rStyle w:val="Hyperlink"/>
            <w:rFonts w:eastAsia="Arial"/>
            <w:sz w:val="22"/>
            <w:szCs w:val="22"/>
          </w:rPr>
          <w:t>https://doi.org/10.1111/1365-2664.13748</w:t>
        </w:r>
      </w:hyperlink>
      <w:r>
        <w:rPr>
          <w:rFonts w:eastAsia="Arial"/>
          <w:sz w:val="22"/>
          <w:szCs w:val="22"/>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Letessier, T. B., Mouillot, D., Bouchet, P. J., Vigliola, L., Fernandes, M. C., Thompson, C., Boussarie, G., Turner, J., Juhel, J. B., Maire, E., Julian Caley, M., Koldewey, H. J., Friedlander, A., Sala, E., and Meeuwig,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0">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Yeemin,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1">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2">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Monchanin, C., Desmolles,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3"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Monchanin, C., Mehrotra, R., Haskin, E., Scott, C. M., Urgell Plaza, P., Allchurch, A., Arnold, S., Magson,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4"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Bacheler,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5">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r w:rsidRPr="00C715CC">
        <w:rPr>
          <w:rFonts w:eastAsia="Arial"/>
          <w:i/>
          <w:sz w:val="22"/>
          <w:szCs w:val="22"/>
          <w:lang w:val="en-GB"/>
        </w:rPr>
        <w:t>PLoS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36">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r w:rsidRPr="00D06BB2">
        <w:rPr>
          <w:rFonts w:eastAsia="Arial"/>
          <w:i/>
          <w:iCs/>
          <w:sz w:val="22"/>
          <w:szCs w:val="22"/>
        </w:rPr>
        <w:t>BioScience</w:t>
      </w:r>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37" w:history="1">
        <w:r w:rsidRPr="00D06BB2">
          <w:rPr>
            <w:rStyle w:val="Hyperlink"/>
            <w:rFonts w:eastAsia="Arial"/>
            <w:sz w:val="22"/>
            <w:szCs w:val="22"/>
          </w:rPr>
          <w:t>https://doi.org/10.1093/BIOSCI/BIAD084</w:t>
        </w:r>
      </w:hyperlink>
      <w:r>
        <w:rPr>
          <w:rFonts w:eastAsia="Arial"/>
          <w:sz w:val="22"/>
          <w:szCs w:val="22"/>
        </w:rPr>
        <w:t xml:space="preserve"> </w:t>
      </w:r>
    </w:p>
    <w:p w14:paraId="55574B7F" w14:textId="77777777" w:rsidR="00C57308" w:rsidRDefault="00000000" w:rsidP="00213430">
      <w:pPr>
        <w:spacing w:after="200" w:line="276" w:lineRule="auto"/>
        <w:ind w:left="720" w:hanging="720"/>
      </w:pPr>
      <w:r w:rsidRPr="00C715CC">
        <w:rPr>
          <w:rFonts w:eastAsia="Arial"/>
          <w:sz w:val="22"/>
          <w:szCs w:val="22"/>
          <w:lang w:val="en-GB"/>
        </w:rPr>
        <w:lastRenderedPageBreak/>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38">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39" w:history="1">
        <w:r w:rsidRPr="00F3016D">
          <w:rPr>
            <w:rStyle w:val="Hyperlink"/>
            <w:rFonts w:eastAsia="Arial"/>
            <w:sz w:val="22"/>
            <w:szCs w:val="22"/>
            <w:lang w:val="en-GB"/>
          </w:rPr>
          <w:t>https:</w:t>
        </w:r>
        <w:r w:rsidRPr="00F3016D">
          <w:rPr>
            <w:rStyle w:val="Hyperlink"/>
            <w:rFonts w:eastAsia="Arial"/>
            <w:sz w:val="22"/>
            <w:szCs w:val="22"/>
            <w:lang w:val="en-GB"/>
          </w:rPr>
          <w:t>/</w:t>
        </w:r>
        <w:r w:rsidRPr="00F3016D">
          <w:rPr>
            <w:rStyle w:val="Hyperlink"/>
            <w:rFonts w:eastAsia="Arial"/>
            <w:sz w:val="22"/>
            <w:szCs w:val="22"/>
            <w:lang w:val="en-GB"/>
          </w:rPr>
          <w:t>/doi.org/10.7755/FB.114.1.4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0">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1">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Şensurat-Genç, T., Lök,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2">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Songploy, S., Kettradad,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3">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4">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mexico.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5">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46">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Vehtari, A., Gelman, A., and Gabry,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47">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Yeemin, T., Sutthacheep, M., and Pettongma,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48"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White, M., Bashmachnikov, I., Arístegui,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Welcome to the tidyverse</w:t>
      </w:r>
      <w:r w:rsidRPr="00C715CC">
        <w:rPr>
          <w:rFonts w:eastAsia="Arial"/>
          <w:sz w:val="22"/>
          <w:szCs w:val="22"/>
          <w:lang w:val="en-GB"/>
        </w:rPr>
        <w:t xml:space="preserve">. </w:t>
      </w:r>
      <w:r w:rsidRPr="00C715CC">
        <w:rPr>
          <w:rFonts w:eastAsia="Arial"/>
          <w:i/>
          <w:sz w:val="22"/>
          <w:szCs w:val="22"/>
          <w:lang w:val="en-GB"/>
        </w:rPr>
        <w:t>Journal of Open Source Software, 4</w:t>
      </w:r>
      <w:r w:rsidRPr="00C715CC">
        <w:rPr>
          <w:rFonts w:eastAsia="Arial"/>
          <w:sz w:val="22"/>
          <w:szCs w:val="22"/>
          <w:lang w:val="en-GB"/>
        </w:rPr>
        <w:t xml:space="preserve">(43), 1686. </w:t>
      </w:r>
      <w:hyperlink r:id="rId49">
        <w:r w:rsidR="00C57308" w:rsidRPr="00C715CC">
          <w:rPr>
            <w:rFonts w:eastAsia="Arial"/>
            <w:color w:val="1155CC"/>
            <w:sz w:val="22"/>
            <w:szCs w:val="22"/>
            <w:u w:val="single"/>
            <w:lang w:val="en-GB"/>
          </w:rPr>
          <w:t>https://doi.org/10.21105/joss.01686</w:t>
        </w:r>
      </w:hyperlink>
    </w:p>
    <w:sectPr w:rsidR="00C57308" w:rsidRPr="00C715CC">
      <w:footerReference w:type="default" r:id="rId50"/>
      <w:pgSz w:w="12240" w:h="15840"/>
      <w:pgMar w:top="1440" w:right="1440" w:bottom="1440" w:left="1440" w:header="708" w:footer="708"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F0C82" w14:textId="77777777" w:rsidR="007D77B3" w:rsidRDefault="007D77B3">
      <w:r>
        <w:separator/>
      </w:r>
    </w:p>
    <w:p w14:paraId="756FC1C6" w14:textId="77777777" w:rsidR="007D77B3" w:rsidRDefault="007D77B3"/>
  </w:endnote>
  <w:endnote w:type="continuationSeparator" w:id="0">
    <w:p w14:paraId="00455DEB" w14:textId="77777777" w:rsidR="007D77B3" w:rsidRDefault="007D77B3">
      <w:r>
        <w:continuationSeparator/>
      </w:r>
    </w:p>
    <w:p w14:paraId="0030B606" w14:textId="77777777" w:rsidR="007D77B3" w:rsidRDefault="007D77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9E4B6" w14:textId="77777777" w:rsidR="007D77B3" w:rsidRDefault="007D77B3">
      <w:r>
        <w:separator/>
      </w:r>
    </w:p>
    <w:p w14:paraId="20B7EF76" w14:textId="77777777" w:rsidR="007D77B3" w:rsidRDefault="007D77B3"/>
  </w:footnote>
  <w:footnote w:type="continuationSeparator" w:id="0">
    <w:p w14:paraId="49A927CC" w14:textId="77777777" w:rsidR="007D77B3" w:rsidRDefault="007D77B3">
      <w:r>
        <w:continuationSeparator/>
      </w:r>
    </w:p>
    <w:p w14:paraId="79689B37" w14:textId="77777777" w:rsidR="007D77B3" w:rsidRDefault="007D77B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84634"/>
    <w:rsid w:val="00086FF0"/>
    <w:rsid w:val="00087EAF"/>
    <w:rsid w:val="000A0208"/>
    <w:rsid w:val="000D57B8"/>
    <w:rsid w:val="000F71C5"/>
    <w:rsid w:val="00124DF7"/>
    <w:rsid w:val="00127BB9"/>
    <w:rsid w:val="00130E1D"/>
    <w:rsid w:val="00132A98"/>
    <w:rsid w:val="001437F9"/>
    <w:rsid w:val="00160DDC"/>
    <w:rsid w:val="001C6241"/>
    <w:rsid w:val="001D6095"/>
    <w:rsid w:val="001E279D"/>
    <w:rsid w:val="00213430"/>
    <w:rsid w:val="002632BD"/>
    <w:rsid w:val="0027036F"/>
    <w:rsid w:val="0034189D"/>
    <w:rsid w:val="0037358C"/>
    <w:rsid w:val="003C2044"/>
    <w:rsid w:val="003C73AD"/>
    <w:rsid w:val="003E1C2C"/>
    <w:rsid w:val="0041702C"/>
    <w:rsid w:val="00433206"/>
    <w:rsid w:val="00491E9D"/>
    <w:rsid w:val="004A7752"/>
    <w:rsid w:val="004C68AF"/>
    <w:rsid w:val="004C7C96"/>
    <w:rsid w:val="004E4E3B"/>
    <w:rsid w:val="00523557"/>
    <w:rsid w:val="005253F1"/>
    <w:rsid w:val="00564D8C"/>
    <w:rsid w:val="005A4E44"/>
    <w:rsid w:val="005A599C"/>
    <w:rsid w:val="005D088F"/>
    <w:rsid w:val="005D112F"/>
    <w:rsid w:val="005D2EE7"/>
    <w:rsid w:val="005D7E19"/>
    <w:rsid w:val="006E6083"/>
    <w:rsid w:val="007D77B3"/>
    <w:rsid w:val="00815B6D"/>
    <w:rsid w:val="00835B01"/>
    <w:rsid w:val="008607CE"/>
    <w:rsid w:val="008C0B51"/>
    <w:rsid w:val="008F2696"/>
    <w:rsid w:val="00920CC8"/>
    <w:rsid w:val="009D4853"/>
    <w:rsid w:val="00A33D27"/>
    <w:rsid w:val="00A56535"/>
    <w:rsid w:val="00A772F9"/>
    <w:rsid w:val="00A84F9F"/>
    <w:rsid w:val="00AA37D0"/>
    <w:rsid w:val="00AE7146"/>
    <w:rsid w:val="00B10A4B"/>
    <w:rsid w:val="00B265D6"/>
    <w:rsid w:val="00B31269"/>
    <w:rsid w:val="00B55FDC"/>
    <w:rsid w:val="00B90758"/>
    <w:rsid w:val="00C239D3"/>
    <w:rsid w:val="00C264A2"/>
    <w:rsid w:val="00C409F4"/>
    <w:rsid w:val="00C57308"/>
    <w:rsid w:val="00C715CC"/>
    <w:rsid w:val="00D06BB2"/>
    <w:rsid w:val="00D42433"/>
    <w:rsid w:val="00D66FE9"/>
    <w:rsid w:val="00D84338"/>
    <w:rsid w:val="00DB509B"/>
    <w:rsid w:val="00DD7EBB"/>
    <w:rsid w:val="00E13A21"/>
    <w:rsid w:val="00E61AFC"/>
    <w:rsid w:val="00E8283E"/>
    <w:rsid w:val="00E85ACD"/>
    <w:rsid w:val="00EB6109"/>
    <w:rsid w:val="00EE0507"/>
    <w:rsid w:val="00EE4FC8"/>
    <w:rsid w:val="00F63F11"/>
    <w:rsid w:val="00F96C08"/>
    <w:rsid w:val="00FE300B"/>
    <w:rsid w:val="00FE42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8637/jss.v080.i01" TargetMode="External"/><Relationship Id="rId26" Type="http://schemas.openxmlformats.org/officeDocument/2006/relationships/hyperlink" Target="https://doi.org/10.1111/maec.12782" TargetMode="External"/><Relationship Id="rId39" Type="http://schemas.openxmlformats.org/officeDocument/2006/relationships/hyperlink" Target="https://doi.org/10.7755/FB.114.1.4" TargetMode="External"/><Relationship Id="rId21" Type="http://schemas.openxmlformats.org/officeDocument/2006/relationships/hyperlink" Target="https://doi.org/10.1007/s00227-012-2039-x" TargetMode="External"/><Relationship Id="rId34" Type="http://schemas.openxmlformats.org/officeDocument/2006/relationships/hyperlink" Target="https://doi.org/10.1016/j.marenvres.2021.105505" TargetMode="External"/><Relationship Id="rId42" Type="http://schemas.openxmlformats.org/officeDocument/2006/relationships/hyperlink" Target="https://doi.org/10.1017/S0025315422001011" TargetMode="External"/><Relationship Id="rId47" Type="http://schemas.openxmlformats.org/officeDocument/2006/relationships/hyperlink" Target="https://doi.org/10.1007/s11222-016-9696-4" TargetMode="External"/><Relationship Id="rId50" Type="http://schemas.openxmlformats.org/officeDocument/2006/relationships/footer" Target="footer1.xml"/><Relationship Id="rId7" Type="http://schemas.openxmlformats.org/officeDocument/2006/relationships/hyperlink" Target="mailto:scarlett@global-reef.com" TargetMode="External"/><Relationship Id="rId2" Type="http://schemas.openxmlformats.org/officeDocument/2006/relationships/styles" Target="styles.xml"/><Relationship Id="rId16" Type="http://schemas.openxmlformats.org/officeDocument/2006/relationships/hyperlink" Target="https://www.int-res.com/articles/meps/15/m015p265.pdf" TargetMode="External"/><Relationship Id="rId29" Type="http://schemas.openxmlformats.org/officeDocument/2006/relationships/hyperlink" Target="https://doi.org/10.1111/1365-2664.13748" TargetMode="External"/><Relationship Id="rId11" Type="http://schemas.openxmlformats.org/officeDocument/2006/relationships/image" Target="media/image4.png"/><Relationship Id="rId24" Type="http://schemas.openxmlformats.org/officeDocument/2006/relationships/hyperlink" Target="https://doi.org/10.1002/lno.12431" TargetMode="External"/><Relationship Id="rId32" Type="http://schemas.openxmlformats.org/officeDocument/2006/relationships/hyperlink" Target="https://doi.org/10.1111/1365-2664.14053" TargetMode="External"/><Relationship Id="rId37" Type="http://schemas.openxmlformats.org/officeDocument/2006/relationships/hyperlink" Target="https://doi.org/10.1093/BIOSCI/BIAD084" TargetMode="External"/><Relationship Id="rId40" Type="http://schemas.openxmlformats.org/officeDocument/2006/relationships/hyperlink" Target="https://doi.org/10.1093/icesjms/fsae075" TargetMode="External"/><Relationship Id="rId45" Type="http://schemas.openxmlformats.org/officeDocument/2006/relationships/hyperlink" Target="https://doi.org/10.1080/19425120.2017.1282897" TargetMode="External"/><Relationship Id="rId5" Type="http://schemas.openxmlformats.org/officeDocument/2006/relationships/footnotes" Target="footnotes.xml"/><Relationship Id="rId15" Type="http://schemas.openxmlformats.org/officeDocument/2006/relationships/hyperlink" Target="https://doi.org/10.14456/pmbcrb.2024.4" TargetMode="External"/><Relationship Id="rId23" Type="http://schemas.openxmlformats.org/officeDocument/2006/relationships/hyperlink" Target="https://doi.org/10.13140/RG.2.2.10516.68487/1" TargetMode="External"/><Relationship Id="rId28" Type="http://schemas.openxmlformats.org/officeDocument/2006/relationships/hyperlink" Target="https://doi.org/10.3354/ab00561" TargetMode="External"/><Relationship Id="rId36" Type="http://schemas.openxmlformats.org/officeDocument/2006/relationships/hyperlink" Target="https://doi.org/10.1371/journal.pone.0237374" TargetMode="External"/><Relationship Id="rId49" Type="http://schemas.openxmlformats.org/officeDocument/2006/relationships/hyperlink" Target="https://doi.org/10.21105/joss.01686" TargetMode="External"/><Relationship Id="rId10" Type="http://schemas.openxmlformats.org/officeDocument/2006/relationships/image" Target="media/image3.png"/><Relationship Id="rId19" Type="http://schemas.openxmlformats.org/officeDocument/2006/relationships/hyperlink" Target="https://doi.org/10.3354/meps14377" TargetMode="External"/><Relationship Id="rId31" Type="http://schemas.openxmlformats.org/officeDocument/2006/relationships/hyperlink" Target="https://ph02.tci-thaijo.org/index.php/RIST/article/view/193777" TargetMode="External"/><Relationship Id="rId44" Type="http://schemas.openxmlformats.org/officeDocument/2006/relationships/hyperlink" Target="https://doi.org/10.1016/j.marenvres.2013.05.012"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25903/7ek9%2D5m80" TargetMode="External"/><Relationship Id="rId27" Type="http://schemas.openxmlformats.org/officeDocument/2006/relationships/hyperlink" Target="https://sedarweb.org/documents/sedar-74-rd09-a-comparison-of-fish-assemblages-according-to-artificial-reef-attributes-and-seasons-in-the-northern-gulf-of-mexico/" TargetMode="External"/><Relationship Id="rId30" Type="http://schemas.openxmlformats.org/officeDocument/2006/relationships/hyperlink" Target="https://doi.org/10.1371/JOURNAL.PBIO.3000366" TargetMode="External"/><Relationship Id="rId35" Type="http://schemas.openxmlformats.org/officeDocument/2006/relationships/hyperlink" Target="https://doi.org/10.3389/fmars.2020.00282" TargetMode="External"/><Relationship Id="rId43" Type="http://schemas.openxmlformats.org/officeDocument/2006/relationships/hyperlink" Target="https://doi.org/10.1016/j.ecss.2023.108552" TargetMode="External"/><Relationship Id="rId48" Type="http://schemas.openxmlformats.org/officeDocument/2006/relationships/hyperlink" Target="https://doi.org/10.1016/J.OCECOAMAN.2006.06.002"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890/ES14-00292.1" TargetMode="External"/><Relationship Id="rId25" Type="http://schemas.openxmlformats.org/officeDocument/2006/relationships/hyperlink" Target="https://doi.org/10.3389/FMARS.2021.664014/BIBTEX" TargetMode="External"/><Relationship Id="rId33" Type="http://schemas.openxmlformats.org/officeDocument/2006/relationships/hyperlink" Target="https://doi.org/10.1007/s10452-025-10182-1" TargetMode="External"/><Relationship Id="rId38" Type="http://schemas.openxmlformats.org/officeDocument/2006/relationships/hyperlink" Target="https://doi.org/10.1007/S002279900250" TargetMode="External"/><Relationship Id="rId46" Type="http://schemas.openxmlformats.org/officeDocument/2006/relationships/hyperlink" Target="https://doi.org/10.1007/S00338-015-1322-Y/METRICS" TargetMode="External"/><Relationship Id="rId20" Type="http://schemas.openxmlformats.org/officeDocument/2006/relationships/hyperlink" Target="https://doi.org/10.1371/journal.pone.0063505" TargetMode="External"/><Relationship Id="rId41" Type="http://schemas.openxmlformats.org/officeDocument/2006/relationships/hyperlink" Target="https://doi.org/10.3389/fmars.2020.00447"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42</Pages>
  <Words>9993</Words>
  <Characters>56963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4</cp:revision>
  <cp:lastPrinted>2025-08-14T09:20:00Z</cp:lastPrinted>
  <dcterms:created xsi:type="dcterms:W3CDTF">2025-08-14T06:52:00Z</dcterms:created>
  <dcterms:modified xsi:type="dcterms:W3CDTF">2025-08-14T09:21:00Z</dcterms:modified>
</cp:coreProperties>
</file>