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BCF0B" w14:textId="39A7AFA3" w:rsidR="00E25E25" w:rsidRPr="00E25E25" w:rsidRDefault="00E25E25" w:rsidP="00E25E25">
      <w:r w:rsidRPr="00E25E25">
        <w:rPr>
          <w:highlight w:val="yellow"/>
        </w:rPr>
        <w:t>#### F</w:t>
      </w:r>
      <w:r w:rsidRPr="00E25E25">
        <w:rPr>
          <w:highlight w:val="yellow"/>
        </w:rPr>
        <w:t xml:space="preserve">unctional group </w:t>
      </w:r>
      <w:r w:rsidRPr="00E25E25">
        <w:rPr>
          <w:highlight w:val="yellow"/>
        </w:rPr>
        <w:t xml:space="preserve"> multivariate regression with random intercept for site</w:t>
      </w:r>
    </w:p>
    <w:p w14:paraId="539651BE" w14:textId="77777777" w:rsidR="00E25E25" w:rsidRPr="00E25E25" w:rsidRDefault="00E25E25" w:rsidP="00E25E25">
      <w:r w:rsidRPr="00E25E25">
        <w:t xml:space="preserve"># </w:t>
      </w:r>
      <w:proofErr w:type="spellStart"/>
      <w:r w:rsidRPr="00E25E25">
        <w:t>fit_re</w:t>
      </w:r>
      <w:proofErr w:type="spellEnd"/>
      <w:r w:rsidRPr="00E25E25">
        <w:t xml:space="preserve"> </w:t>
      </w:r>
    </w:p>
    <w:p w14:paraId="594F55AA" w14:textId="4EFA734E" w:rsidR="00E25E25" w:rsidRPr="00E25E25" w:rsidRDefault="00E25E25" w:rsidP="00E25E25">
      <w:pPr>
        <w:pStyle w:val="ListParagraph"/>
      </w:pPr>
      <w:r w:rsidRPr="00E25E25">
        <w:t xml:space="preserve">Model: </w:t>
      </w:r>
    </w:p>
    <w:p w14:paraId="4E107C80" w14:textId="383769F0" w:rsidR="00E25E25" w:rsidRPr="00E25E25" w:rsidRDefault="00E25E25" w:rsidP="00E25E25">
      <w:pPr>
        <w:pStyle w:val="ListParagraph"/>
        <w:numPr>
          <w:ilvl w:val="0"/>
          <w:numId w:val="1"/>
        </w:numPr>
      </w:pPr>
      <w:r w:rsidRPr="00E25E25">
        <w:t xml:space="preserve">Bayesian multivariate regression with four negative binomial models run jointly </w:t>
      </w:r>
    </w:p>
    <w:p w14:paraId="1A7AC2E3" w14:textId="272DEA5D" w:rsidR="00E25E25" w:rsidRPr="00E25E25" w:rsidRDefault="00E25E25" w:rsidP="00E25E25">
      <w:pPr>
        <w:pStyle w:val="ListParagraph"/>
        <w:numPr>
          <w:ilvl w:val="1"/>
          <w:numId w:val="1"/>
        </w:numPr>
      </w:pPr>
      <w:r w:rsidRPr="00E25E25">
        <w:t>Response variables: each of the four functional groups (</w:t>
      </w:r>
      <w:proofErr w:type="spellStart"/>
      <w:r w:rsidRPr="00E25E25">
        <w:t>Herbi</w:t>
      </w:r>
      <w:proofErr w:type="spellEnd"/>
      <w:r w:rsidRPr="00E25E25">
        <w:t xml:space="preserve">, </w:t>
      </w:r>
      <w:proofErr w:type="spellStart"/>
      <w:r w:rsidRPr="00E25E25">
        <w:t>Meso</w:t>
      </w:r>
      <w:proofErr w:type="spellEnd"/>
      <w:r w:rsidRPr="00E25E25">
        <w:t xml:space="preserve">, </w:t>
      </w:r>
      <w:proofErr w:type="spellStart"/>
      <w:r w:rsidRPr="00E25E25">
        <w:t>Inverti</w:t>
      </w:r>
      <w:proofErr w:type="spellEnd"/>
      <w:r w:rsidRPr="00E25E25">
        <w:t xml:space="preserve">, and HTLP) </w:t>
      </w:r>
    </w:p>
    <w:p w14:paraId="2AB89F7E" w14:textId="31A04131" w:rsidR="00E25E25" w:rsidRPr="00E25E25" w:rsidRDefault="00E25E25" w:rsidP="00E25E25">
      <w:pPr>
        <w:pStyle w:val="ListParagraph"/>
        <w:numPr>
          <w:ilvl w:val="0"/>
          <w:numId w:val="1"/>
        </w:numPr>
      </w:pPr>
      <w:r w:rsidRPr="00E25E25">
        <w:t xml:space="preserve">Link function: log(mu) -&gt; expected counts are modelled on the log scale </w:t>
      </w:r>
    </w:p>
    <w:p w14:paraId="33276291" w14:textId="1A85233C" w:rsidR="00E25E25" w:rsidRPr="00E25E25" w:rsidRDefault="00E25E25" w:rsidP="00E25E25">
      <w:pPr>
        <w:pStyle w:val="ListParagraph"/>
        <w:numPr>
          <w:ilvl w:val="0"/>
          <w:numId w:val="1"/>
        </w:numPr>
      </w:pPr>
      <w:r w:rsidRPr="00E25E25">
        <w:t xml:space="preserve">Shape is modeled with </w:t>
      </w:r>
      <w:proofErr w:type="spellStart"/>
      <w:r w:rsidRPr="00E25E25">
        <w:t>identiy</w:t>
      </w:r>
      <w:proofErr w:type="spellEnd"/>
      <w:r w:rsidRPr="00E25E25">
        <w:t xml:space="preserve"> link -&gt; allows for dispersion to vary with group </w:t>
      </w:r>
    </w:p>
    <w:p w14:paraId="6802300B" w14:textId="60F4A0A0" w:rsidR="00E25E25" w:rsidRPr="00E25E25" w:rsidRDefault="00E25E25" w:rsidP="00E25E25">
      <w:r w:rsidRPr="00E25E25">
        <w:t xml:space="preserve">Formula </w:t>
      </w:r>
    </w:p>
    <w:p w14:paraId="1B89DCC3" w14:textId="7B02D637" w:rsidR="00E25E25" w:rsidRPr="00E25E25" w:rsidRDefault="00E25E25" w:rsidP="00E25E25">
      <w:pPr>
        <w:pStyle w:val="ListParagraph"/>
        <w:numPr>
          <w:ilvl w:val="0"/>
          <w:numId w:val="1"/>
        </w:numPr>
      </w:pPr>
      <w:r w:rsidRPr="00E25E25">
        <w:t xml:space="preserve">Each response modeled as: Functional group ~ </w:t>
      </w:r>
      <w:proofErr w:type="spellStart"/>
      <w:r w:rsidRPr="00E25E25">
        <w:t>Classifciation</w:t>
      </w:r>
      <w:proofErr w:type="spellEnd"/>
      <w:r w:rsidRPr="00E25E25">
        <w:t xml:space="preserve"> (1 | p | site) </w:t>
      </w:r>
    </w:p>
    <w:p w14:paraId="70262998" w14:textId="2815D10E" w:rsidR="00E25E25" w:rsidRPr="00E25E25" w:rsidRDefault="00E25E25" w:rsidP="00E25E25">
      <w:pPr>
        <w:pStyle w:val="ListParagraph"/>
        <w:numPr>
          <w:ilvl w:val="0"/>
          <w:numId w:val="1"/>
        </w:numPr>
      </w:pPr>
      <w:r w:rsidRPr="00E25E25">
        <w:t xml:space="preserve">Fixed effect: classification (fringing, pinnacle, shipwreck) </w:t>
      </w:r>
    </w:p>
    <w:p w14:paraId="27AE1EAA" w14:textId="49939C39" w:rsidR="00E25E25" w:rsidRPr="00E25E25" w:rsidRDefault="00E25E25" w:rsidP="00E25E25">
      <w:pPr>
        <w:pStyle w:val="ListParagraph"/>
        <w:numPr>
          <w:ilvl w:val="0"/>
          <w:numId w:val="1"/>
        </w:numPr>
      </w:pPr>
      <w:r w:rsidRPr="00E25E25">
        <w:t xml:space="preserve">Random intercept for each site, with a group level correlation structure across the functional groups </w:t>
      </w:r>
    </w:p>
    <w:p w14:paraId="40E20744" w14:textId="6201A436" w:rsidR="00E25E25" w:rsidRDefault="00E25E25" w:rsidP="00E25E25">
      <w:pPr>
        <w:pStyle w:val="ListParagraph"/>
        <w:numPr>
          <w:ilvl w:val="0"/>
          <w:numId w:val="1"/>
        </w:numPr>
      </w:pPr>
      <w:r w:rsidRPr="00E25E25">
        <w:rPr>
          <w:b/>
          <w:bCs/>
        </w:rPr>
        <w:t>Hierarchical model</w:t>
      </w:r>
      <w:r w:rsidRPr="00E25E25">
        <w:rPr>
          <w:b/>
          <w:bCs/>
          <w:i/>
          <w:iCs/>
        </w:rPr>
        <w:t xml:space="preserve"> </w:t>
      </w:r>
      <w:r w:rsidRPr="00E25E25">
        <w:t xml:space="preserve">allows for site-level variation and correlation between groups </w:t>
      </w:r>
    </w:p>
    <w:p w14:paraId="5E85408E" w14:textId="05509E6E" w:rsidR="00E25E25" w:rsidRDefault="00E25E25" w:rsidP="00E25E25">
      <w:r w:rsidRPr="00E25E25">
        <w:t>Data</w:t>
      </w:r>
    </w:p>
    <w:p w14:paraId="2D14767C" w14:textId="26A636F7" w:rsidR="00E25E25" w:rsidRDefault="00E25E25" w:rsidP="00E25E25">
      <w:pPr>
        <w:pStyle w:val="ListParagraph"/>
        <w:numPr>
          <w:ilvl w:val="0"/>
          <w:numId w:val="1"/>
        </w:numPr>
      </w:pPr>
      <w:r>
        <w:t xml:space="preserve">280 observations (surveys!) </w:t>
      </w:r>
    </w:p>
    <w:p w14:paraId="36397D97" w14:textId="1E522720" w:rsidR="00E25E25" w:rsidRDefault="00E25E25" w:rsidP="00E25E25">
      <w:pPr>
        <w:pStyle w:val="ListParagraph"/>
        <w:numPr>
          <w:ilvl w:val="0"/>
          <w:numId w:val="1"/>
        </w:numPr>
      </w:pPr>
      <w:r>
        <w:t xml:space="preserve">6000 post warmup posterior draws (4 chains x 1500 post-warmup draws) </w:t>
      </w:r>
    </w:p>
    <w:p w14:paraId="1B93AAF3" w14:textId="1E9EAC6B" w:rsidR="00E25E25" w:rsidRDefault="00E25E25" w:rsidP="00E25E25">
      <w:pPr>
        <w:pStyle w:val="ListParagraph"/>
        <w:numPr>
          <w:ilvl w:val="0"/>
          <w:numId w:val="1"/>
        </w:numPr>
      </w:pPr>
      <w:r w:rsidRPr="00E25E25">
        <w:t xml:space="preserve">All </w:t>
      </w:r>
      <w:proofErr w:type="spellStart"/>
      <w:r w:rsidRPr="00E25E25">
        <w:t>Rhat</w:t>
      </w:r>
      <w:proofErr w:type="spellEnd"/>
      <w:r w:rsidRPr="00E25E25">
        <w:t xml:space="preserve"> = 1.00, and effective sample sizes (ESS) are high → the model has converged well.</w:t>
      </w:r>
    </w:p>
    <w:p w14:paraId="208A6985" w14:textId="09CE8ED1" w:rsidR="00E25E25" w:rsidRDefault="00E25E25" w:rsidP="00E25E25">
      <w:r>
        <w:t>Fixed effects (</w:t>
      </w:r>
      <w:proofErr w:type="spellStart"/>
      <w:r>
        <w:t>Classifcation</w:t>
      </w:r>
      <w:proofErr w:type="spellEnd"/>
      <w:r>
        <w:t xml:space="preserve">) </w:t>
      </w:r>
    </w:p>
    <w:p w14:paraId="44C8F6A8" w14:textId="77777777" w:rsidR="00E25E25" w:rsidRPr="00E25E25" w:rsidRDefault="00E25E25" w:rsidP="00E25E25">
      <w:pPr>
        <w:pStyle w:val="code"/>
      </w:pPr>
      <w:r w:rsidRPr="00E25E25">
        <w:t>These are log-scale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951"/>
        <w:gridCol w:w="1411"/>
        <w:gridCol w:w="1426"/>
      </w:tblGrid>
      <w:tr w:rsidR="00E25E25" w:rsidRPr="00E25E25" w14:paraId="23E65E82" w14:textId="77777777" w:rsidTr="00E25E25">
        <w:trPr>
          <w:tblHeader/>
          <w:tblCellSpacing w:w="15" w:type="dxa"/>
        </w:trPr>
        <w:tc>
          <w:tcPr>
            <w:tcW w:w="0" w:type="auto"/>
            <w:vAlign w:val="center"/>
            <w:hideMark/>
          </w:tcPr>
          <w:p w14:paraId="6CAB7474" w14:textId="77777777" w:rsidR="00E25E25" w:rsidRPr="00E25E25" w:rsidRDefault="00E25E25" w:rsidP="00E25E25">
            <w:pPr>
              <w:pStyle w:val="code"/>
            </w:pPr>
            <w:r w:rsidRPr="00E25E25">
              <w:t>Response</w:t>
            </w:r>
          </w:p>
        </w:tc>
        <w:tc>
          <w:tcPr>
            <w:tcW w:w="0" w:type="auto"/>
            <w:vAlign w:val="center"/>
            <w:hideMark/>
          </w:tcPr>
          <w:p w14:paraId="089F75CA" w14:textId="77777777" w:rsidR="00E25E25" w:rsidRPr="00E25E25" w:rsidRDefault="00E25E25" w:rsidP="00E25E25">
            <w:pPr>
              <w:pStyle w:val="code"/>
            </w:pPr>
            <w:r w:rsidRPr="00E25E25">
              <w:t>Intercept (Shipwreck)</w:t>
            </w:r>
          </w:p>
        </w:tc>
        <w:tc>
          <w:tcPr>
            <w:tcW w:w="0" w:type="auto"/>
            <w:vAlign w:val="center"/>
            <w:hideMark/>
          </w:tcPr>
          <w:p w14:paraId="68766C38" w14:textId="77777777" w:rsidR="00E25E25" w:rsidRPr="00E25E25" w:rsidRDefault="00E25E25" w:rsidP="00E25E25">
            <w:pPr>
              <w:pStyle w:val="code"/>
            </w:pPr>
            <w:r w:rsidRPr="00E25E25">
              <w:t>Fringing Effect</w:t>
            </w:r>
          </w:p>
        </w:tc>
        <w:tc>
          <w:tcPr>
            <w:tcW w:w="0" w:type="auto"/>
            <w:vAlign w:val="center"/>
            <w:hideMark/>
          </w:tcPr>
          <w:p w14:paraId="22229622" w14:textId="77777777" w:rsidR="00E25E25" w:rsidRPr="00E25E25" w:rsidRDefault="00E25E25" w:rsidP="00E25E25">
            <w:pPr>
              <w:pStyle w:val="code"/>
            </w:pPr>
            <w:r w:rsidRPr="00E25E25">
              <w:t>Pinnacle Effect</w:t>
            </w:r>
          </w:p>
        </w:tc>
      </w:tr>
      <w:tr w:rsidR="00E25E25" w:rsidRPr="00E25E25" w14:paraId="481E2073" w14:textId="77777777" w:rsidTr="00E25E25">
        <w:trPr>
          <w:tblCellSpacing w:w="15" w:type="dxa"/>
        </w:trPr>
        <w:tc>
          <w:tcPr>
            <w:tcW w:w="0" w:type="auto"/>
            <w:vAlign w:val="center"/>
            <w:hideMark/>
          </w:tcPr>
          <w:p w14:paraId="57C477FE" w14:textId="77777777" w:rsidR="00E25E25" w:rsidRPr="00E25E25" w:rsidRDefault="00E25E25" w:rsidP="00E25E25">
            <w:pPr>
              <w:pStyle w:val="code"/>
            </w:pPr>
            <w:r w:rsidRPr="00E25E25">
              <w:t>Herbivore</w:t>
            </w:r>
          </w:p>
        </w:tc>
        <w:tc>
          <w:tcPr>
            <w:tcW w:w="0" w:type="auto"/>
            <w:vAlign w:val="center"/>
            <w:hideMark/>
          </w:tcPr>
          <w:p w14:paraId="273C3227" w14:textId="77777777" w:rsidR="00E25E25" w:rsidRPr="00E25E25" w:rsidRDefault="00E25E25" w:rsidP="00E25E25">
            <w:pPr>
              <w:pStyle w:val="code"/>
            </w:pPr>
            <w:r w:rsidRPr="00E25E25">
              <w:t>4.77</w:t>
            </w:r>
          </w:p>
        </w:tc>
        <w:tc>
          <w:tcPr>
            <w:tcW w:w="0" w:type="auto"/>
            <w:vAlign w:val="center"/>
            <w:hideMark/>
          </w:tcPr>
          <w:p w14:paraId="4B5CC4B4" w14:textId="77777777" w:rsidR="00E25E25" w:rsidRPr="00E25E25" w:rsidRDefault="00E25E25" w:rsidP="00E25E25">
            <w:pPr>
              <w:pStyle w:val="code"/>
            </w:pPr>
            <w:r w:rsidRPr="00E25E25">
              <w:t>+0.44</w:t>
            </w:r>
          </w:p>
        </w:tc>
        <w:tc>
          <w:tcPr>
            <w:tcW w:w="0" w:type="auto"/>
            <w:vAlign w:val="center"/>
            <w:hideMark/>
          </w:tcPr>
          <w:p w14:paraId="40F3129E" w14:textId="77777777" w:rsidR="00E25E25" w:rsidRPr="00E25E25" w:rsidRDefault="00E25E25" w:rsidP="00E25E25">
            <w:pPr>
              <w:pStyle w:val="code"/>
            </w:pPr>
            <w:r w:rsidRPr="00E25E25">
              <w:t>+0.63</w:t>
            </w:r>
          </w:p>
        </w:tc>
      </w:tr>
      <w:tr w:rsidR="00E25E25" w:rsidRPr="00E25E25" w14:paraId="5367C47C" w14:textId="77777777" w:rsidTr="00E25E25">
        <w:trPr>
          <w:tblCellSpacing w:w="15" w:type="dxa"/>
        </w:trPr>
        <w:tc>
          <w:tcPr>
            <w:tcW w:w="0" w:type="auto"/>
            <w:vAlign w:val="center"/>
            <w:hideMark/>
          </w:tcPr>
          <w:p w14:paraId="46CFA894" w14:textId="77777777" w:rsidR="00E25E25" w:rsidRPr="00E25E25" w:rsidRDefault="00E25E25" w:rsidP="00E25E25">
            <w:pPr>
              <w:pStyle w:val="code"/>
            </w:pPr>
            <w:r w:rsidRPr="00E25E25">
              <w:t>Invertivore</w:t>
            </w:r>
          </w:p>
        </w:tc>
        <w:tc>
          <w:tcPr>
            <w:tcW w:w="0" w:type="auto"/>
            <w:vAlign w:val="center"/>
            <w:hideMark/>
          </w:tcPr>
          <w:p w14:paraId="27831693" w14:textId="77777777" w:rsidR="00E25E25" w:rsidRPr="00E25E25" w:rsidRDefault="00E25E25" w:rsidP="00E25E25">
            <w:pPr>
              <w:pStyle w:val="code"/>
            </w:pPr>
            <w:r w:rsidRPr="00E25E25">
              <w:t>4.37</w:t>
            </w:r>
          </w:p>
        </w:tc>
        <w:tc>
          <w:tcPr>
            <w:tcW w:w="0" w:type="auto"/>
            <w:vAlign w:val="center"/>
            <w:hideMark/>
          </w:tcPr>
          <w:p w14:paraId="6B05D2F3" w14:textId="77777777" w:rsidR="00E25E25" w:rsidRPr="00E25E25" w:rsidRDefault="00E25E25" w:rsidP="00E25E25">
            <w:pPr>
              <w:pStyle w:val="code"/>
            </w:pPr>
            <w:r w:rsidRPr="00E25E25">
              <w:t>–0.02</w:t>
            </w:r>
          </w:p>
        </w:tc>
        <w:tc>
          <w:tcPr>
            <w:tcW w:w="0" w:type="auto"/>
            <w:vAlign w:val="center"/>
            <w:hideMark/>
          </w:tcPr>
          <w:p w14:paraId="597AB467" w14:textId="77777777" w:rsidR="00E25E25" w:rsidRPr="00E25E25" w:rsidRDefault="00E25E25" w:rsidP="00E25E25">
            <w:pPr>
              <w:pStyle w:val="code"/>
            </w:pPr>
            <w:r w:rsidRPr="00E25E25">
              <w:t>+0.51</w:t>
            </w:r>
          </w:p>
        </w:tc>
      </w:tr>
      <w:tr w:rsidR="00E25E25" w:rsidRPr="00E25E25" w14:paraId="6844D81A" w14:textId="77777777" w:rsidTr="00E25E25">
        <w:trPr>
          <w:tblCellSpacing w:w="15" w:type="dxa"/>
        </w:trPr>
        <w:tc>
          <w:tcPr>
            <w:tcW w:w="0" w:type="auto"/>
            <w:vAlign w:val="center"/>
            <w:hideMark/>
          </w:tcPr>
          <w:p w14:paraId="4EE9A68F" w14:textId="77777777" w:rsidR="00E25E25" w:rsidRPr="00E25E25" w:rsidRDefault="00E25E25" w:rsidP="00E25E25">
            <w:pPr>
              <w:pStyle w:val="code"/>
            </w:pPr>
            <w:proofErr w:type="spellStart"/>
            <w:r w:rsidRPr="00E25E25">
              <w:t>Mesopredator</w:t>
            </w:r>
            <w:proofErr w:type="spellEnd"/>
          </w:p>
        </w:tc>
        <w:tc>
          <w:tcPr>
            <w:tcW w:w="0" w:type="auto"/>
            <w:vAlign w:val="center"/>
            <w:hideMark/>
          </w:tcPr>
          <w:p w14:paraId="74A789CC" w14:textId="77777777" w:rsidR="00E25E25" w:rsidRPr="00E25E25" w:rsidRDefault="00E25E25" w:rsidP="00E25E25">
            <w:pPr>
              <w:pStyle w:val="code"/>
            </w:pPr>
            <w:r w:rsidRPr="00E25E25">
              <w:t>5.20</w:t>
            </w:r>
          </w:p>
        </w:tc>
        <w:tc>
          <w:tcPr>
            <w:tcW w:w="0" w:type="auto"/>
            <w:vAlign w:val="center"/>
            <w:hideMark/>
          </w:tcPr>
          <w:p w14:paraId="5A5E4CBF" w14:textId="77777777" w:rsidR="00E25E25" w:rsidRPr="00E25E25" w:rsidRDefault="00E25E25" w:rsidP="00E25E25">
            <w:pPr>
              <w:pStyle w:val="code"/>
            </w:pPr>
            <w:r w:rsidRPr="00E25E25">
              <w:t>–0.54</w:t>
            </w:r>
          </w:p>
        </w:tc>
        <w:tc>
          <w:tcPr>
            <w:tcW w:w="0" w:type="auto"/>
            <w:vAlign w:val="center"/>
            <w:hideMark/>
          </w:tcPr>
          <w:p w14:paraId="6EB31BF7" w14:textId="77777777" w:rsidR="00E25E25" w:rsidRPr="00E25E25" w:rsidRDefault="00E25E25" w:rsidP="00E25E25">
            <w:pPr>
              <w:pStyle w:val="code"/>
            </w:pPr>
            <w:r w:rsidRPr="00E25E25">
              <w:t>+0.40</w:t>
            </w:r>
          </w:p>
        </w:tc>
      </w:tr>
      <w:tr w:rsidR="00E25E25" w:rsidRPr="00E25E25" w14:paraId="00FCC8D1" w14:textId="77777777" w:rsidTr="00E25E25">
        <w:trPr>
          <w:tblCellSpacing w:w="15" w:type="dxa"/>
        </w:trPr>
        <w:tc>
          <w:tcPr>
            <w:tcW w:w="0" w:type="auto"/>
            <w:vAlign w:val="center"/>
            <w:hideMark/>
          </w:tcPr>
          <w:p w14:paraId="34234393" w14:textId="77777777" w:rsidR="00E25E25" w:rsidRPr="00E25E25" w:rsidRDefault="00E25E25" w:rsidP="00E25E25">
            <w:pPr>
              <w:pStyle w:val="code"/>
            </w:pPr>
            <w:r w:rsidRPr="00E25E25">
              <w:t>HTLP</w:t>
            </w:r>
          </w:p>
        </w:tc>
        <w:tc>
          <w:tcPr>
            <w:tcW w:w="0" w:type="auto"/>
            <w:vAlign w:val="center"/>
            <w:hideMark/>
          </w:tcPr>
          <w:p w14:paraId="47E427FB" w14:textId="77777777" w:rsidR="00E25E25" w:rsidRPr="00E25E25" w:rsidRDefault="00E25E25" w:rsidP="00E25E25">
            <w:pPr>
              <w:pStyle w:val="code"/>
            </w:pPr>
            <w:r w:rsidRPr="00E25E25">
              <w:t>3.90</w:t>
            </w:r>
          </w:p>
        </w:tc>
        <w:tc>
          <w:tcPr>
            <w:tcW w:w="0" w:type="auto"/>
            <w:vAlign w:val="center"/>
            <w:hideMark/>
          </w:tcPr>
          <w:p w14:paraId="16DEB043" w14:textId="77777777" w:rsidR="00E25E25" w:rsidRPr="00E25E25" w:rsidRDefault="00E25E25" w:rsidP="00E25E25">
            <w:pPr>
              <w:pStyle w:val="code"/>
            </w:pPr>
            <w:r w:rsidRPr="00E25E25">
              <w:t>–0.99</w:t>
            </w:r>
          </w:p>
        </w:tc>
        <w:tc>
          <w:tcPr>
            <w:tcW w:w="0" w:type="auto"/>
            <w:vAlign w:val="center"/>
            <w:hideMark/>
          </w:tcPr>
          <w:p w14:paraId="781CB947" w14:textId="77777777" w:rsidR="00E25E25" w:rsidRPr="00E25E25" w:rsidRDefault="00E25E25" w:rsidP="00E25E25">
            <w:pPr>
              <w:pStyle w:val="code"/>
            </w:pPr>
            <w:r w:rsidRPr="00E25E25">
              <w:t>+0.18</w:t>
            </w:r>
          </w:p>
        </w:tc>
      </w:tr>
    </w:tbl>
    <w:p w14:paraId="7CB09C51" w14:textId="77777777" w:rsidR="00E25E25" w:rsidRPr="00E25E25" w:rsidRDefault="00E25E25" w:rsidP="00E25E25">
      <w:pPr>
        <w:pStyle w:val="code"/>
      </w:pPr>
      <w:r w:rsidRPr="00E25E25">
        <w:t>Interpretation:</w:t>
      </w:r>
    </w:p>
    <w:p w14:paraId="1E69B794" w14:textId="77777777" w:rsidR="00E25E25" w:rsidRPr="00E25E25" w:rsidRDefault="00E25E25" w:rsidP="00E25E25">
      <w:pPr>
        <w:pStyle w:val="code"/>
        <w:numPr>
          <w:ilvl w:val="0"/>
          <w:numId w:val="3"/>
        </w:numPr>
      </w:pPr>
      <w:r w:rsidRPr="00E25E25">
        <w:rPr>
          <w:b/>
          <w:bCs/>
        </w:rPr>
        <w:t>Shipwreck</w:t>
      </w:r>
      <w:r w:rsidRPr="00E25E25">
        <w:t> is the reference level (the intercept)</w:t>
      </w:r>
    </w:p>
    <w:p w14:paraId="58B47A36" w14:textId="77777777" w:rsidR="00E25E25" w:rsidRPr="00E25E25" w:rsidRDefault="00E25E25" w:rsidP="00E25E25">
      <w:pPr>
        <w:pStyle w:val="code"/>
        <w:numPr>
          <w:ilvl w:val="0"/>
          <w:numId w:val="3"/>
        </w:numPr>
      </w:pPr>
      <w:r w:rsidRPr="00E25E25">
        <w:t>Fringing reefs show:</w:t>
      </w:r>
    </w:p>
    <w:p w14:paraId="1EC15478" w14:textId="77777777" w:rsidR="00E25E25" w:rsidRPr="00E25E25" w:rsidRDefault="00E25E25" w:rsidP="00E25E25">
      <w:pPr>
        <w:pStyle w:val="code"/>
        <w:numPr>
          <w:ilvl w:val="0"/>
          <w:numId w:val="3"/>
        </w:numPr>
      </w:pPr>
      <w:r w:rsidRPr="00E25E25">
        <w:t>Slight </w:t>
      </w:r>
      <w:r w:rsidRPr="00E25E25">
        <w:rPr>
          <w:b/>
          <w:bCs/>
        </w:rPr>
        <w:t>increase</w:t>
      </w:r>
      <w:r w:rsidRPr="00E25E25">
        <w:t> in herbivores (+0.44), but 95% CI overlaps 0</w:t>
      </w:r>
    </w:p>
    <w:p w14:paraId="79D233D1" w14:textId="77777777" w:rsidR="00E25E25" w:rsidRPr="00E25E25" w:rsidRDefault="00E25E25" w:rsidP="00E25E25">
      <w:pPr>
        <w:pStyle w:val="code"/>
        <w:numPr>
          <w:ilvl w:val="0"/>
          <w:numId w:val="3"/>
        </w:numPr>
      </w:pPr>
      <w:r w:rsidRPr="00E25E25">
        <w:t>Fewer mesopredators (–0.54) and much fewer HTLPs (–0.99)</w:t>
      </w:r>
    </w:p>
    <w:p w14:paraId="101AC9EC" w14:textId="77777777" w:rsidR="00E25E25" w:rsidRPr="00E25E25" w:rsidRDefault="00E25E25" w:rsidP="00E25E25">
      <w:pPr>
        <w:pStyle w:val="code"/>
        <w:numPr>
          <w:ilvl w:val="0"/>
          <w:numId w:val="3"/>
        </w:numPr>
      </w:pPr>
      <w:r w:rsidRPr="00E25E25">
        <w:t>Pinnacles show:</w:t>
      </w:r>
    </w:p>
    <w:p w14:paraId="6EC112E9" w14:textId="77777777" w:rsidR="00E25E25" w:rsidRPr="00E25E25" w:rsidRDefault="00E25E25" w:rsidP="00E25E25">
      <w:pPr>
        <w:pStyle w:val="code"/>
        <w:numPr>
          <w:ilvl w:val="0"/>
          <w:numId w:val="3"/>
        </w:numPr>
      </w:pPr>
      <w:r w:rsidRPr="00E25E25">
        <w:t>More herbivores, invertivores, and mesopredators (positive effects)</w:t>
      </w:r>
    </w:p>
    <w:p w14:paraId="7FFF6CFA" w14:textId="77777777" w:rsidR="00E25E25" w:rsidRPr="00E25E25" w:rsidRDefault="00E25E25" w:rsidP="00E25E25">
      <w:pPr>
        <w:pStyle w:val="code"/>
        <w:numPr>
          <w:ilvl w:val="0"/>
          <w:numId w:val="3"/>
        </w:numPr>
      </w:pPr>
      <w:r w:rsidRPr="00E25E25">
        <w:t>Slight increase in HTLPs (+0.18), but not statistically clear</w:t>
      </w:r>
    </w:p>
    <w:p w14:paraId="0504A816" w14:textId="77777777" w:rsidR="00E25E25" w:rsidRDefault="00E25E25" w:rsidP="00E25E25">
      <w:pPr>
        <w:pStyle w:val="code"/>
      </w:pPr>
      <w:r w:rsidRPr="00E25E25">
        <w:t>Overall:</w:t>
      </w:r>
      <w:r w:rsidRPr="00E25E25">
        <w:br/>
        <w:t>Shipwrecks are intermediate, pinnacles are richer in fish, and fringing reefs show lower abundance for higher trophic groups.</w:t>
      </w:r>
    </w:p>
    <w:p w14:paraId="4BD3869C" w14:textId="77777777" w:rsidR="00E25E25" w:rsidRDefault="00E25E25" w:rsidP="00E25E25">
      <w:pPr>
        <w:pStyle w:val="code"/>
      </w:pPr>
    </w:p>
    <w:p w14:paraId="043B4306" w14:textId="6DD9C300" w:rsidR="00E25E25" w:rsidRDefault="00E25E25" w:rsidP="00E25E25">
      <w:r>
        <w:t xml:space="preserve">Distributional Parameters: </w:t>
      </w:r>
    </w:p>
    <w:p w14:paraId="5D1B0A84" w14:textId="0EA22F31" w:rsidR="00E25E25" w:rsidRDefault="00E25E25" w:rsidP="00E25E25">
      <w:pPr>
        <w:pStyle w:val="ListParagraph"/>
        <w:numPr>
          <w:ilvl w:val="0"/>
          <w:numId w:val="3"/>
        </w:numPr>
      </w:pPr>
      <w:r>
        <w:t xml:space="preserve">Herbivores: 2.07 shape estimate =&gt; lower overdispersion </w:t>
      </w:r>
    </w:p>
    <w:p w14:paraId="34E916E5" w14:textId="30C3D527" w:rsidR="00E25E25" w:rsidRDefault="00E25E25" w:rsidP="00E25E25">
      <w:pPr>
        <w:pStyle w:val="ListParagraph"/>
        <w:numPr>
          <w:ilvl w:val="0"/>
          <w:numId w:val="3"/>
        </w:numPr>
      </w:pPr>
      <w:r>
        <w:t xml:space="preserve">Mesopredators: 1.17 =&gt; More </w:t>
      </w:r>
      <w:proofErr w:type="spellStart"/>
      <w:r>
        <w:t>overdispersed</w:t>
      </w:r>
      <w:proofErr w:type="spellEnd"/>
      <w:r>
        <w:t xml:space="preserve"> </w:t>
      </w:r>
    </w:p>
    <w:p w14:paraId="490A6083" w14:textId="3F28623F" w:rsidR="00E25E25" w:rsidRDefault="00E25E25" w:rsidP="00E25E25">
      <w:pPr>
        <w:pStyle w:val="ListParagraph"/>
        <w:numPr>
          <w:ilvl w:val="0"/>
          <w:numId w:val="3"/>
        </w:numPr>
      </w:pPr>
      <w:r>
        <w:lastRenderedPageBreak/>
        <w:t xml:space="preserve">HTLPs: 1.30 =&gt; Highest variability in counts across surveys </w:t>
      </w:r>
      <w:r w:rsidRPr="00E25E25">
        <w:rPr>
          <w:i/>
          <w:iCs/>
        </w:rPr>
        <w:t xml:space="preserve">(this is why we used a negative binomial </w:t>
      </w:r>
      <w:proofErr w:type="spellStart"/>
      <w:r w:rsidRPr="00E25E25">
        <w:rPr>
          <w:i/>
          <w:iCs/>
        </w:rPr>
        <w:t>tho</w:t>
      </w:r>
      <w:proofErr w:type="spellEnd"/>
      <w:r w:rsidRPr="00E25E25">
        <w:rPr>
          <w:i/>
          <w:iCs/>
        </w:rPr>
        <w:t>)</w:t>
      </w:r>
      <w:r>
        <w:t xml:space="preserve"> </w:t>
      </w:r>
      <w:r>
        <w:br/>
      </w:r>
    </w:p>
    <w:p w14:paraId="448379CE" w14:textId="0A330368" w:rsidR="00E25E25" w:rsidRDefault="00E25E25" w:rsidP="00E25E25">
      <w:r>
        <w:t xml:space="preserve">Summary: </w:t>
      </w:r>
    </w:p>
    <w:p w14:paraId="75C6BF59" w14:textId="2AF2653E" w:rsidR="00E25E25" w:rsidRPr="00E25E25" w:rsidRDefault="00E25E25" w:rsidP="00E25E25">
      <w:pPr>
        <w:pStyle w:val="code"/>
        <w:numPr>
          <w:ilvl w:val="0"/>
          <w:numId w:val="3"/>
        </w:numPr>
      </w:pPr>
      <w:r w:rsidRPr="00E25E25">
        <w:t>There is strong </w:t>
      </w:r>
      <w:r w:rsidRPr="00E25E25">
        <w:rPr>
          <w:b/>
          <w:bCs/>
        </w:rPr>
        <w:t>site-level variation</w:t>
      </w:r>
      <w:r w:rsidRPr="00E25E25">
        <w:t> in fish abundance, and this variation is correlated across trophic groups.</w:t>
      </w:r>
    </w:p>
    <w:p w14:paraId="64A7AF44" w14:textId="49A91DC8" w:rsidR="00E25E25" w:rsidRPr="00E25E25" w:rsidRDefault="00E25E25" w:rsidP="00E25E25">
      <w:pPr>
        <w:pStyle w:val="code"/>
        <w:numPr>
          <w:ilvl w:val="0"/>
          <w:numId w:val="3"/>
        </w:numPr>
      </w:pPr>
      <w:r w:rsidRPr="00E25E25">
        <w:rPr>
          <w:b/>
          <w:bCs/>
        </w:rPr>
        <w:t>Pinnacles</w:t>
      </w:r>
      <w:r w:rsidRPr="00E25E25">
        <w:t> tend to support </w:t>
      </w:r>
      <w:r w:rsidRPr="00E25E25">
        <w:rPr>
          <w:b/>
          <w:bCs/>
        </w:rPr>
        <w:t>higher fish abundances</w:t>
      </w:r>
      <w:r w:rsidRPr="00E25E25">
        <w:t>, particularly mesopredators and invertivores.</w:t>
      </w:r>
    </w:p>
    <w:p w14:paraId="0FFBC02A" w14:textId="77E85AF8" w:rsidR="00E25E25" w:rsidRPr="00E25E25" w:rsidRDefault="00E25E25" w:rsidP="00E25E25">
      <w:pPr>
        <w:pStyle w:val="code"/>
        <w:numPr>
          <w:ilvl w:val="0"/>
          <w:numId w:val="3"/>
        </w:numPr>
      </w:pPr>
      <w:r w:rsidRPr="00E25E25">
        <w:rPr>
          <w:b/>
          <w:bCs/>
        </w:rPr>
        <w:t>Shipwrecks</w:t>
      </w:r>
      <w:r w:rsidRPr="00E25E25">
        <w:t> are intermediate, and </w:t>
      </w:r>
      <w:r w:rsidRPr="00E25E25">
        <w:rPr>
          <w:b/>
          <w:bCs/>
        </w:rPr>
        <w:t>fringing reefs</w:t>
      </w:r>
      <w:r w:rsidRPr="00E25E25">
        <w:t> tend to support </w:t>
      </w:r>
      <w:r w:rsidRPr="00E25E25">
        <w:rPr>
          <w:b/>
          <w:bCs/>
        </w:rPr>
        <w:t>lower abundance</w:t>
      </w:r>
      <w:r w:rsidRPr="00E25E25">
        <w:t> of higher trophic groups (especially HTLPs).</w:t>
      </w:r>
    </w:p>
    <w:p w14:paraId="4807B36B" w14:textId="27F6C9B7" w:rsidR="00E25E25" w:rsidRDefault="00E25E25" w:rsidP="00E25E25">
      <w:pPr>
        <w:pStyle w:val="code"/>
        <w:numPr>
          <w:ilvl w:val="0"/>
          <w:numId w:val="3"/>
        </w:numPr>
      </w:pPr>
      <w:r w:rsidRPr="00E25E25">
        <w:t>The </w:t>
      </w:r>
      <w:r w:rsidRPr="00E25E25">
        <w:rPr>
          <w:b/>
          <w:bCs/>
        </w:rPr>
        <w:t>posterior uncertainty</w:t>
      </w:r>
      <w:r w:rsidRPr="00E25E25">
        <w:t> is relatively wide for many effects (CI spans 0), suggesting ecological trends but not high statistical certainty in all contrasts.</w:t>
      </w:r>
    </w:p>
    <w:p w14:paraId="49095725" w14:textId="68ECEB90" w:rsidR="00E25E25" w:rsidRPr="00E25E25" w:rsidRDefault="00E25E25" w:rsidP="00E25E25">
      <w:pPr>
        <w:rPr>
          <w:u w:val="single"/>
        </w:rPr>
      </w:pPr>
      <w:r w:rsidRPr="00E25E25">
        <w:rPr>
          <w:u w:val="single"/>
        </w:rPr>
        <w:t>Other things to note from random effects (for location) [i.e. Multilevel hyperparameters]</w:t>
      </w:r>
    </w:p>
    <w:p w14:paraId="5B35F929" w14:textId="22D40580" w:rsidR="00E25E25" w:rsidRPr="00E25E25" w:rsidRDefault="00E25E25" w:rsidP="00E25E25">
      <w:pPr>
        <w:rPr>
          <w:i/>
          <w:iCs/>
        </w:rPr>
      </w:pPr>
      <w:r w:rsidRPr="00E25E25">
        <w:rPr>
          <w:i/>
          <w:iCs/>
        </w:rPr>
        <w:t>Looking at Standard Deviations (</w:t>
      </w:r>
      <w:proofErr w:type="spellStart"/>
      <w:r w:rsidRPr="00E25E25">
        <w:rPr>
          <w:i/>
          <w:iCs/>
        </w:rPr>
        <w:t>sd</w:t>
      </w:r>
      <w:proofErr w:type="spellEnd"/>
      <w:r w:rsidRPr="00E25E25">
        <w:rPr>
          <w:i/>
          <w:iCs/>
        </w:rPr>
        <w:t xml:space="preserve">) </w:t>
      </w:r>
    </w:p>
    <w:p w14:paraId="59368C9B" w14:textId="3D0AC2D8" w:rsidR="00E25E25" w:rsidRDefault="00E25E25" w:rsidP="00E25E25">
      <w:pPr>
        <w:pStyle w:val="ListParagraph"/>
        <w:numPr>
          <w:ilvl w:val="0"/>
          <w:numId w:val="6"/>
        </w:numPr>
      </w:pPr>
      <w:r>
        <w:t xml:space="preserve">Sites with more herbivores also tend to have more invertivores </w:t>
      </w:r>
    </w:p>
    <w:p w14:paraId="4FE381E1" w14:textId="6DFD2177" w:rsidR="00E25E25" w:rsidRDefault="00E25E25" w:rsidP="00E25E25">
      <w:pPr>
        <w:pStyle w:val="ListParagraph"/>
        <w:numPr>
          <w:ilvl w:val="0"/>
          <w:numId w:val="6"/>
        </w:numPr>
      </w:pPr>
      <w:r>
        <w:t xml:space="preserve">Herbivores and invertivores vary moderately across sites </w:t>
      </w:r>
    </w:p>
    <w:p w14:paraId="507AA2C5" w14:textId="749B183F" w:rsidR="00E25E25" w:rsidRDefault="00E25E25" w:rsidP="00E25E25">
      <w:pPr>
        <w:pStyle w:val="ListParagraph"/>
        <w:numPr>
          <w:ilvl w:val="0"/>
          <w:numId w:val="6"/>
        </w:numPr>
      </w:pPr>
      <w:r>
        <w:t xml:space="preserve">More variation in mesopredators counts between sites </w:t>
      </w:r>
    </w:p>
    <w:p w14:paraId="3C6A1550" w14:textId="40607EC0" w:rsidR="00E25E25" w:rsidRDefault="00E25E25" w:rsidP="00E25E25">
      <w:pPr>
        <w:pStyle w:val="ListParagraph"/>
        <w:numPr>
          <w:ilvl w:val="0"/>
          <w:numId w:val="6"/>
        </w:numPr>
      </w:pPr>
      <w:r>
        <w:t xml:space="preserve">HTLPs vary the most across sites </w:t>
      </w:r>
    </w:p>
    <w:p w14:paraId="6E581503" w14:textId="1E4A82BA" w:rsidR="00E25E25" w:rsidRDefault="00E25E25" w:rsidP="00E25E25">
      <w:pPr>
        <w:pStyle w:val="ListParagraph"/>
        <w:numPr>
          <w:ilvl w:val="0"/>
          <w:numId w:val="6"/>
        </w:numPr>
      </w:pPr>
      <w:r>
        <w:t xml:space="preserve">=&gt; Some functional groups are more spatially variable than others </w:t>
      </w:r>
    </w:p>
    <w:p w14:paraId="54413DE6" w14:textId="4E3FB1F1" w:rsidR="00E25E25" w:rsidRDefault="00E25E25" w:rsidP="00E25E25">
      <w:pPr>
        <w:rPr>
          <w:i/>
          <w:iCs/>
        </w:rPr>
      </w:pPr>
      <w:r>
        <w:rPr>
          <w:i/>
          <w:iCs/>
        </w:rPr>
        <w:t>Correlations between site intercepts (</w:t>
      </w:r>
      <w:proofErr w:type="spellStart"/>
      <w:r>
        <w:rPr>
          <w:i/>
          <w:iCs/>
        </w:rPr>
        <w:t>cor</w:t>
      </w:r>
      <w:proofErr w:type="spellEnd"/>
      <w:r>
        <w:rPr>
          <w:i/>
          <w:iCs/>
        </w:rPr>
        <w:t xml:space="preserve">) </w:t>
      </w:r>
    </w:p>
    <w:p w14:paraId="449209C2" w14:textId="40E4E2BB" w:rsidR="00E25E25" w:rsidRDefault="00E25E25" w:rsidP="00E25E25">
      <w:pPr>
        <w:pStyle w:val="ListParagraph"/>
        <w:numPr>
          <w:ilvl w:val="0"/>
          <w:numId w:val="6"/>
        </w:numPr>
      </w:pPr>
      <w:r>
        <w:t xml:space="preserve">These indicate whether sites that are high in one group also tend to be high in others </w:t>
      </w:r>
    </w:p>
    <w:p w14:paraId="4E2C9AAC" w14:textId="1D040EEA" w:rsidR="00E25E25" w:rsidRPr="00E25E25" w:rsidRDefault="00E25E25" w:rsidP="00E25E25">
      <w:pPr>
        <w:pStyle w:val="ListParagraph"/>
        <w:numPr>
          <w:ilvl w:val="0"/>
          <w:numId w:val="6"/>
        </w:numPr>
      </w:pPr>
      <w:r>
        <w:t xml:space="preserve">General positive </w:t>
      </w:r>
      <w:proofErr w:type="spellStart"/>
      <w:r>
        <w:t>corvariance</w:t>
      </w:r>
      <w:proofErr w:type="spellEnd"/>
      <w:r>
        <w:t xml:space="preserve"> =&gt; good sites are good across groups, rather than trader-offs (e.g. predator-dominated vs grazer-dominated systems) </w:t>
      </w:r>
    </w:p>
    <w:p w14:paraId="728B78FD" w14:textId="6A7AF77F" w:rsidR="00E25E25" w:rsidRPr="00E25E25" w:rsidRDefault="00E25E25" w:rsidP="00E25E25">
      <w:pPr>
        <w:pBdr>
          <w:bottom w:val="single" w:sz="4" w:space="1" w:color="auto"/>
        </w:pBdr>
      </w:pPr>
    </w:p>
    <w:p w14:paraId="3F3285C2" w14:textId="77777777" w:rsidR="00516123" w:rsidRDefault="00516123">
      <w:pPr>
        <w:rPr>
          <w:highlight w:val="yellow"/>
        </w:rPr>
      </w:pPr>
      <w:r>
        <w:rPr>
          <w:highlight w:val="yellow"/>
        </w:rPr>
        <w:br w:type="page"/>
      </w:r>
    </w:p>
    <w:p w14:paraId="02DAC6A7" w14:textId="78D28483" w:rsidR="00E25E25" w:rsidRDefault="00E25E25" w:rsidP="00516123">
      <w:r w:rsidRPr="00E25E25">
        <w:rPr>
          <w:highlight w:val="yellow"/>
        </w:rPr>
        <w:lastRenderedPageBreak/>
        <w:t xml:space="preserve">## from </w:t>
      </w:r>
      <w:proofErr w:type="spellStart"/>
      <w:r w:rsidRPr="00E25E25">
        <w:rPr>
          <w:highlight w:val="yellow"/>
        </w:rPr>
        <w:t>fit_re</w:t>
      </w:r>
      <w:proofErr w:type="spellEnd"/>
      <w:r w:rsidRPr="00E25E25">
        <w:rPr>
          <w:highlight w:val="yellow"/>
        </w:rPr>
        <w:t xml:space="preserve"> – </w:t>
      </w:r>
      <w:r w:rsidRPr="00E25E25">
        <w:rPr>
          <w:b/>
          <w:bCs/>
          <w:highlight w:val="yellow"/>
        </w:rPr>
        <w:t>predicted values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871"/>
        <w:gridCol w:w="781"/>
        <w:gridCol w:w="796"/>
      </w:tblGrid>
      <w:tr w:rsidR="00E25E25" w:rsidRPr="00516123" w14:paraId="02C3C51A" w14:textId="77777777" w:rsidTr="00E25E25">
        <w:trPr>
          <w:tblHeader/>
          <w:tblCellSpacing w:w="15" w:type="dxa"/>
        </w:trPr>
        <w:tc>
          <w:tcPr>
            <w:tcW w:w="0" w:type="auto"/>
            <w:vAlign w:val="center"/>
            <w:hideMark/>
          </w:tcPr>
          <w:p w14:paraId="37E2809B" w14:textId="77777777" w:rsidR="00E25E25" w:rsidRPr="00516123" w:rsidRDefault="00E25E25" w:rsidP="00516123">
            <w:pPr>
              <w:pStyle w:val="code"/>
            </w:pPr>
            <w:r w:rsidRPr="00516123">
              <w:t>Functional Group</w:t>
            </w:r>
          </w:p>
        </w:tc>
        <w:tc>
          <w:tcPr>
            <w:tcW w:w="0" w:type="auto"/>
            <w:vAlign w:val="center"/>
            <w:hideMark/>
          </w:tcPr>
          <w:p w14:paraId="076C9BCB" w14:textId="77777777" w:rsidR="00E25E25" w:rsidRPr="00516123" w:rsidRDefault="00E25E25" w:rsidP="00516123">
            <w:pPr>
              <w:pStyle w:val="code"/>
            </w:pPr>
            <w:r w:rsidRPr="00516123">
              <w:t>Shipwreck</w:t>
            </w:r>
          </w:p>
        </w:tc>
        <w:tc>
          <w:tcPr>
            <w:tcW w:w="0" w:type="auto"/>
            <w:vAlign w:val="center"/>
            <w:hideMark/>
          </w:tcPr>
          <w:p w14:paraId="6CA17A48" w14:textId="77777777" w:rsidR="00E25E25" w:rsidRPr="00516123" w:rsidRDefault="00E25E25" w:rsidP="00516123">
            <w:pPr>
              <w:pStyle w:val="code"/>
            </w:pPr>
            <w:r w:rsidRPr="00516123">
              <w:t>Fringing</w:t>
            </w:r>
          </w:p>
        </w:tc>
        <w:tc>
          <w:tcPr>
            <w:tcW w:w="0" w:type="auto"/>
            <w:vAlign w:val="center"/>
            <w:hideMark/>
          </w:tcPr>
          <w:p w14:paraId="09DD1D90" w14:textId="77777777" w:rsidR="00E25E25" w:rsidRPr="00516123" w:rsidRDefault="00E25E25" w:rsidP="00516123">
            <w:pPr>
              <w:pStyle w:val="code"/>
            </w:pPr>
            <w:r w:rsidRPr="00516123">
              <w:t>Pinnacle</w:t>
            </w:r>
          </w:p>
        </w:tc>
      </w:tr>
      <w:tr w:rsidR="00E25E25" w:rsidRPr="00516123" w14:paraId="0D64CF0B" w14:textId="77777777" w:rsidTr="00E25E25">
        <w:trPr>
          <w:tblCellSpacing w:w="15" w:type="dxa"/>
        </w:trPr>
        <w:tc>
          <w:tcPr>
            <w:tcW w:w="0" w:type="auto"/>
            <w:vAlign w:val="center"/>
            <w:hideMark/>
          </w:tcPr>
          <w:p w14:paraId="2B6D3B3B" w14:textId="77777777" w:rsidR="00E25E25" w:rsidRPr="00516123" w:rsidRDefault="00E25E25" w:rsidP="00516123">
            <w:pPr>
              <w:pStyle w:val="code"/>
            </w:pPr>
            <w:r w:rsidRPr="00516123">
              <w:t>Herbivore</w:t>
            </w:r>
          </w:p>
        </w:tc>
        <w:tc>
          <w:tcPr>
            <w:tcW w:w="0" w:type="auto"/>
            <w:vAlign w:val="center"/>
            <w:hideMark/>
          </w:tcPr>
          <w:p w14:paraId="18861689" w14:textId="77777777" w:rsidR="00E25E25" w:rsidRPr="00516123" w:rsidRDefault="00E25E25" w:rsidP="00516123">
            <w:pPr>
              <w:pStyle w:val="code"/>
            </w:pPr>
            <w:r w:rsidRPr="00516123">
              <w:t>118</w:t>
            </w:r>
          </w:p>
        </w:tc>
        <w:tc>
          <w:tcPr>
            <w:tcW w:w="0" w:type="auto"/>
            <w:vAlign w:val="center"/>
            <w:hideMark/>
          </w:tcPr>
          <w:p w14:paraId="6B1B56EA" w14:textId="77777777" w:rsidR="00E25E25" w:rsidRPr="00516123" w:rsidRDefault="00E25E25" w:rsidP="00516123">
            <w:pPr>
              <w:pStyle w:val="code"/>
            </w:pPr>
            <w:r w:rsidRPr="00516123">
              <w:t>183</w:t>
            </w:r>
          </w:p>
        </w:tc>
        <w:tc>
          <w:tcPr>
            <w:tcW w:w="0" w:type="auto"/>
            <w:vAlign w:val="center"/>
            <w:hideMark/>
          </w:tcPr>
          <w:p w14:paraId="12E24459" w14:textId="77777777" w:rsidR="00E25E25" w:rsidRPr="00516123" w:rsidRDefault="00E25E25" w:rsidP="00516123">
            <w:pPr>
              <w:pStyle w:val="code"/>
            </w:pPr>
            <w:r w:rsidRPr="00516123">
              <w:t>222</w:t>
            </w:r>
          </w:p>
        </w:tc>
      </w:tr>
      <w:tr w:rsidR="00E25E25" w:rsidRPr="00516123" w14:paraId="4ADF17E2" w14:textId="77777777" w:rsidTr="00E25E25">
        <w:trPr>
          <w:tblCellSpacing w:w="15" w:type="dxa"/>
        </w:trPr>
        <w:tc>
          <w:tcPr>
            <w:tcW w:w="0" w:type="auto"/>
            <w:vAlign w:val="center"/>
            <w:hideMark/>
          </w:tcPr>
          <w:p w14:paraId="6F67A220" w14:textId="77777777" w:rsidR="00E25E25" w:rsidRPr="00516123" w:rsidRDefault="00E25E25" w:rsidP="00516123">
            <w:pPr>
              <w:pStyle w:val="code"/>
            </w:pPr>
            <w:r w:rsidRPr="00516123">
              <w:t>Invertivore</w:t>
            </w:r>
          </w:p>
        </w:tc>
        <w:tc>
          <w:tcPr>
            <w:tcW w:w="0" w:type="auto"/>
            <w:vAlign w:val="center"/>
            <w:hideMark/>
          </w:tcPr>
          <w:p w14:paraId="75C38A40" w14:textId="77777777" w:rsidR="00E25E25" w:rsidRPr="00516123" w:rsidRDefault="00E25E25" w:rsidP="00516123">
            <w:pPr>
              <w:pStyle w:val="code"/>
            </w:pPr>
            <w:r w:rsidRPr="00516123">
              <w:t>79</w:t>
            </w:r>
          </w:p>
        </w:tc>
        <w:tc>
          <w:tcPr>
            <w:tcW w:w="0" w:type="auto"/>
            <w:vAlign w:val="center"/>
            <w:hideMark/>
          </w:tcPr>
          <w:p w14:paraId="699BB75A" w14:textId="77777777" w:rsidR="00E25E25" w:rsidRPr="00516123" w:rsidRDefault="00E25E25" w:rsidP="00516123">
            <w:pPr>
              <w:pStyle w:val="code"/>
            </w:pPr>
            <w:r w:rsidRPr="00516123">
              <w:t>78</w:t>
            </w:r>
          </w:p>
        </w:tc>
        <w:tc>
          <w:tcPr>
            <w:tcW w:w="0" w:type="auto"/>
            <w:vAlign w:val="center"/>
            <w:hideMark/>
          </w:tcPr>
          <w:p w14:paraId="15D5EC83" w14:textId="77777777" w:rsidR="00E25E25" w:rsidRPr="00516123" w:rsidRDefault="00E25E25" w:rsidP="00516123">
            <w:pPr>
              <w:pStyle w:val="code"/>
            </w:pPr>
            <w:r w:rsidRPr="00516123">
              <w:t>132</w:t>
            </w:r>
          </w:p>
        </w:tc>
      </w:tr>
      <w:tr w:rsidR="00E25E25" w:rsidRPr="00516123" w14:paraId="254F063B" w14:textId="77777777" w:rsidTr="00E25E25">
        <w:trPr>
          <w:tblCellSpacing w:w="15" w:type="dxa"/>
        </w:trPr>
        <w:tc>
          <w:tcPr>
            <w:tcW w:w="0" w:type="auto"/>
            <w:vAlign w:val="center"/>
            <w:hideMark/>
          </w:tcPr>
          <w:p w14:paraId="6BA41F14" w14:textId="77777777" w:rsidR="00E25E25" w:rsidRPr="00516123" w:rsidRDefault="00E25E25" w:rsidP="00516123">
            <w:pPr>
              <w:pStyle w:val="code"/>
            </w:pPr>
            <w:proofErr w:type="spellStart"/>
            <w:r w:rsidRPr="00516123">
              <w:t>Mesopredator</w:t>
            </w:r>
            <w:proofErr w:type="spellEnd"/>
          </w:p>
        </w:tc>
        <w:tc>
          <w:tcPr>
            <w:tcW w:w="0" w:type="auto"/>
            <w:vAlign w:val="center"/>
            <w:hideMark/>
          </w:tcPr>
          <w:p w14:paraId="12492446" w14:textId="77777777" w:rsidR="00E25E25" w:rsidRPr="00516123" w:rsidRDefault="00E25E25" w:rsidP="00516123">
            <w:pPr>
              <w:pStyle w:val="code"/>
            </w:pPr>
            <w:r w:rsidRPr="00516123">
              <w:t>182</w:t>
            </w:r>
          </w:p>
        </w:tc>
        <w:tc>
          <w:tcPr>
            <w:tcW w:w="0" w:type="auto"/>
            <w:vAlign w:val="center"/>
            <w:hideMark/>
          </w:tcPr>
          <w:p w14:paraId="1B015B63" w14:textId="77777777" w:rsidR="00E25E25" w:rsidRPr="00516123" w:rsidRDefault="00E25E25" w:rsidP="00516123">
            <w:pPr>
              <w:pStyle w:val="code"/>
            </w:pPr>
            <w:r w:rsidRPr="00516123">
              <w:t>106</w:t>
            </w:r>
          </w:p>
        </w:tc>
        <w:tc>
          <w:tcPr>
            <w:tcW w:w="0" w:type="auto"/>
            <w:vAlign w:val="center"/>
            <w:hideMark/>
          </w:tcPr>
          <w:p w14:paraId="1E1BA328" w14:textId="77777777" w:rsidR="00E25E25" w:rsidRPr="00516123" w:rsidRDefault="00E25E25" w:rsidP="00516123">
            <w:pPr>
              <w:pStyle w:val="code"/>
            </w:pPr>
            <w:r w:rsidRPr="00516123">
              <w:t>272</w:t>
            </w:r>
          </w:p>
        </w:tc>
      </w:tr>
      <w:tr w:rsidR="00E25E25" w:rsidRPr="00516123" w14:paraId="07AD115F" w14:textId="77777777" w:rsidTr="00E25E25">
        <w:trPr>
          <w:tblCellSpacing w:w="15" w:type="dxa"/>
        </w:trPr>
        <w:tc>
          <w:tcPr>
            <w:tcW w:w="0" w:type="auto"/>
            <w:vAlign w:val="center"/>
            <w:hideMark/>
          </w:tcPr>
          <w:p w14:paraId="63AED0F6" w14:textId="77777777" w:rsidR="00E25E25" w:rsidRPr="00516123" w:rsidRDefault="00E25E25" w:rsidP="00516123">
            <w:pPr>
              <w:pStyle w:val="code"/>
            </w:pPr>
            <w:r w:rsidRPr="00516123">
              <w:t>HTLP</w:t>
            </w:r>
          </w:p>
        </w:tc>
        <w:tc>
          <w:tcPr>
            <w:tcW w:w="0" w:type="auto"/>
            <w:vAlign w:val="center"/>
            <w:hideMark/>
          </w:tcPr>
          <w:p w14:paraId="44934ACE" w14:textId="77777777" w:rsidR="00E25E25" w:rsidRPr="00516123" w:rsidRDefault="00E25E25" w:rsidP="00516123">
            <w:pPr>
              <w:pStyle w:val="code"/>
            </w:pPr>
            <w:r w:rsidRPr="00516123">
              <w:t>50</w:t>
            </w:r>
          </w:p>
        </w:tc>
        <w:tc>
          <w:tcPr>
            <w:tcW w:w="0" w:type="auto"/>
            <w:vAlign w:val="center"/>
            <w:hideMark/>
          </w:tcPr>
          <w:p w14:paraId="61A987B7" w14:textId="77777777" w:rsidR="00E25E25" w:rsidRPr="00516123" w:rsidRDefault="00E25E25" w:rsidP="00516123">
            <w:pPr>
              <w:pStyle w:val="code"/>
            </w:pPr>
            <w:r w:rsidRPr="00516123">
              <w:t>18</w:t>
            </w:r>
          </w:p>
        </w:tc>
        <w:tc>
          <w:tcPr>
            <w:tcW w:w="0" w:type="auto"/>
            <w:vAlign w:val="center"/>
            <w:hideMark/>
          </w:tcPr>
          <w:p w14:paraId="3FC8713D" w14:textId="77777777" w:rsidR="00E25E25" w:rsidRPr="00516123" w:rsidRDefault="00E25E25" w:rsidP="00516123">
            <w:pPr>
              <w:pStyle w:val="code"/>
            </w:pPr>
            <w:r w:rsidRPr="00516123">
              <w:t>59</w:t>
            </w:r>
          </w:p>
        </w:tc>
      </w:tr>
    </w:tbl>
    <w:p w14:paraId="0D8A22CB" w14:textId="77777777" w:rsidR="00E25E25" w:rsidRDefault="00E25E25" w:rsidP="00516123">
      <w:pPr>
        <w:pStyle w:val="code"/>
      </w:pPr>
    </w:p>
    <w:p w14:paraId="57BE6387" w14:textId="1C6950FD" w:rsidR="00516123" w:rsidRDefault="00516123" w:rsidP="00516123">
      <w:pPr>
        <w:pStyle w:val="code"/>
      </w:pPr>
      <w:r w:rsidRPr="00516123">
        <w:t>Predicted abundance estimates revealed functional group-specific patterns across reef types. Herbivores were most abundant at pinnacles (222), followed by fringing reefs (183) and shipwrecks (118). Invertivores showed similar abundance at shipwrecks (79) and fringing reefs (78</w:t>
      </w:r>
      <w:proofErr w:type="gramStart"/>
      <w:r w:rsidRPr="00516123">
        <w:t>), but</w:t>
      </w:r>
      <w:proofErr w:type="gramEnd"/>
      <w:r w:rsidRPr="00516123">
        <w:t xml:space="preserve"> were more numerous at pinnacles (132). Mesopredators exhibited the strongest pattern, with much higher predicted abundance at pinnacles (272) compared to shipwrecks (182) and fringing reefs (106). Higher trophic level predators (HTLPs) were least abundant on fringing reefs (18), and most abundant at pinnacles (59), with shipwrecks intermediate (50). These patterns support the hypothesis that shipwreck assemblages more closely resemble pelagic pinnacles, particularly for higher trophic groups.</w:t>
      </w:r>
    </w:p>
    <w:p w14:paraId="329D8DAB" w14:textId="037DBF48" w:rsidR="00516123" w:rsidRDefault="00516123" w:rsidP="00516123">
      <w:r>
        <w:t xml:space="preserve">Possible interpretations: </w:t>
      </w:r>
    </w:p>
    <w:p w14:paraId="3E3C0442" w14:textId="5242C0AF" w:rsidR="00516123" w:rsidRDefault="00516123" w:rsidP="00516123">
      <w:pPr>
        <w:pStyle w:val="ListParagraph"/>
        <w:numPr>
          <w:ilvl w:val="0"/>
          <w:numId w:val="6"/>
        </w:numPr>
      </w:pPr>
      <w:r>
        <w:t xml:space="preserve">Herbs: highest at pinnacles then fringing then shipwrecks </w:t>
      </w:r>
    </w:p>
    <w:p w14:paraId="637A38FB" w14:textId="21A5C24A" w:rsidR="00516123" w:rsidRDefault="00516123" w:rsidP="00516123">
      <w:pPr>
        <w:pStyle w:val="ListParagraph"/>
        <w:numPr>
          <w:ilvl w:val="1"/>
          <w:numId w:val="6"/>
        </w:numPr>
      </w:pPr>
      <w:r w:rsidRPr="00516123">
        <w:t xml:space="preserve">Suggests reef-associated grazers benefit </w:t>
      </w:r>
      <w:r w:rsidRPr="00516123">
        <w:rPr>
          <w:b/>
          <w:bCs/>
        </w:rPr>
        <w:t>from natural reef structure</w:t>
      </w:r>
      <w:r w:rsidRPr="00516123">
        <w:t xml:space="preserve"> more than wrecks.</w:t>
      </w:r>
    </w:p>
    <w:p w14:paraId="4A29BAAB" w14:textId="459D9DAE" w:rsidR="00516123" w:rsidRDefault="00516123" w:rsidP="00516123">
      <w:pPr>
        <w:pStyle w:val="ListParagraph"/>
        <w:numPr>
          <w:ilvl w:val="0"/>
          <w:numId w:val="6"/>
        </w:numPr>
      </w:pPr>
      <w:r>
        <w:t xml:space="preserve">Invertivores: similar between fringing and shipwrecks, substantially higher at pinnacles </w:t>
      </w:r>
    </w:p>
    <w:p w14:paraId="66AE520A" w14:textId="16126363" w:rsidR="00516123" w:rsidRDefault="00516123" w:rsidP="00516123">
      <w:pPr>
        <w:pStyle w:val="ListParagraph"/>
        <w:numPr>
          <w:ilvl w:val="1"/>
          <w:numId w:val="6"/>
        </w:numPr>
      </w:pPr>
      <w:r w:rsidRPr="00516123">
        <w:t>Indicates pelagic pinnacle systems may offer more foraging opportunities for invertivores.</w:t>
      </w:r>
    </w:p>
    <w:p w14:paraId="47FFA26F" w14:textId="77777777" w:rsidR="00516123" w:rsidRPr="00516123" w:rsidRDefault="00516123" w:rsidP="00516123">
      <w:pPr>
        <w:pStyle w:val="ListParagraph"/>
        <w:numPr>
          <w:ilvl w:val="0"/>
          <w:numId w:val="6"/>
        </w:numPr>
        <w:rPr>
          <w:rFonts w:eastAsiaTheme="minorHAnsi"/>
        </w:rPr>
      </w:pPr>
      <w:r w:rsidRPr="00516123">
        <w:t xml:space="preserve">Mesopredators: </w:t>
      </w:r>
      <w:r w:rsidRPr="00516123">
        <w:t>Highest at pinnacles (272)</w:t>
      </w:r>
      <w:r w:rsidRPr="00516123">
        <w:t xml:space="preserve">=&gt; </w:t>
      </w:r>
      <w:r w:rsidRPr="00516123">
        <w:t>shipwrecks (182)</w:t>
      </w:r>
      <w:r w:rsidRPr="00516123">
        <w:t xml:space="preserve"> =&gt;</w:t>
      </w:r>
      <w:r w:rsidRPr="00516123">
        <w:t xml:space="preserve"> Substantially lower at fringing reefs (106).</w:t>
      </w:r>
    </w:p>
    <w:p w14:paraId="2D9E2839" w14:textId="3D963F1A" w:rsidR="00516123" w:rsidRDefault="00516123" w:rsidP="00516123">
      <w:pPr>
        <w:pStyle w:val="ListParagraph"/>
        <w:numPr>
          <w:ilvl w:val="1"/>
          <w:numId w:val="6"/>
        </w:numPr>
      </w:pPr>
      <w:r w:rsidRPr="00516123">
        <w:t>Suggests that pinnacles and shipwrecks provide habitat/refuge or hunting opportunities for these groups, compared to fringing reefs.</w:t>
      </w:r>
    </w:p>
    <w:p w14:paraId="3230FACE" w14:textId="5FF38375" w:rsidR="00516123" w:rsidRDefault="00516123" w:rsidP="00516123">
      <w:pPr>
        <w:pStyle w:val="ListParagraph"/>
        <w:numPr>
          <w:ilvl w:val="0"/>
          <w:numId w:val="6"/>
        </w:numPr>
      </w:pPr>
      <w:r>
        <w:t xml:space="preserve">HTLPs: Pinnacles &amp; Shipwrecks similar ==&gt; lowest at fringing reefs (59-50 v 18) </w:t>
      </w:r>
    </w:p>
    <w:p w14:paraId="04BC0892" w14:textId="798E24BA" w:rsidR="00516123" w:rsidRDefault="00516123" w:rsidP="00516123">
      <w:pPr>
        <w:pStyle w:val="ListParagraph"/>
        <w:numPr>
          <w:ilvl w:val="1"/>
          <w:numId w:val="6"/>
        </w:numPr>
      </w:pPr>
      <w:r>
        <w:t xml:space="preserve">Clearest signal that fringing reefs may lack the structural complexity needed to support top predators </w:t>
      </w:r>
    </w:p>
    <w:p w14:paraId="29AC0AF3" w14:textId="77777777" w:rsidR="00516123" w:rsidRDefault="00516123" w:rsidP="00516123">
      <w:pPr>
        <w:pStyle w:val="ListParagraph"/>
        <w:pBdr>
          <w:bottom w:val="single" w:sz="4" w:space="1" w:color="auto"/>
        </w:pBdr>
        <w:ind w:left="0"/>
      </w:pPr>
    </w:p>
    <w:p w14:paraId="46B70840" w14:textId="77777777" w:rsidR="00516123" w:rsidRDefault="00516123">
      <w:pPr>
        <w:spacing w:after="200" w:line="276" w:lineRule="auto"/>
        <w:rPr>
          <w:highlight w:val="yellow"/>
        </w:rPr>
      </w:pPr>
      <w:r>
        <w:rPr>
          <w:highlight w:val="yellow"/>
        </w:rPr>
        <w:br w:type="page"/>
      </w:r>
    </w:p>
    <w:p w14:paraId="13B9A690" w14:textId="18671C58" w:rsidR="00516123" w:rsidRDefault="00516123" w:rsidP="00516123">
      <w:r w:rsidRPr="00516123">
        <w:rPr>
          <w:highlight w:val="yellow"/>
        </w:rPr>
        <w:lastRenderedPageBreak/>
        <w:t xml:space="preserve">#### </w:t>
      </w:r>
      <w:r w:rsidRPr="00516123">
        <w:rPr>
          <w:highlight w:val="yellow"/>
        </w:rPr>
        <w:t>Looking at using “zone” (nearshore vs pelagic) instead of fringing vs pinnacle</w:t>
      </w:r>
      <w:r>
        <w:t xml:space="preserve"> </w:t>
      </w:r>
    </w:p>
    <w:p w14:paraId="1D37ECC7" w14:textId="77777777" w:rsidR="00516123" w:rsidRPr="00516123" w:rsidRDefault="00516123" w:rsidP="00516123">
      <w:pPr>
        <w:pStyle w:val="code"/>
      </w:pPr>
      <w:r w:rsidRPr="00516123">
        <w:t>Zone Effects (relative to nearshore)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1301"/>
        <w:gridCol w:w="1124"/>
        <w:gridCol w:w="5431"/>
      </w:tblGrid>
      <w:tr w:rsidR="00516123" w:rsidRPr="00516123" w14:paraId="4FCFB62F" w14:textId="77777777" w:rsidTr="00516123">
        <w:trPr>
          <w:tblHeader/>
          <w:tblCellSpacing w:w="15" w:type="dxa"/>
        </w:trPr>
        <w:tc>
          <w:tcPr>
            <w:tcW w:w="0" w:type="auto"/>
            <w:vAlign w:val="center"/>
            <w:hideMark/>
          </w:tcPr>
          <w:p w14:paraId="0583528E" w14:textId="77777777" w:rsidR="00516123" w:rsidRPr="00516123" w:rsidRDefault="00516123" w:rsidP="00516123">
            <w:pPr>
              <w:pStyle w:val="code"/>
            </w:pPr>
            <w:r w:rsidRPr="00516123">
              <w:t>Functional Group</w:t>
            </w:r>
          </w:p>
        </w:tc>
        <w:tc>
          <w:tcPr>
            <w:tcW w:w="0" w:type="auto"/>
            <w:vAlign w:val="center"/>
            <w:hideMark/>
          </w:tcPr>
          <w:p w14:paraId="1A02D746" w14:textId="77777777" w:rsidR="00516123" w:rsidRPr="00516123" w:rsidRDefault="00516123" w:rsidP="00516123">
            <w:pPr>
              <w:pStyle w:val="code"/>
            </w:pPr>
            <w:r w:rsidRPr="00516123">
              <w:t>Pelagic Effect</w:t>
            </w:r>
          </w:p>
        </w:tc>
        <w:tc>
          <w:tcPr>
            <w:tcW w:w="0" w:type="auto"/>
            <w:vAlign w:val="center"/>
            <w:hideMark/>
          </w:tcPr>
          <w:p w14:paraId="7A09490E" w14:textId="77777777" w:rsidR="00516123" w:rsidRPr="00516123" w:rsidRDefault="00516123" w:rsidP="00516123">
            <w:pPr>
              <w:pStyle w:val="code"/>
            </w:pPr>
            <w:r w:rsidRPr="00516123">
              <w:t>Wreck Effect</w:t>
            </w:r>
          </w:p>
        </w:tc>
        <w:tc>
          <w:tcPr>
            <w:tcW w:w="0" w:type="auto"/>
            <w:vAlign w:val="center"/>
            <w:hideMark/>
          </w:tcPr>
          <w:p w14:paraId="514499DE" w14:textId="77777777" w:rsidR="00516123" w:rsidRPr="00516123" w:rsidRDefault="00516123" w:rsidP="00516123">
            <w:pPr>
              <w:pStyle w:val="code"/>
            </w:pPr>
            <w:r w:rsidRPr="00516123">
              <w:t>Interpretation</w:t>
            </w:r>
          </w:p>
        </w:tc>
      </w:tr>
      <w:tr w:rsidR="00516123" w:rsidRPr="00516123" w14:paraId="2112BE41" w14:textId="77777777" w:rsidTr="00516123">
        <w:trPr>
          <w:tblCellSpacing w:w="15" w:type="dxa"/>
        </w:trPr>
        <w:tc>
          <w:tcPr>
            <w:tcW w:w="0" w:type="auto"/>
            <w:vAlign w:val="center"/>
            <w:hideMark/>
          </w:tcPr>
          <w:p w14:paraId="6E8D0F6C" w14:textId="77777777" w:rsidR="00516123" w:rsidRPr="00516123" w:rsidRDefault="00516123" w:rsidP="00516123">
            <w:pPr>
              <w:pStyle w:val="code"/>
            </w:pPr>
            <w:r w:rsidRPr="00516123">
              <w:t>Herbivore</w:t>
            </w:r>
          </w:p>
        </w:tc>
        <w:tc>
          <w:tcPr>
            <w:tcW w:w="0" w:type="auto"/>
            <w:vAlign w:val="center"/>
            <w:hideMark/>
          </w:tcPr>
          <w:p w14:paraId="3495A715" w14:textId="77777777" w:rsidR="00516123" w:rsidRPr="00516123" w:rsidRDefault="00516123" w:rsidP="00516123">
            <w:pPr>
              <w:pStyle w:val="code"/>
            </w:pPr>
            <w:r w:rsidRPr="00516123">
              <w:t>+0.40</w:t>
            </w:r>
          </w:p>
        </w:tc>
        <w:tc>
          <w:tcPr>
            <w:tcW w:w="0" w:type="auto"/>
            <w:vAlign w:val="center"/>
            <w:hideMark/>
          </w:tcPr>
          <w:p w14:paraId="6C37AC6A" w14:textId="77777777" w:rsidR="00516123" w:rsidRPr="00516123" w:rsidRDefault="00516123" w:rsidP="00516123">
            <w:pPr>
              <w:pStyle w:val="code"/>
            </w:pPr>
            <w:r w:rsidRPr="00516123">
              <w:t>–0.42</w:t>
            </w:r>
          </w:p>
        </w:tc>
        <w:tc>
          <w:tcPr>
            <w:tcW w:w="0" w:type="auto"/>
            <w:vAlign w:val="center"/>
            <w:hideMark/>
          </w:tcPr>
          <w:p w14:paraId="2EDE4BE8" w14:textId="77777777" w:rsidR="00516123" w:rsidRPr="00516123" w:rsidRDefault="00516123" w:rsidP="00516123">
            <w:pPr>
              <w:pStyle w:val="code"/>
            </w:pPr>
            <w:r w:rsidRPr="00516123">
              <w:t>More herbivores at pelagic, fewer at wreck</w:t>
            </w:r>
          </w:p>
        </w:tc>
      </w:tr>
      <w:tr w:rsidR="00516123" w:rsidRPr="00516123" w14:paraId="7BB3C13F" w14:textId="77777777" w:rsidTr="00516123">
        <w:trPr>
          <w:tblCellSpacing w:w="15" w:type="dxa"/>
        </w:trPr>
        <w:tc>
          <w:tcPr>
            <w:tcW w:w="0" w:type="auto"/>
            <w:vAlign w:val="center"/>
            <w:hideMark/>
          </w:tcPr>
          <w:p w14:paraId="67197537" w14:textId="77777777" w:rsidR="00516123" w:rsidRPr="00516123" w:rsidRDefault="00516123" w:rsidP="00516123">
            <w:pPr>
              <w:pStyle w:val="code"/>
            </w:pPr>
            <w:r w:rsidRPr="00516123">
              <w:t>Invertivore</w:t>
            </w:r>
          </w:p>
        </w:tc>
        <w:tc>
          <w:tcPr>
            <w:tcW w:w="0" w:type="auto"/>
            <w:vAlign w:val="center"/>
            <w:hideMark/>
          </w:tcPr>
          <w:p w14:paraId="56B2A242" w14:textId="77777777" w:rsidR="00516123" w:rsidRPr="00516123" w:rsidRDefault="00516123" w:rsidP="00516123">
            <w:pPr>
              <w:pStyle w:val="code"/>
            </w:pPr>
            <w:r w:rsidRPr="00516123">
              <w:t>+0.16</w:t>
            </w:r>
          </w:p>
        </w:tc>
        <w:tc>
          <w:tcPr>
            <w:tcW w:w="0" w:type="auto"/>
            <w:vAlign w:val="center"/>
            <w:hideMark/>
          </w:tcPr>
          <w:p w14:paraId="1E07B1AB" w14:textId="77777777" w:rsidR="00516123" w:rsidRPr="00516123" w:rsidRDefault="00516123" w:rsidP="00516123">
            <w:pPr>
              <w:pStyle w:val="code"/>
            </w:pPr>
            <w:r w:rsidRPr="00516123">
              <w:t>–0.21</w:t>
            </w:r>
          </w:p>
        </w:tc>
        <w:tc>
          <w:tcPr>
            <w:tcW w:w="0" w:type="auto"/>
            <w:vAlign w:val="center"/>
            <w:hideMark/>
          </w:tcPr>
          <w:p w14:paraId="2837B1FB" w14:textId="77777777" w:rsidR="00516123" w:rsidRPr="00516123" w:rsidRDefault="00516123" w:rsidP="00516123">
            <w:pPr>
              <w:pStyle w:val="code"/>
            </w:pPr>
            <w:r w:rsidRPr="00516123">
              <w:t>Small effect, not clearly different from nearshore</w:t>
            </w:r>
          </w:p>
        </w:tc>
      </w:tr>
      <w:tr w:rsidR="00516123" w:rsidRPr="00516123" w14:paraId="35557B3A" w14:textId="77777777" w:rsidTr="00516123">
        <w:trPr>
          <w:tblCellSpacing w:w="15" w:type="dxa"/>
        </w:trPr>
        <w:tc>
          <w:tcPr>
            <w:tcW w:w="0" w:type="auto"/>
            <w:vAlign w:val="center"/>
            <w:hideMark/>
          </w:tcPr>
          <w:p w14:paraId="3A0990A3" w14:textId="77777777" w:rsidR="00516123" w:rsidRPr="00516123" w:rsidRDefault="00516123" w:rsidP="00516123">
            <w:pPr>
              <w:pStyle w:val="code"/>
            </w:pPr>
            <w:proofErr w:type="spellStart"/>
            <w:r w:rsidRPr="00516123">
              <w:t>Mesopredator</w:t>
            </w:r>
            <w:proofErr w:type="spellEnd"/>
          </w:p>
        </w:tc>
        <w:tc>
          <w:tcPr>
            <w:tcW w:w="0" w:type="auto"/>
            <w:vAlign w:val="center"/>
            <w:hideMark/>
          </w:tcPr>
          <w:p w14:paraId="1BFE95B5" w14:textId="77777777" w:rsidR="00516123" w:rsidRPr="00516123" w:rsidRDefault="00516123" w:rsidP="00516123">
            <w:pPr>
              <w:pStyle w:val="code"/>
            </w:pPr>
            <w:r w:rsidRPr="00516123">
              <w:t>+0.60</w:t>
            </w:r>
          </w:p>
        </w:tc>
        <w:tc>
          <w:tcPr>
            <w:tcW w:w="0" w:type="auto"/>
            <w:vAlign w:val="center"/>
            <w:hideMark/>
          </w:tcPr>
          <w:p w14:paraId="10C20817" w14:textId="77777777" w:rsidR="00516123" w:rsidRPr="00516123" w:rsidRDefault="00516123" w:rsidP="00516123">
            <w:pPr>
              <w:pStyle w:val="code"/>
            </w:pPr>
            <w:r w:rsidRPr="00516123">
              <w:t>+0.21</w:t>
            </w:r>
          </w:p>
        </w:tc>
        <w:tc>
          <w:tcPr>
            <w:tcW w:w="0" w:type="auto"/>
            <w:vAlign w:val="center"/>
            <w:hideMark/>
          </w:tcPr>
          <w:p w14:paraId="7EBD0AD5" w14:textId="77777777" w:rsidR="00516123" w:rsidRPr="00516123" w:rsidRDefault="00516123" w:rsidP="00516123">
            <w:pPr>
              <w:pStyle w:val="code"/>
            </w:pPr>
            <w:r w:rsidRPr="00516123">
              <w:t>More mesopredators at pelagic (stronger) and wreck (weaker)</w:t>
            </w:r>
          </w:p>
        </w:tc>
      </w:tr>
      <w:tr w:rsidR="00516123" w:rsidRPr="00516123" w14:paraId="57F16BDE" w14:textId="77777777" w:rsidTr="00516123">
        <w:trPr>
          <w:tblCellSpacing w:w="15" w:type="dxa"/>
        </w:trPr>
        <w:tc>
          <w:tcPr>
            <w:tcW w:w="0" w:type="auto"/>
            <w:vAlign w:val="center"/>
            <w:hideMark/>
          </w:tcPr>
          <w:p w14:paraId="2B651E7D" w14:textId="77777777" w:rsidR="00516123" w:rsidRPr="00516123" w:rsidRDefault="00516123" w:rsidP="00516123">
            <w:pPr>
              <w:pStyle w:val="code"/>
            </w:pPr>
            <w:r w:rsidRPr="00516123">
              <w:t>HTLP</w:t>
            </w:r>
          </w:p>
        </w:tc>
        <w:tc>
          <w:tcPr>
            <w:tcW w:w="0" w:type="auto"/>
            <w:vAlign w:val="center"/>
            <w:hideMark/>
          </w:tcPr>
          <w:p w14:paraId="614F60A6" w14:textId="77777777" w:rsidR="00516123" w:rsidRPr="00516123" w:rsidRDefault="00516123" w:rsidP="00516123">
            <w:pPr>
              <w:pStyle w:val="code"/>
            </w:pPr>
            <w:r w:rsidRPr="00516123">
              <w:t>+1.03</w:t>
            </w:r>
          </w:p>
        </w:tc>
        <w:tc>
          <w:tcPr>
            <w:tcW w:w="0" w:type="auto"/>
            <w:vAlign w:val="center"/>
            <w:hideMark/>
          </w:tcPr>
          <w:p w14:paraId="3D3BA5D5" w14:textId="77777777" w:rsidR="00516123" w:rsidRPr="00516123" w:rsidRDefault="00516123" w:rsidP="00516123">
            <w:pPr>
              <w:pStyle w:val="code"/>
            </w:pPr>
            <w:r w:rsidRPr="00516123">
              <w:t>+0.65</w:t>
            </w:r>
          </w:p>
        </w:tc>
        <w:tc>
          <w:tcPr>
            <w:tcW w:w="0" w:type="auto"/>
            <w:vAlign w:val="center"/>
            <w:hideMark/>
          </w:tcPr>
          <w:p w14:paraId="3455BAF0" w14:textId="77777777" w:rsidR="00516123" w:rsidRPr="00516123" w:rsidRDefault="00516123" w:rsidP="00516123">
            <w:pPr>
              <w:pStyle w:val="code"/>
            </w:pPr>
            <w:r w:rsidRPr="00516123">
              <w:t>Higher top predator abundance at both pelagic and wreck zones</w:t>
            </w:r>
          </w:p>
        </w:tc>
      </w:tr>
    </w:tbl>
    <w:p w14:paraId="63C405F4" w14:textId="77777777" w:rsidR="00516123" w:rsidRPr="00516123" w:rsidRDefault="00516123" w:rsidP="00516123">
      <w:pPr>
        <w:pStyle w:val="code"/>
      </w:pPr>
      <w:r w:rsidRPr="00516123">
        <w:t>Credible intervals are wide, so these are trends more than strict statistical conclusions.</w:t>
      </w:r>
    </w:p>
    <w:p w14:paraId="3461B445" w14:textId="33666E48" w:rsidR="00516123" w:rsidRPr="00516123" w:rsidRDefault="00516123" w:rsidP="00516123">
      <w:pPr>
        <w:pStyle w:val="code"/>
        <w:rPr>
          <w:b/>
          <w:bCs/>
          <w:sz w:val="36"/>
          <w:szCs w:val="36"/>
        </w:rPr>
      </w:pPr>
      <w:r w:rsidRPr="00516123">
        <w:rPr>
          <w:b/>
          <w:bCs/>
        </w:rPr>
        <w:t>I</w:t>
      </w:r>
      <w:r w:rsidRPr="00516123">
        <w:rPr>
          <w:b/>
          <w:bCs/>
        </w:rPr>
        <w:t>nterpretation</w:t>
      </w:r>
    </w:p>
    <w:p w14:paraId="234D82DA" w14:textId="77777777" w:rsidR="00516123" w:rsidRDefault="00516123" w:rsidP="00516123">
      <w:pPr>
        <w:pStyle w:val="code"/>
        <w:numPr>
          <w:ilvl w:val="0"/>
          <w:numId w:val="8"/>
        </w:numPr>
      </w:pPr>
      <w:r>
        <w:rPr>
          <w:rStyle w:val="Strong"/>
        </w:rPr>
        <w:t>Pelagic zones</w:t>
      </w:r>
      <w:r>
        <w:rPr>
          <w:rStyle w:val="apple-converted-space"/>
        </w:rPr>
        <w:t> </w:t>
      </w:r>
      <w:r>
        <w:t>(likely pinnacles) support</w:t>
      </w:r>
      <w:r>
        <w:rPr>
          <w:rStyle w:val="apple-converted-space"/>
        </w:rPr>
        <w:t> </w:t>
      </w:r>
      <w:r>
        <w:rPr>
          <w:rStyle w:val="Strong"/>
        </w:rPr>
        <w:t>higher predicted abundance across all functional groups</w:t>
      </w:r>
      <w:r>
        <w:t>, particularly HTLPs and mesopredators.</w:t>
      </w:r>
    </w:p>
    <w:p w14:paraId="6FA1B01F" w14:textId="77777777" w:rsidR="00516123" w:rsidRDefault="00516123" w:rsidP="00516123">
      <w:pPr>
        <w:pStyle w:val="code"/>
        <w:numPr>
          <w:ilvl w:val="0"/>
          <w:numId w:val="8"/>
        </w:numPr>
      </w:pPr>
      <w:r>
        <w:rPr>
          <w:rStyle w:val="Strong"/>
        </w:rPr>
        <w:t>Wreck zones</w:t>
      </w:r>
      <w:r>
        <w:rPr>
          <w:rStyle w:val="apple-converted-space"/>
        </w:rPr>
        <w:t> </w:t>
      </w:r>
      <w:r>
        <w:t>(artificial reefs) support</w:t>
      </w:r>
      <w:r>
        <w:rPr>
          <w:rStyle w:val="apple-converted-space"/>
        </w:rPr>
        <w:t> </w:t>
      </w:r>
      <w:r>
        <w:rPr>
          <w:rStyle w:val="Strong"/>
        </w:rPr>
        <w:t>more mesopredators and HTLPs</w:t>
      </w:r>
      <w:r>
        <w:rPr>
          <w:rStyle w:val="apple-converted-space"/>
        </w:rPr>
        <w:t> </w:t>
      </w:r>
      <w:r>
        <w:t>than nearshore reefs, but</w:t>
      </w:r>
      <w:r>
        <w:rPr>
          <w:rStyle w:val="apple-converted-space"/>
        </w:rPr>
        <w:t> </w:t>
      </w:r>
      <w:r>
        <w:rPr>
          <w:rStyle w:val="Strong"/>
        </w:rPr>
        <w:t>fewer herbivores</w:t>
      </w:r>
      <w:r>
        <w:t>.</w:t>
      </w:r>
    </w:p>
    <w:p w14:paraId="28EE87AE" w14:textId="77777777" w:rsidR="00516123" w:rsidRDefault="00516123" w:rsidP="00516123">
      <w:pPr>
        <w:pStyle w:val="code"/>
        <w:numPr>
          <w:ilvl w:val="0"/>
          <w:numId w:val="8"/>
        </w:numPr>
      </w:pPr>
      <w:r>
        <w:rPr>
          <w:rStyle w:val="Strong"/>
        </w:rPr>
        <w:t>Nearshore reefs</w:t>
      </w:r>
      <w:r>
        <w:rPr>
          <w:rStyle w:val="apple-converted-space"/>
        </w:rPr>
        <w:t> </w:t>
      </w:r>
      <w:r>
        <w:t>appear less supportive of higher trophic levels.</w:t>
      </w:r>
    </w:p>
    <w:p w14:paraId="3EC4FE00" w14:textId="48554E27" w:rsidR="00516123" w:rsidRPr="00516123" w:rsidRDefault="00516123" w:rsidP="00516123">
      <w:pPr>
        <w:pStyle w:val="code"/>
      </w:pPr>
      <w:r>
        <w:t xml:space="preserve">Zone-based analysis revealed similar patterns to the classification model. Pelagic sites had higher predicted abundances of all functional groups compared to nearshore reefs, particularly mesopredators (+0.60) and higher trophic level predators (+1.03). Wreck sites also supported more mesopredators and HTLPs than nearshore </w:t>
      </w:r>
      <w:proofErr w:type="gramStart"/>
      <w:r>
        <w:t>zones, but</w:t>
      </w:r>
      <w:proofErr w:type="gramEnd"/>
      <w:r>
        <w:t xml:space="preserve"> were characterized by lower predicted herbivore abundance (–0.42). </w:t>
      </w:r>
      <w:r w:rsidRPr="00516123">
        <w:rPr>
          <w:strike/>
        </w:rPr>
        <w:t>These results reinforce the view that shipwrecks share stronger ecological resemblance with pelagic pinnacles than with fringing reefs.</w:t>
      </w:r>
      <w:r w:rsidRPr="00516123">
        <w:rPr>
          <w:rFonts w:ascii="-webkit-standard" w:hAnsi="-webkit-standard"/>
          <w:sz w:val="27"/>
          <w:szCs w:val="27"/>
        </w:rPr>
        <w:t xml:space="preserve"> </w:t>
      </w:r>
      <w:r w:rsidRPr="00516123">
        <w:rPr>
          <w:highlight w:val="yellow"/>
        </w:rPr>
        <w:t>These results suggest that for higher trophic levels (mesopredators and HTLPs), fish assemblages on shipwrecks more closely resemble those at pelagic pinnacles than at fringing reefs. However, herbivores and invertivores are less abundant on shipwrecks than on natural reefs, indicating that artificial reefs may not fully replicate the ecological conditions of either natural reef type.</w:t>
      </w:r>
    </w:p>
    <w:p w14:paraId="3688C548" w14:textId="77777777" w:rsidR="00686B51" w:rsidRDefault="00686B51">
      <w:pPr>
        <w:spacing w:after="200" w:line="276" w:lineRule="auto"/>
        <w:rPr>
          <w:highlight w:val="yellow"/>
        </w:rPr>
      </w:pPr>
      <w:r>
        <w:rPr>
          <w:highlight w:val="yellow"/>
        </w:rPr>
        <w:br w:type="page"/>
      </w:r>
    </w:p>
    <w:p w14:paraId="2B078DCE" w14:textId="048D29C9" w:rsidR="00516123" w:rsidRDefault="00516123" w:rsidP="00516123">
      <w:pPr>
        <w:pStyle w:val="ListParagraph"/>
        <w:ind w:left="0"/>
      </w:pPr>
      <w:r w:rsidRPr="00516123">
        <w:rPr>
          <w:highlight w:val="yellow"/>
        </w:rPr>
        <w:lastRenderedPageBreak/>
        <w:t xml:space="preserve">## sanity check: are they </w:t>
      </w:r>
      <w:proofErr w:type="gramStart"/>
      <w:r w:rsidRPr="00516123">
        <w:rPr>
          <w:highlight w:val="yellow"/>
        </w:rPr>
        <w:t>actually resembling</w:t>
      </w:r>
      <w:proofErr w:type="gramEnd"/>
      <w:r w:rsidRPr="00516123">
        <w:rPr>
          <w:highlight w:val="yellow"/>
        </w:rPr>
        <w:t xml:space="preserve"> pelagic pinnacles?</w:t>
      </w:r>
    </w:p>
    <w:p w14:paraId="51341CC7" w14:textId="77777777" w:rsidR="00516123" w:rsidRPr="00516123" w:rsidRDefault="00516123" w:rsidP="00516123">
      <w:pPr>
        <w:pStyle w:val="code"/>
      </w:pPr>
      <w:r w:rsidRPr="00516123">
        <w:rPr>
          <w:b/>
          <w:bCs/>
        </w:rPr>
        <w:t>Shipwreck predicted abundances</w:t>
      </w:r>
      <w:r w:rsidRPr="00516123">
        <w:t> are </w:t>
      </w:r>
      <w:r w:rsidRPr="00516123">
        <w:rPr>
          <w:i/>
          <w:iCs/>
        </w:rPr>
        <w:t>generally intermediate</w:t>
      </w:r>
      <w:r w:rsidRPr="00516123">
        <w:t> between fringing and pinnacle for most groups.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805"/>
        <w:gridCol w:w="805"/>
        <w:gridCol w:w="4006"/>
      </w:tblGrid>
      <w:tr w:rsidR="00516123" w:rsidRPr="00516123" w14:paraId="592DD9E6" w14:textId="77777777" w:rsidTr="00516123">
        <w:trPr>
          <w:tblHeader/>
          <w:tblCellSpacing w:w="15" w:type="dxa"/>
        </w:trPr>
        <w:tc>
          <w:tcPr>
            <w:tcW w:w="0" w:type="auto"/>
            <w:vAlign w:val="center"/>
            <w:hideMark/>
          </w:tcPr>
          <w:p w14:paraId="5740D429" w14:textId="77777777" w:rsidR="00516123" w:rsidRPr="00516123" w:rsidRDefault="00516123" w:rsidP="00516123">
            <w:pPr>
              <w:pStyle w:val="code"/>
              <w:rPr>
                <w:b/>
                <w:bCs/>
              </w:rPr>
            </w:pPr>
            <w:r w:rsidRPr="00516123">
              <w:rPr>
                <w:b/>
                <w:bCs/>
              </w:rPr>
              <w:t>Group</w:t>
            </w:r>
          </w:p>
        </w:tc>
        <w:tc>
          <w:tcPr>
            <w:tcW w:w="0" w:type="auto"/>
            <w:vAlign w:val="center"/>
            <w:hideMark/>
          </w:tcPr>
          <w:p w14:paraId="6D1808E0" w14:textId="77777777" w:rsidR="00516123" w:rsidRPr="00516123" w:rsidRDefault="00516123" w:rsidP="00516123">
            <w:pPr>
              <w:pStyle w:val="code"/>
              <w:rPr>
                <w:b/>
                <w:bCs/>
              </w:rPr>
            </w:pPr>
            <w:r w:rsidRPr="00516123">
              <w:rPr>
                <w:b/>
                <w:bCs/>
              </w:rPr>
              <w:t>Fringing</w:t>
            </w:r>
          </w:p>
        </w:tc>
        <w:tc>
          <w:tcPr>
            <w:tcW w:w="0" w:type="auto"/>
            <w:vAlign w:val="center"/>
            <w:hideMark/>
          </w:tcPr>
          <w:p w14:paraId="4E196D5D" w14:textId="77777777" w:rsidR="00516123" w:rsidRPr="00516123" w:rsidRDefault="00516123" w:rsidP="00516123">
            <w:pPr>
              <w:pStyle w:val="code"/>
              <w:rPr>
                <w:b/>
                <w:bCs/>
              </w:rPr>
            </w:pPr>
            <w:r w:rsidRPr="00516123">
              <w:rPr>
                <w:b/>
                <w:bCs/>
              </w:rPr>
              <w:t>Pinnacle</w:t>
            </w:r>
          </w:p>
        </w:tc>
        <w:tc>
          <w:tcPr>
            <w:tcW w:w="0" w:type="auto"/>
            <w:vAlign w:val="center"/>
            <w:hideMark/>
          </w:tcPr>
          <w:p w14:paraId="40856985" w14:textId="77777777" w:rsidR="00516123" w:rsidRPr="00516123" w:rsidRDefault="00516123" w:rsidP="00516123">
            <w:pPr>
              <w:pStyle w:val="code"/>
              <w:rPr>
                <w:b/>
                <w:bCs/>
              </w:rPr>
            </w:pPr>
            <w:r w:rsidRPr="00516123">
              <w:rPr>
                <w:b/>
                <w:bCs/>
              </w:rPr>
              <w:t>Shipwreck</w:t>
            </w:r>
          </w:p>
        </w:tc>
      </w:tr>
      <w:tr w:rsidR="00516123" w:rsidRPr="00516123" w14:paraId="5190B814" w14:textId="77777777" w:rsidTr="00516123">
        <w:trPr>
          <w:tblCellSpacing w:w="15" w:type="dxa"/>
        </w:trPr>
        <w:tc>
          <w:tcPr>
            <w:tcW w:w="0" w:type="auto"/>
            <w:vAlign w:val="center"/>
            <w:hideMark/>
          </w:tcPr>
          <w:p w14:paraId="4F0D2A70" w14:textId="77777777" w:rsidR="00516123" w:rsidRPr="00516123" w:rsidRDefault="00516123" w:rsidP="00516123">
            <w:pPr>
              <w:pStyle w:val="code"/>
            </w:pPr>
            <w:r w:rsidRPr="00516123">
              <w:t>Herbivore</w:t>
            </w:r>
          </w:p>
        </w:tc>
        <w:tc>
          <w:tcPr>
            <w:tcW w:w="0" w:type="auto"/>
            <w:vAlign w:val="center"/>
            <w:hideMark/>
          </w:tcPr>
          <w:p w14:paraId="4721FB61" w14:textId="77777777" w:rsidR="00516123" w:rsidRPr="00516123" w:rsidRDefault="00516123" w:rsidP="00516123">
            <w:pPr>
              <w:pStyle w:val="code"/>
            </w:pPr>
            <w:r w:rsidRPr="00516123">
              <w:t>183</w:t>
            </w:r>
          </w:p>
        </w:tc>
        <w:tc>
          <w:tcPr>
            <w:tcW w:w="0" w:type="auto"/>
            <w:vAlign w:val="center"/>
            <w:hideMark/>
          </w:tcPr>
          <w:p w14:paraId="7DB59944" w14:textId="77777777" w:rsidR="00516123" w:rsidRPr="00516123" w:rsidRDefault="00516123" w:rsidP="00516123">
            <w:pPr>
              <w:pStyle w:val="code"/>
            </w:pPr>
            <w:r w:rsidRPr="00516123">
              <w:t>222</w:t>
            </w:r>
          </w:p>
        </w:tc>
        <w:tc>
          <w:tcPr>
            <w:tcW w:w="0" w:type="auto"/>
            <w:vAlign w:val="center"/>
            <w:hideMark/>
          </w:tcPr>
          <w:p w14:paraId="3AC5CE86" w14:textId="77777777" w:rsidR="00516123" w:rsidRPr="00516123" w:rsidRDefault="00516123" w:rsidP="00516123">
            <w:pPr>
              <w:pStyle w:val="code"/>
            </w:pPr>
            <w:r w:rsidRPr="00516123">
              <w:t xml:space="preserve">118 </w:t>
            </w:r>
            <w:r w:rsidRPr="00516123">
              <w:rPr>
                <w:rFonts w:ascii="Times New Roman" w:hAnsi="Times New Roman"/>
              </w:rPr>
              <w:t>←</w:t>
            </w:r>
            <w:r w:rsidRPr="00516123">
              <w:t xml:space="preserve"> clearly lower</w:t>
            </w:r>
          </w:p>
        </w:tc>
      </w:tr>
      <w:tr w:rsidR="00516123" w:rsidRPr="00516123" w14:paraId="15CA2DAB" w14:textId="77777777" w:rsidTr="00516123">
        <w:trPr>
          <w:tblCellSpacing w:w="15" w:type="dxa"/>
        </w:trPr>
        <w:tc>
          <w:tcPr>
            <w:tcW w:w="0" w:type="auto"/>
            <w:vAlign w:val="center"/>
            <w:hideMark/>
          </w:tcPr>
          <w:p w14:paraId="37F2C975" w14:textId="77777777" w:rsidR="00516123" w:rsidRPr="00516123" w:rsidRDefault="00516123" w:rsidP="00516123">
            <w:pPr>
              <w:pStyle w:val="code"/>
            </w:pPr>
            <w:r w:rsidRPr="00516123">
              <w:t>Invertivore</w:t>
            </w:r>
          </w:p>
        </w:tc>
        <w:tc>
          <w:tcPr>
            <w:tcW w:w="0" w:type="auto"/>
            <w:vAlign w:val="center"/>
            <w:hideMark/>
          </w:tcPr>
          <w:p w14:paraId="78276072" w14:textId="77777777" w:rsidR="00516123" w:rsidRPr="00516123" w:rsidRDefault="00516123" w:rsidP="00516123">
            <w:pPr>
              <w:pStyle w:val="code"/>
            </w:pPr>
            <w:r w:rsidRPr="00516123">
              <w:t>78</w:t>
            </w:r>
          </w:p>
        </w:tc>
        <w:tc>
          <w:tcPr>
            <w:tcW w:w="0" w:type="auto"/>
            <w:vAlign w:val="center"/>
            <w:hideMark/>
          </w:tcPr>
          <w:p w14:paraId="19ABF88B" w14:textId="77777777" w:rsidR="00516123" w:rsidRPr="00516123" w:rsidRDefault="00516123" w:rsidP="00516123">
            <w:pPr>
              <w:pStyle w:val="code"/>
            </w:pPr>
            <w:r w:rsidRPr="00516123">
              <w:t>132</w:t>
            </w:r>
          </w:p>
        </w:tc>
        <w:tc>
          <w:tcPr>
            <w:tcW w:w="0" w:type="auto"/>
            <w:vAlign w:val="center"/>
            <w:hideMark/>
          </w:tcPr>
          <w:p w14:paraId="756A9B06" w14:textId="77777777" w:rsidR="00516123" w:rsidRPr="00516123" w:rsidRDefault="00516123" w:rsidP="00516123">
            <w:pPr>
              <w:pStyle w:val="code"/>
            </w:pPr>
            <w:r w:rsidRPr="00516123">
              <w:t xml:space="preserve">79 </w:t>
            </w:r>
            <w:r w:rsidRPr="00516123">
              <w:rPr>
                <w:rFonts w:ascii="Times New Roman" w:hAnsi="Times New Roman"/>
              </w:rPr>
              <w:t>←</w:t>
            </w:r>
            <w:r w:rsidRPr="00516123">
              <w:t xml:space="preserve"> </w:t>
            </w:r>
            <w:proofErr w:type="gramStart"/>
            <w:r w:rsidRPr="00516123">
              <w:t>similar to</w:t>
            </w:r>
            <w:proofErr w:type="gramEnd"/>
            <w:r w:rsidRPr="00516123">
              <w:t xml:space="preserve"> fringing</w:t>
            </w:r>
          </w:p>
        </w:tc>
      </w:tr>
      <w:tr w:rsidR="00516123" w:rsidRPr="00516123" w14:paraId="123A6D5F" w14:textId="77777777" w:rsidTr="00516123">
        <w:trPr>
          <w:tblCellSpacing w:w="15" w:type="dxa"/>
        </w:trPr>
        <w:tc>
          <w:tcPr>
            <w:tcW w:w="0" w:type="auto"/>
            <w:vAlign w:val="center"/>
            <w:hideMark/>
          </w:tcPr>
          <w:p w14:paraId="0846AF99" w14:textId="77777777" w:rsidR="00516123" w:rsidRPr="00516123" w:rsidRDefault="00516123" w:rsidP="00516123">
            <w:pPr>
              <w:pStyle w:val="code"/>
            </w:pPr>
            <w:proofErr w:type="spellStart"/>
            <w:r w:rsidRPr="00516123">
              <w:t>Mesopredator</w:t>
            </w:r>
            <w:proofErr w:type="spellEnd"/>
          </w:p>
        </w:tc>
        <w:tc>
          <w:tcPr>
            <w:tcW w:w="0" w:type="auto"/>
            <w:vAlign w:val="center"/>
            <w:hideMark/>
          </w:tcPr>
          <w:p w14:paraId="1ACB3615" w14:textId="77777777" w:rsidR="00516123" w:rsidRPr="00516123" w:rsidRDefault="00516123" w:rsidP="00516123">
            <w:pPr>
              <w:pStyle w:val="code"/>
            </w:pPr>
            <w:r w:rsidRPr="00516123">
              <w:t>106</w:t>
            </w:r>
          </w:p>
        </w:tc>
        <w:tc>
          <w:tcPr>
            <w:tcW w:w="0" w:type="auto"/>
            <w:vAlign w:val="center"/>
            <w:hideMark/>
          </w:tcPr>
          <w:p w14:paraId="00E691A2" w14:textId="77777777" w:rsidR="00516123" w:rsidRPr="00516123" w:rsidRDefault="00516123" w:rsidP="00516123">
            <w:pPr>
              <w:pStyle w:val="code"/>
            </w:pPr>
            <w:r w:rsidRPr="00516123">
              <w:t>272</w:t>
            </w:r>
          </w:p>
        </w:tc>
        <w:tc>
          <w:tcPr>
            <w:tcW w:w="0" w:type="auto"/>
            <w:vAlign w:val="center"/>
            <w:hideMark/>
          </w:tcPr>
          <w:p w14:paraId="286DAAB3" w14:textId="77777777" w:rsidR="00516123" w:rsidRPr="00516123" w:rsidRDefault="00516123" w:rsidP="00516123">
            <w:pPr>
              <w:pStyle w:val="code"/>
            </w:pPr>
            <w:r w:rsidRPr="00516123">
              <w:t xml:space="preserve">182 </w:t>
            </w:r>
            <w:r w:rsidRPr="00516123">
              <w:rPr>
                <w:rFonts w:ascii="Times New Roman" w:hAnsi="Times New Roman"/>
              </w:rPr>
              <w:t>←</w:t>
            </w:r>
            <w:r w:rsidRPr="00516123">
              <w:t xml:space="preserve"> intermediate, leaning toward pinnacle</w:t>
            </w:r>
          </w:p>
        </w:tc>
      </w:tr>
      <w:tr w:rsidR="00516123" w:rsidRPr="00516123" w14:paraId="685ABE8F" w14:textId="77777777" w:rsidTr="00516123">
        <w:trPr>
          <w:tblCellSpacing w:w="15" w:type="dxa"/>
        </w:trPr>
        <w:tc>
          <w:tcPr>
            <w:tcW w:w="0" w:type="auto"/>
            <w:vAlign w:val="center"/>
            <w:hideMark/>
          </w:tcPr>
          <w:p w14:paraId="66829A68" w14:textId="77777777" w:rsidR="00516123" w:rsidRPr="00516123" w:rsidRDefault="00516123" w:rsidP="00516123">
            <w:pPr>
              <w:pStyle w:val="code"/>
            </w:pPr>
            <w:r w:rsidRPr="00516123">
              <w:t>HTLP</w:t>
            </w:r>
          </w:p>
        </w:tc>
        <w:tc>
          <w:tcPr>
            <w:tcW w:w="0" w:type="auto"/>
            <w:vAlign w:val="center"/>
            <w:hideMark/>
          </w:tcPr>
          <w:p w14:paraId="3B6A7584" w14:textId="77777777" w:rsidR="00516123" w:rsidRPr="00516123" w:rsidRDefault="00516123" w:rsidP="00516123">
            <w:pPr>
              <w:pStyle w:val="code"/>
            </w:pPr>
            <w:r w:rsidRPr="00516123">
              <w:t>18</w:t>
            </w:r>
          </w:p>
        </w:tc>
        <w:tc>
          <w:tcPr>
            <w:tcW w:w="0" w:type="auto"/>
            <w:vAlign w:val="center"/>
            <w:hideMark/>
          </w:tcPr>
          <w:p w14:paraId="7E2B1022" w14:textId="77777777" w:rsidR="00516123" w:rsidRPr="00516123" w:rsidRDefault="00516123" w:rsidP="00516123">
            <w:pPr>
              <w:pStyle w:val="code"/>
            </w:pPr>
            <w:r w:rsidRPr="00516123">
              <w:t>59</w:t>
            </w:r>
          </w:p>
        </w:tc>
        <w:tc>
          <w:tcPr>
            <w:tcW w:w="0" w:type="auto"/>
            <w:vAlign w:val="center"/>
            <w:hideMark/>
          </w:tcPr>
          <w:p w14:paraId="5516D79E" w14:textId="77777777" w:rsidR="00516123" w:rsidRPr="00516123" w:rsidRDefault="00516123" w:rsidP="00516123">
            <w:pPr>
              <w:pStyle w:val="code"/>
            </w:pPr>
            <w:r w:rsidRPr="00516123">
              <w:t xml:space="preserve">50 </w:t>
            </w:r>
            <w:r w:rsidRPr="00516123">
              <w:rPr>
                <w:rFonts w:ascii="Times New Roman" w:hAnsi="Times New Roman"/>
              </w:rPr>
              <w:t>←</w:t>
            </w:r>
            <w:r w:rsidRPr="00516123">
              <w:t xml:space="preserve"> much closer to pinnacle</w:t>
            </w:r>
          </w:p>
        </w:tc>
      </w:tr>
    </w:tbl>
    <w:p w14:paraId="7C4D5EF2" w14:textId="77777777" w:rsidR="00516123" w:rsidRPr="00516123" w:rsidRDefault="00516123" w:rsidP="00516123">
      <w:pPr>
        <w:pStyle w:val="code"/>
        <w:numPr>
          <w:ilvl w:val="0"/>
          <w:numId w:val="11"/>
        </w:numPr>
      </w:pPr>
      <w:r w:rsidRPr="00516123">
        <w:rPr>
          <w:b/>
          <w:bCs/>
        </w:rPr>
        <w:t>HTLPs and mesopredators</w:t>
      </w:r>
      <w:r w:rsidRPr="00516123">
        <w:t> on shipwrecks are closer to pinnacles than fringing reefs, both in direction and magnitude.</w:t>
      </w:r>
    </w:p>
    <w:p w14:paraId="3F405270" w14:textId="77777777" w:rsidR="00516123" w:rsidRPr="00516123" w:rsidRDefault="00516123" w:rsidP="00516123">
      <w:pPr>
        <w:pStyle w:val="code"/>
        <w:numPr>
          <w:ilvl w:val="0"/>
          <w:numId w:val="11"/>
        </w:numPr>
      </w:pPr>
      <w:r w:rsidRPr="00516123">
        <w:rPr>
          <w:b/>
          <w:bCs/>
        </w:rPr>
        <w:t>Invertivores</w:t>
      </w:r>
      <w:r w:rsidRPr="00516123">
        <w:t> on shipwrecks look </w:t>
      </w:r>
      <w:r w:rsidRPr="00516123">
        <w:rPr>
          <w:b/>
          <w:bCs/>
        </w:rPr>
        <w:t>identical</w:t>
      </w:r>
      <w:r w:rsidRPr="00516123">
        <w:t> to fringing reef values.</w:t>
      </w:r>
    </w:p>
    <w:p w14:paraId="21A77B84" w14:textId="77777777" w:rsidR="00516123" w:rsidRDefault="00516123" w:rsidP="00516123">
      <w:pPr>
        <w:pStyle w:val="code"/>
        <w:numPr>
          <w:ilvl w:val="0"/>
          <w:numId w:val="11"/>
        </w:numPr>
      </w:pPr>
      <w:r w:rsidRPr="00516123">
        <w:rPr>
          <w:b/>
          <w:bCs/>
        </w:rPr>
        <w:t>Herbivores</w:t>
      </w:r>
      <w:r w:rsidRPr="00516123">
        <w:t> are clearly </w:t>
      </w:r>
      <w:r w:rsidRPr="00516123">
        <w:rPr>
          <w:b/>
          <w:bCs/>
        </w:rPr>
        <w:t>lowest</w:t>
      </w:r>
      <w:r w:rsidRPr="00516123">
        <w:t> on shipwrecks.</w:t>
      </w:r>
    </w:p>
    <w:p w14:paraId="508B5C09" w14:textId="67629B1E" w:rsidR="00686B51" w:rsidRDefault="00686B51" w:rsidP="00686B51">
      <w:pPr>
        <w:pStyle w:val="code"/>
      </w:pPr>
      <w:proofErr w:type="spellStart"/>
      <w:r>
        <w:t>Sooooo</w:t>
      </w:r>
      <w:proofErr w:type="spellEnd"/>
      <w:r>
        <w:t>….</w:t>
      </w:r>
    </w:p>
    <w:p w14:paraId="17B85802" w14:textId="14153DC9" w:rsidR="00686B51" w:rsidRDefault="00686B51" w:rsidP="00686B51">
      <w:pPr>
        <w:pStyle w:val="code"/>
        <w:numPr>
          <w:ilvl w:val="0"/>
          <w:numId w:val="13"/>
        </w:numPr>
        <w:rPr>
          <w:sz w:val="24"/>
          <w:szCs w:val="24"/>
        </w:rPr>
      </w:pPr>
      <w:r>
        <w:t>For</w:t>
      </w:r>
      <w:r>
        <w:rPr>
          <w:rStyle w:val="apple-converted-space"/>
        </w:rPr>
        <w:t> </w:t>
      </w:r>
      <w:r>
        <w:rPr>
          <w:rStyle w:val="Strong"/>
        </w:rPr>
        <w:t>mesopredators and HTLPs</w:t>
      </w:r>
      <w:r>
        <w:t>, the data clearly support this.</w:t>
      </w:r>
    </w:p>
    <w:p w14:paraId="1614F06A" w14:textId="74682455" w:rsidR="00686B51" w:rsidRDefault="00686B51" w:rsidP="00686B51">
      <w:pPr>
        <w:pStyle w:val="code"/>
        <w:numPr>
          <w:ilvl w:val="0"/>
          <w:numId w:val="13"/>
        </w:numPr>
      </w:pPr>
      <w:r>
        <w:t>For</w:t>
      </w:r>
      <w:r>
        <w:rPr>
          <w:rStyle w:val="apple-converted-space"/>
        </w:rPr>
        <w:t> </w:t>
      </w:r>
      <w:r>
        <w:rPr>
          <w:rStyle w:val="Strong"/>
        </w:rPr>
        <w:t>invertivores</w:t>
      </w:r>
      <w:r>
        <w:t>, the resemblance is ambiguous — shipwrecks are nearly identical to fringing reefs.</w:t>
      </w:r>
    </w:p>
    <w:p w14:paraId="3C57C203" w14:textId="5A46B881" w:rsidR="00686B51" w:rsidRDefault="00686B51" w:rsidP="00686B51">
      <w:pPr>
        <w:pStyle w:val="code"/>
        <w:numPr>
          <w:ilvl w:val="0"/>
          <w:numId w:val="13"/>
        </w:numPr>
      </w:pPr>
      <w:r>
        <w:t>For</w:t>
      </w:r>
      <w:r>
        <w:rPr>
          <w:rStyle w:val="apple-converted-space"/>
        </w:rPr>
        <w:t> </w:t>
      </w:r>
      <w:r>
        <w:rPr>
          <w:rStyle w:val="Strong"/>
        </w:rPr>
        <w:t>herbivores</w:t>
      </w:r>
      <w:r>
        <w:t>,</w:t>
      </w:r>
      <w:r>
        <w:rPr>
          <w:rStyle w:val="apple-converted-space"/>
        </w:rPr>
        <w:t> </w:t>
      </w:r>
      <w:r>
        <w:rPr>
          <w:rStyle w:val="Strong"/>
        </w:rPr>
        <w:t>shipwrecks are the lowest</w:t>
      </w:r>
      <w:r>
        <w:rPr>
          <w:rStyle w:val="apple-converted-space"/>
        </w:rPr>
        <w:t> </w:t>
      </w:r>
      <w:r>
        <w:t xml:space="preserve">— they resemble neither closely, </w:t>
      </w:r>
      <w:proofErr w:type="gramStart"/>
      <w:r>
        <w:t>and</w:t>
      </w:r>
      <w:proofErr w:type="gramEnd"/>
      <w:r>
        <w:t xml:space="preserve"> diverge especially from pinnacles.</w:t>
      </w:r>
    </w:p>
    <w:p w14:paraId="2637B798" w14:textId="15FC4B97" w:rsidR="00686B51" w:rsidRPr="00686B51" w:rsidRDefault="00686B51" w:rsidP="00686B51">
      <w:pPr>
        <w:pStyle w:val="code"/>
      </w:pPr>
      <w:r w:rsidRPr="00686B51">
        <w:t>“</w:t>
      </w:r>
      <w:r w:rsidRPr="00686B51">
        <w:t>These results suggest that</w:t>
      </w:r>
      <w:r w:rsidRPr="00686B51">
        <w:rPr>
          <w:rStyle w:val="apple-converted-space"/>
        </w:rPr>
        <w:t> </w:t>
      </w:r>
      <w:r w:rsidRPr="00686B51">
        <w:rPr>
          <w:rStyle w:val="Strong"/>
          <w:b w:val="0"/>
          <w:bCs w:val="0"/>
        </w:rPr>
        <w:t>for higher trophic levels</w:t>
      </w:r>
      <w:r w:rsidRPr="00686B51">
        <w:rPr>
          <w:rStyle w:val="apple-converted-space"/>
        </w:rPr>
        <w:t> </w:t>
      </w:r>
      <w:r w:rsidRPr="00686B51">
        <w:t xml:space="preserve">(mesopredators and HTLPs), fish assemblages on shipwrecks more closely resemble those at pelagic pinnacles than at fringing reefs. However, herbivores and invertivores are less abundant on shipwrecks than on natural reefs, indicating that artificial reefs </w:t>
      </w:r>
      <w:r w:rsidRPr="00686B51">
        <w:rPr>
          <w:b/>
          <w:bCs/>
          <w:u w:val="single"/>
        </w:rPr>
        <w:t>may not fully replicate the ecological conditions of either natural reef type</w:t>
      </w:r>
      <w:r w:rsidRPr="00686B51">
        <w:t>.</w:t>
      </w:r>
      <w:r w:rsidRPr="00686B51">
        <w:t>”</w:t>
      </w:r>
    </w:p>
    <w:p w14:paraId="631EB9C1" w14:textId="77777777" w:rsidR="00516123" w:rsidRDefault="00516123" w:rsidP="00686B51">
      <w:pPr>
        <w:pStyle w:val="ListParagraph"/>
        <w:pBdr>
          <w:bottom w:val="single" w:sz="4" w:space="1" w:color="auto"/>
        </w:pBdr>
        <w:ind w:left="0"/>
      </w:pPr>
    </w:p>
    <w:p w14:paraId="7749C5D6" w14:textId="77777777" w:rsidR="00516123" w:rsidRPr="00516123" w:rsidRDefault="00516123" w:rsidP="00516123">
      <w:pPr>
        <w:pStyle w:val="ListParagraph"/>
        <w:ind w:left="0"/>
        <w:rPr>
          <w:rFonts w:eastAsiaTheme="minorHAnsi"/>
        </w:rPr>
      </w:pPr>
    </w:p>
    <w:p w14:paraId="07285319" w14:textId="77777777" w:rsidR="00516123" w:rsidRPr="00516123" w:rsidRDefault="00516123" w:rsidP="00516123"/>
    <w:p w14:paraId="35067C10" w14:textId="77777777" w:rsidR="00686B51" w:rsidRDefault="00686B51">
      <w:pPr>
        <w:spacing w:after="200" w:line="276" w:lineRule="auto"/>
        <w:rPr>
          <w:highlight w:val="yellow"/>
        </w:rPr>
      </w:pPr>
      <w:r>
        <w:rPr>
          <w:highlight w:val="yellow"/>
        </w:rPr>
        <w:br w:type="page"/>
      </w:r>
    </w:p>
    <w:p w14:paraId="0BC84D50" w14:textId="78CB9455" w:rsidR="00E25E25" w:rsidRPr="00E25E25" w:rsidRDefault="00686B51" w:rsidP="00E25E25">
      <w:r w:rsidRPr="00686B51">
        <w:rPr>
          <w:highlight w:val="yellow"/>
        </w:rPr>
        <w:lastRenderedPageBreak/>
        <w:t>## species specific analysis</w:t>
      </w:r>
      <w:r>
        <w:t xml:space="preserve"> = </w:t>
      </w:r>
      <w:r w:rsidRPr="0032168B">
        <w:rPr>
          <w:rFonts w:ascii="Monaco" w:hAnsi="Monaco"/>
          <w:sz w:val="13"/>
          <w:szCs w:val="13"/>
        </w:rPr>
        <w:t>summary(</w:t>
      </w:r>
      <w:proofErr w:type="spellStart"/>
      <w:r w:rsidRPr="0032168B">
        <w:rPr>
          <w:rFonts w:ascii="Monaco" w:hAnsi="Monaco"/>
          <w:sz w:val="13"/>
          <w:szCs w:val="13"/>
        </w:rPr>
        <w:t>results_all_species$fit_mv</w:t>
      </w:r>
      <w:proofErr w:type="spellEnd"/>
      <w:r w:rsidRPr="0032168B">
        <w:rPr>
          <w:rFonts w:ascii="Monaco" w:hAnsi="Monaco"/>
          <w:sz w:val="13"/>
          <w:szCs w:val="13"/>
        </w:rPr>
        <w:t>)</w:t>
      </w:r>
    </w:p>
    <w:p w14:paraId="14AE2151" w14:textId="77777777" w:rsidR="00E25E25" w:rsidRDefault="00E25E25" w:rsidP="00E25E25"/>
    <w:p w14:paraId="574A33B3" w14:textId="77777777" w:rsidR="00686B51" w:rsidRPr="00686B51" w:rsidRDefault="00686B51" w:rsidP="00686B51">
      <w:pPr>
        <w:pStyle w:val="code"/>
        <w:rPr>
          <w:rFonts w:ascii="Helvetica" w:hAnsi="Helvetica"/>
          <w:sz w:val="22"/>
          <w:szCs w:val="22"/>
        </w:rPr>
      </w:pPr>
      <w:r w:rsidRPr="00686B51">
        <w:rPr>
          <w:rFonts w:ascii="Helvetica" w:hAnsi="Helvetica"/>
          <w:sz w:val="22"/>
          <w:szCs w:val="22"/>
        </w:rPr>
        <w:t>Model Structure</w:t>
      </w:r>
    </w:p>
    <w:p w14:paraId="54AE2CBF" w14:textId="77777777" w:rsidR="00686B51" w:rsidRPr="00686B51" w:rsidRDefault="00686B51" w:rsidP="00686B51">
      <w:pPr>
        <w:pStyle w:val="code"/>
        <w:numPr>
          <w:ilvl w:val="0"/>
          <w:numId w:val="15"/>
        </w:numPr>
        <w:rPr>
          <w:rFonts w:ascii="Helvetica" w:hAnsi="Helvetica"/>
          <w:sz w:val="22"/>
          <w:szCs w:val="22"/>
        </w:rPr>
      </w:pPr>
      <w:r w:rsidRPr="00686B51">
        <w:rPr>
          <w:rFonts w:ascii="Helvetica" w:hAnsi="Helvetica"/>
          <w:sz w:val="22"/>
          <w:szCs w:val="22"/>
        </w:rPr>
        <w:t>Each species modeled separately as:</w:t>
      </w:r>
      <w:r w:rsidRPr="00686B51">
        <w:rPr>
          <w:rFonts w:ascii="Helvetica" w:hAnsi="Helvetica"/>
          <w:sz w:val="22"/>
          <w:szCs w:val="22"/>
        </w:rPr>
        <w:br/>
      </w:r>
      <w:r w:rsidRPr="00686B51">
        <w:rPr>
          <w:rStyle w:val="HTMLCode"/>
          <w:rFonts w:ascii="Helvetica" w:hAnsi="Helvetica"/>
          <w:sz w:val="22"/>
          <w:szCs w:val="22"/>
        </w:rPr>
        <w:t>Abundance ~ Classification</w:t>
      </w:r>
    </w:p>
    <w:p w14:paraId="38F7899B" w14:textId="77777777" w:rsidR="00686B51" w:rsidRPr="00686B51" w:rsidRDefault="00686B51" w:rsidP="00686B51">
      <w:pPr>
        <w:pStyle w:val="code"/>
        <w:numPr>
          <w:ilvl w:val="0"/>
          <w:numId w:val="15"/>
        </w:numPr>
        <w:rPr>
          <w:rFonts w:ascii="Helvetica" w:hAnsi="Helvetica"/>
          <w:sz w:val="22"/>
          <w:szCs w:val="22"/>
        </w:rPr>
      </w:pPr>
      <w:r w:rsidRPr="00686B51">
        <w:rPr>
          <w:rFonts w:ascii="Helvetica" w:hAnsi="Helvetica"/>
          <w:sz w:val="22"/>
          <w:szCs w:val="22"/>
        </w:rPr>
        <w:t>Distribution: Negative binomial (with separate overdispersion estimates per species)</w:t>
      </w:r>
    </w:p>
    <w:p w14:paraId="0B66E092" w14:textId="77777777" w:rsidR="00686B51" w:rsidRPr="00686B51" w:rsidRDefault="00686B51" w:rsidP="00686B51">
      <w:pPr>
        <w:pStyle w:val="code"/>
        <w:numPr>
          <w:ilvl w:val="0"/>
          <w:numId w:val="15"/>
        </w:numPr>
        <w:rPr>
          <w:rFonts w:ascii="Helvetica" w:hAnsi="Helvetica"/>
          <w:sz w:val="22"/>
          <w:szCs w:val="22"/>
        </w:rPr>
      </w:pPr>
      <w:r w:rsidRPr="00686B51">
        <w:rPr>
          <w:rFonts w:ascii="Helvetica" w:hAnsi="Helvetica"/>
          <w:sz w:val="22"/>
          <w:szCs w:val="22"/>
        </w:rPr>
        <w:t>Reference level:</w:t>
      </w:r>
      <w:r w:rsidRPr="00686B51">
        <w:rPr>
          <w:rStyle w:val="apple-converted-space"/>
          <w:rFonts w:ascii="Helvetica" w:hAnsi="Helvetica"/>
          <w:sz w:val="22"/>
          <w:szCs w:val="22"/>
        </w:rPr>
        <w:t> </w:t>
      </w:r>
      <w:r w:rsidRPr="00686B51">
        <w:rPr>
          <w:rStyle w:val="Strong"/>
          <w:rFonts w:ascii="Helvetica" w:hAnsi="Helvetica"/>
          <w:sz w:val="22"/>
          <w:szCs w:val="22"/>
        </w:rPr>
        <w:t>Fringing reefs</w:t>
      </w:r>
    </w:p>
    <w:p w14:paraId="04C1EBAD" w14:textId="77777777" w:rsidR="00686B51" w:rsidRDefault="00686B51" w:rsidP="00686B51">
      <w:pPr>
        <w:pStyle w:val="code"/>
        <w:numPr>
          <w:ilvl w:val="0"/>
          <w:numId w:val="15"/>
        </w:numPr>
        <w:rPr>
          <w:rFonts w:ascii="Helvetica" w:hAnsi="Helvetica"/>
          <w:sz w:val="22"/>
          <w:szCs w:val="22"/>
        </w:rPr>
      </w:pPr>
      <w:r w:rsidRPr="00686B51">
        <w:rPr>
          <w:rFonts w:ascii="Helvetica" w:hAnsi="Helvetica"/>
          <w:sz w:val="22"/>
          <w:szCs w:val="22"/>
        </w:rPr>
        <w:t>Effects shown for</w:t>
      </w:r>
      <w:r w:rsidRPr="00686B51">
        <w:rPr>
          <w:rStyle w:val="apple-converted-space"/>
          <w:rFonts w:ascii="Helvetica" w:hAnsi="Helvetica"/>
          <w:sz w:val="22"/>
          <w:szCs w:val="22"/>
        </w:rPr>
        <w:t> </w:t>
      </w:r>
      <w:r w:rsidRPr="00686B51">
        <w:rPr>
          <w:rStyle w:val="Strong"/>
          <w:rFonts w:ascii="Helvetica" w:hAnsi="Helvetica"/>
          <w:sz w:val="22"/>
          <w:szCs w:val="22"/>
        </w:rPr>
        <w:t>Pinnacle</w:t>
      </w:r>
      <w:r w:rsidRPr="00686B51">
        <w:rPr>
          <w:rStyle w:val="apple-converted-space"/>
          <w:rFonts w:ascii="Helvetica" w:hAnsi="Helvetica"/>
          <w:sz w:val="22"/>
          <w:szCs w:val="22"/>
        </w:rPr>
        <w:t> </w:t>
      </w:r>
      <w:r w:rsidRPr="00686B51">
        <w:rPr>
          <w:rFonts w:ascii="Helvetica" w:hAnsi="Helvetica"/>
          <w:sz w:val="22"/>
          <w:szCs w:val="22"/>
        </w:rPr>
        <w:t>and</w:t>
      </w:r>
      <w:r w:rsidRPr="00686B51">
        <w:rPr>
          <w:rStyle w:val="apple-converted-space"/>
          <w:rFonts w:ascii="Helvetica" w:hAnsi="Helvetica"/>
          <w:sz w:val="22"/>
          <w:szCs w:val="22"/>
        </w:rPr>
        <w:t> </w:t>
      </w:r>
      <w:r w:rsidRPr="00686B51">
        <w:rPr>
          <w:rStyle w:val="Strong"/>
          <w:rFonts w:ascii="Helvetica" w:hAnsi="Helvetica"/>
          <w:sz w:val="22"/>
          <w:szCs w:val="22"/>
        </w:rPr>
        <w:t>Shipwreck</w:t>
      </w:r>
      <w:r w:rsidRPr="00686B51">
        <w:rPr>
          <w:rStyle w:val="apple-converted-space"/>
          <w:rFonts w:ascii="Helvetica" w:hAnsi="Helvetica"/>
          <w:sz w:val="22"/>
          <w:szCs w:val="22"/>
        </w:rPr>
        <w:t> </w:t>
      </w:r>
      <w:r w:rsidRPr="00686B51">
        <w:rPr>
          <w:rFonts w:ascii="Helvetica" w:hAnsi="Helvetica"/>
          <w:sz w:val="22"/>
          <w:szCs w:val="22"/>
        </w:rPr>
        <w:t>compared to Fringing</w:t>
      </w:r>
    </w:p>
    <w:p w14:paraId="55B2924A" w14:textId="77777777" w:rsidR="00686B51" w:rsidRDefault="00686B51" w:rsidP="00686B51">
      <w:pPr>
        <w:pStyle w:val="code"/>
        <w:rPr>
          <w:sz w:val="27"/>
          <w:szCs w:val="27"/>
        </w:rPr>
      </w:pPr>
      <w:r>
        <w:rPr>
          <w:rStyle w:val="Strong"/>
          <w:b w:val="0"/>
          <w:bCs w:val="0"/>
        </w:rPr>
        <w:t>Species significantly more abundant at Shipwrecks</w:t>
      </w:r>
      <w:r>
        <w:rPr>
          <w:rStyle w:val="apple-converted-space"/>
        </w:rPr>
        <w:t> </w:t>
      </w:r>
      <w:r>
        <w:rPr>
          <w:rStyle w:val="Emphasis"/>
        </w:rPr>
        <w:t>(vs. Fringing)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3025"/>
        <w:gridCol w:w="4036"/>
      </w:tblGrid>
      <w:tr w:rsidR="00686B51" w14:paraId="061F9DE6" w14:textId="77777777" w:rsidTr="00686B51">
        <w:trPr>
          <w:tblHeader/>
          <w:tblCellSpacing w:w="15" w:type="dxa"/>
        </w:trPr>
        <w:tc>
          <w:tcPr>
            <w:tcW w:w="0" w:type="auto"/>
            <w:vAlign w:val="center"/>
            <w:hideMark/>
          </w:tcPr>
          <w:p w14:paraId="3EA3025D" w14:textId="77777777" w:rsidR="00686B51" w:rsidRDefault="00686B51" w:rsidP="00686B51">
            <w:pPr>
              <w:pStyle w:val="code"/>
              <w:rPr>
                <w:b/>
                <w:bCs/>
                <w:color w:val="auto"/>
              </w:rPr>
            </w:pPr>
            <w:r>
              <w:rPr>
                <w:b/>
                <w:bCs/>
              </w:rPr>
              <w:t>Species</w:t>
            </w:r>
          </w:p>
        </w:tc>
        <w:tc>
          <w:tcPr>
            <w:tcW w:w="0" w:type="auto"/>
            <w:vAlign w:val="center"/>
            <w:hideMark/>
          </w:tcPr>
          <w:p w14:paraId="0E9E8FB1" w14:textId="77777777" w:rsidR="00686B51" w:rsidRDefault="00686B51" w:rsidP="00686B51">
            <w:pPr>
              <w:pStyle w:val="code"/>
              <w:rPr>
                <w:b/>
                <w:bCs/>
              </w:rPr>
            </w:pPr>
            <w:r>
              <w:rPr>
                <w:b/>
                <w:bCs/>
              </w:rPr>
              <w:t>Shipwreck Effect (Estimate ± SE)</w:t>
            </w:r>
          </w:p>
        </w:tc>
        <w:tc>
          <w:tcPr>
            <w:tcW w:w="0" w:type="auto"/>
            <w:vAlign w:val="center"/>
            <w:hideMark/>
          </w:tcPr>
          <w:p w14:paraId="73FB2DF9" w14:textId="77777777" w:rsidR="00686B51" w:rsidRDefault="00686B51" w:rsidP="00686B51">
            <w:pPr>
              <w:pStyle w:val="code"/>
              <w:rPr>
                <w:b/>
                <w:bCs/>
              </w:rPr>
            </w:pPr>
            <w:r>
              <w:rPr>
                <w:b/>
                <w:bCs/>
              </w:rPr>
              <w:t>Interpretation</w:t>
            </w:r>
          </w:p>
        </w:tc>
      </w:tr>
      <w:tr w:rsidR="00686B51" w14:paraId="2E6CBBBD" w14:textId="77777777" w:rsidTr="00686B51">
        <w:trPr>
          <w:tblCellSpacing w:w="15" w:type="dxa"/>
        </w:trPr>
        <w:tc>
          <w:tcPr>
            <w:tcW w:w="0" w:type="auto"/>
            <w:vAlign w:val="center"/>
            <w:hideMark/>
          </w:tcPr>
          <w:p w14:paraId="05F93E60" w14:textId="77777777" w:rsidR="00686B51" w:rsidRDefault="00686B51" w:rsidP="00686B51">
            <w:pPr>
              <w:pStyle w:val="code"/>
            </w:pPr>
            <w:r>
              <w:rPr>
                <w:rStyle w:val="Strong"/>
              </w:rPr>
              <w:t>Sweetlips</w:t>
            </w:r>
          </w:p>
        </w:tc>
        <w:tc>
          <w:tcPr>
            <w:tcW w:w="0" w:type="auto"/>
            <w:vAlign w:val="center"/>
            <w:hideMark/>
          </w:tcPr>
          <w:p w14:paraId="45DA96BB" w14:textId="77777777" w:rsidR="00686B51" w:rsidRDefault="00686B51" w:rsidP="00686B51">
            <w:pPr>
              <w:pStyle w:val="code"/>
            </w:pPr>
            <w:r>
              <w:t>+1.44 ± 0.35</w:t>
            </w:r>
          </w:p>
        </w:tc>
        <w:tc>
          <w:tcPr>
            <w:tcW w:w="0" w:type="auto"/>
            <w:vAlign w:val="center"/>
            <w:hideMark/>
          </w:tcPr>
          <w:p w14:paraId="6DD56410" w14:textId="77777777" w:rsidR="00686B51" w:rsidRDefault="00686B51" w:rsidP="00686B51">
            <w:pPr>
              <w:pStyle w:val="code"/>
            </w:pPr>
            <w:r>
              <w:t>Clear increase on shipwrecks</w:t>
            </w:r>
          </w:p>
        </w:tc>
      </w:tr>
      <w:tr w:rsidR="00686B51" w14:paraId="00E32174" w14:textId="77777777" w:rsidTr="00686B51">
        <w:trPr>
          <w:tblCellSpacing w:w="15" w:type="dxa"/>
        </w:trPr>
        <w:tc>
          <w:tcPr>
            <w:tcW w:w="0" w:type="auto"/>
            <w:vAlign w:val="center"/>
            <w:hideMark/>
          </w:tcPr>
          <w:p w14:paraId="1C6B1A27" w14:textId="77777777" w:rsidR="00686B51" w:rsidRDefault="00686B51" w:rsidP="00686B51">
            <w:pPr>
              <w:pStyle w:val="code"/>
            </w:pPr>
            <w:r>
              <w:rPr>
                <w:rStyle w:val="Strong"/>
              </w:rPr>
              <w:t>Large Snapper</w:t>
            </w:r>
          </w:p>
        </w:tc>
        <w:tc>
          <w:tcPr>
            <w:tcW w:w="0" w:type="auto"/>
            <w:vAlign w:val="center"/>
            <w:hideMark/>
          </w:tcPr>
          <w:p w14:paraId="53D71180" w14:textId="77777777" w:rsidR="00686B51" w:rsidRDefault="00686B51" w:rsidP="00686B51">
            <w:pPr>
              <w:pStyle w:val="code"/>
            </w:pPr>
            <w:r>
              <w:t>+2.51 ± 0.30</w:t>
            </w:r>
          </w:p>
        </w:tc>
        <w:tc>
          <w:tcPr>
            <w:tcW w:w="0" w:type="auto"/>
            <w:vAlign w:val="center"/>
            <w:hideMark/>
          </w:tcPr>
          <w:p w14:paraId="7CC73257" w14:textId="77777777" w:rsidR="00686B51" w:rsidRDefault="00686B51" w:rsidP="00686B51">
            <w:pPr>
              <w:pStyle w:val="code"/>
            </w:pPr>
            <w:r>
              <w:t>Very strong increase</w:t>
            </w:r>
          </w:p>
        </w:tc>
      </w:tr>
      <w:tr w:rsidR="00686B51" w14:paraId="36D50267" w14:textId="77777777" w:rsidTr="00686B51">
        <w:trPr>
          <w:tblCellSpacing w:w="15" w:type="dxa"/>
        </w:trPr>
        <w:tc>
          <w:tcPr>
            <w:tcW w:w="0" w:type="auto"/>
            <w:vAlign w:val="center"/>
            <w:hideMark/>
          </w:tcPr>
          <w:p w14:paraId="24871D8F" w14:textId="77777777" w:rsidR="00686B51" w:rsidRDefault="00686B51" w:rsidP="00686B51">
            <w:pPr>
              <w:pStyle w:val="code"/>
            </w:pPr>
            <w:r>
              <w:rPr>
                <w:rStyle w:val="Strong"/>
              </w:rPr>
              <w:t>Small Snapper</w:t>
            </w:r>
          </w:p>
        </w:tc>
        <w:tc>
          <w:tcPr>
            <w:tcW w:w="0" w:type="auto"/>
            <w:vAlign w:val="center"/>
            <w:hideMark/>
          </w:tcPr>
          <w:p w14:paraId="6E85B630" w14:textId="77777777" w:rsidR="00686B51" w:rsidRDefault="00686B51" w:rsidP="00686B51">
            <w:pPr>
              <w:pStyle w:val="code"/>
            </w:pPr>
            <w:r>
              <w:t>+1.17 ± 0.30</w:t>
            </w:r>
          </w:p>
        </w:tc>
        <w:tc>
          <w:tcPr>
            <w:tcW w:w="0" w:type="auto"/>
            <w:vAlign w:val="center"/>
            <w:hideMark/>
          </w:tcPr>
          <w:p w14:paraId="1AAB4078" w14:textId="77777777" w:rsidR="00686B51" w:rsidRDefault="00686B51" w:rsidP="00686B51">
            <w:pPr>
              <w:pStyle w:val="code"/>
            </w:pPr>
            <w:r>
              <w:t>Strong increase</w:t>
            </w:r>
          </w:p>
        </w:tc>
      </w:tr>
      <w:tr w:rsidR="00686B51" w14:paraId="59B4C798" w14:textId="77777777" w:rsidTr="00686B51">
        <w:trPr>
          <w:tblCellSpacing w:w="15" w:type="dxa"/>
        </w:trPr>
        <w:tc>
          <w:tcPr>
            <w:tcW w:w="0" w:type="auto"/>
            <w:vAlign w:val="center"/>
            <w:hideMark/>
          </w:tcPr>
          <w:p w14:paraId="24C9F5D9" w14:textId="77777777" w:rsidR="00686B51" w:rsidRDefault="00686B51" w:rsidP="00686B51">
            <w:pPr>
              <w:pStyle w:val="code"/>
            </w:pPr>
            <w:r>
              <w:rPr>
                <w:rStyle w:val="Strong"/>
              </w:rPr>
              <w:t>Trevally</w:t>
            </w:r>
          </w:p>
        </w:tc>
        <w:tc>
          <w:tcPr>
            <w:tcW w:w="0" w:type="auto"/>
            <w:vAlign w:val="center"/>
            <w:hideMark/>
          </w:tcPr>
          <w:p w14:paraId="72E943CC" w14:textId="77777777" w:rsidR="00686B51" w:rsidRDefault="00686B51" w:rsidP="00686B51">
            <w:pPr>
              <w:pStyle w:val="code"/>
            </w:pPr>
            <w:r>
              <w:t>+0.89 ± 0.24</w:t>
            </w:r>
          </w:p>
        </w:tc>
        <w:tc>
          <w:tcPr>
            <w:tcW w:w="0" w:type="auto"/>
            <w:vAlign w:val="center"/>
            <w:hideMark/>
          </w:tcPr>
          <w:p w14:paraId="79DACB43" w14:textId="77777777" w:rsidR="00686B51" w:rsidRDefault="00686B51" w:rsidP="00686B51">
            <w:pPr>
              <w:pStyle w:val="code"/>
            </w:pPr>
            <w:r>
              <w:t>Moderate increase</w:t>
            </w:r>
          </w:p>
        </w:tc>
      </w:tr>
      <w:tr w:rsidR="00686B51" w14:paraId="6FDA36C9" w14:textId="77777777" w:rsidTr="00686B51">
        <w:trPr>
          <w:tblCellSpacing w:w="15" w:type="dxa"/>
        </w:trPr>
        <w:tc>
          <w:tcPr>
            <w:tcW w:w="0" w:type="auto"/>
            <w:vAlign w:val="center"/>
            <w:hideMark/>
          </w:tcPr>
          <w:p w14:paraId="0759EE9C" w14:textId="77777777" w:rsidR="00686B51" w:rsidRDefault="00686B51" w:rsidP="00686B51">
            <w:pPr>
              <w:pStyle w:val="code"/>
            </w:pPr>
            <w:proofErr w:type="spellStart"/>
            <w:r>
              <w:rPr>
                <w:rStyle w:val="Strong"/>
              </w:rPr>
              <w:t>Emperorfish</w:t>
            </w:r>
            <w:proofErr w:type="spellEnd"/>
          </w:p>
        </w:tc>
        <w:tc>
          <w:tcPr>
            <w:tcW w:w="0" w:type="auto"/>
            <w:vAlign w:val="center"/>
            <w:hideMark/>
          </w:tcPr>
          <w:p w14:paraId="202388BA" w14:textId="77777777" w:rsidR="00686B51" w:rsidRDefault="00686B51" w:rsidP="00686B51">
            <w:pPr>
              <w:pStyle w:val="code"/>
            </w:pPr>
            <w:r>
              <w:t>+0.53 ± 0.22</w:t>
            </w:r>
          </w:p>
        </w:tc>
        <w:tc>
          <w:tcPr>
            <w:tcW w:w="0" w:type="auto"/>
            <w:vAlign w:val="center"/>
            <w:hideMark/>
          </w:tcPr>
          <w:p w14:paraId="0E4107F0" w14:textId="77777777" w:rsidR="00686B51" w:rsidRDefault="00686B51" w:rsidP="00686B51">
            <w:pPr>
              <w:pStyle w:val="code"/>
            </w:pPr>
            <w:r>
              <w:t>Slight increase</w:t>
            </w:r>
          </w:p>
        </w:tc>
      </w:tr>
      <w:tr w:rsidR="00686B51" w14:paraId="09048CEB" w14:textId="77777777" w:rsidTr="00686B51">
        <w:trPr>
          <w:tblCellSpacing w:w="15" w:type="dxa"/>
        </w:trPr>
        <w:tc>
          <w:tcPr>
            <w:tcW w:w="0" w:type="auto"/>
            <w:vAlign w:val="center"/>
            <w:hideMark/>
          </w:tcPr>
          <w:p w14:paraId="2174AA7E" w14:textId="77777777" w:rsidR="00686B51" w:rsidRDefault="00686B51" w:rsidP="00686B51">
            <w:pPr>
              <w:pStyle w:val="code"/>
            </w:pPr>
            <w:r>
              <w:rPr>
                <w:rStyle w:val="Strong"/>
              </w:rPr>
              <w:t>Batfish</w:t>
            </w:r>
          </w:p>
        </w:tc>
        <w:tc>
          <w:tcPr>
            <w:tcW w:w="0" w:type="auto"/>
            <w:vAlign w:val="center"/>
            <w:hideMark/>
          </w:tcPr>
          <w:p w14:paraId="13BD65CA" w14:textId="77777777" w:rsidR="00686B51" w:rsidRDefault="00686B51" w:rsidP="00686B51">
            <w:pPr>
              <w:pStyle w:val="code"/>
            </w:pPr>
            <w:r>
              <w:t>+0.92 ± 0.49</w:t>
            </w:r>
          </w:p>
        </w:tc>
        <w:tc>
          <w:tcPr>
            <w:tcW w:w="0" w:type="auto"/>
            <w:vAlign w:val="center"/>
            <w:hideMark/>
          </w:tcPr>
          <w:p w14:paraId="63F6AAD5" w14:textId="77777777" w:rsidR="00686B51" w:rsidRDefault="00686B51" w:rsidP="00686B51">
            <w:pPr>
              <w:pStyle w:val="code"/>
            </w:pPr>
            <w:r>
              <w:t>Credible interval overlaps 0, but suggestive</w:t>
            </w:r>
          </w:p>
        </w:tc>
      </w:tr>
      <w:tr w:rsidR="00686B51" w14:paraId="0A2E2B77" w14:textId="77777777" w:rsidTr="00686B51">
        <w:trPr>
          <w:tblCellSpacing w:w="15" w:type="dxa"/>
        </w:trPr>
        <w:tc>
          <w:tcPr>
            <w:tcW w:w="0" w:type="auto"/>
            <w:vAlign w:val="center"/>
            <w:hideMark/>
          </w:tcPr>
          <w:p w14:paraId="0E9EB731" w14:textId="77777777" w:rsidR="00686B51" w:rsidRDefault="00686B51" w:rsidP="00686B51">
            <w:pPr>
              <w:pStyle w:val="code"/>
            </w:pPr>
            <w:r>
              <w:rPr>
                <w:rStyle w:val="Strong"/>
              </w:rPr>
              <w:t>Squirrel/Soldierfish</w:t>
            </w:r>
          </w:p>
        </w:tc>
        <w:tc>
          <w:tcPr>
            <w:tcW w:w="0" w:type="auto"/>
            <w:vAlign w:val="center"/>
            <w:hideMark/>
          </w:tcPr>
          <w:p w14:paraId="79E67F88" w14:textId="77777777" w:rsidR="00686B51" w:rsidRDefault="00686B51" w:rsidP="00686B51">
            <w:pPr>
              <w:pStyle w:val="code"/>
            </w:pPr>
            <w:r>
              <w:t>+0.00 ± 0.31</w:t>
            </w:r>
          </w:p>
        </w:tc>
        <w:tc>
          <w:tcPr>
            <w:tcW w:w="0" w:type="auto"/>
            <w:vAlign w:val="center"/>
            <w:hideMark/>
          </w:tcPr>
          <w:p w14:paraId="1AB76F1B" w14:textId="77777777" w:rsidR="00686B51" w:rsidRDefault="00686B51" w:rsidP="00686B51">
            <w:pPr>
              <w:pStyle w:val="code"/>
            </w:pPr>
            <w:r>
              <w:t>Estimate = 0, highly uncertain</w:t>
            </w:r>
          </w:p>
        </w:tc>
      </w:tr>
      <w:tr w:rsidR="00686B51" w14:paraId="72074746" w14:textId="77777777" w:rsidTr="00686B51">
        <w:trPr>
          <w:tblCellSpacing w:w="15" w:type="dxa"/>
        </w:trPr>
        <w:tc>
          <w:tcPr>
            <w:tcW w:w="0" w:type="auto"/>
            <w:vAlign w:val="center"/>
            <w:hideMark/>
          </w:tcPr>
          <w:p w14:paraId="284620BD" w14:textId="77777777" w:rsidR="00686B51" w:rsidRDefault="00686B51" w:rsidP="00686B51">
            <w:pPr>
              <w:pStyle w:val="code"/>
            </w:pPr>
            <w:r>
              <w:rPr>
                <w:rStyle w:val="Strong"/>
              </w:rPr>
              <w:t>Cleaner Wrasse</w:t>
            </w:r>
          </w:p>
        </w:tc>
        <w:tc>
          <w:tcPr>
            <w:tcW w:w="0" w:type="auto"/>
            <w:vAlign w:val="center"/>
            <w:hideMark/>
          </w:tcPr>
          <w:p w14:paraId="2562C874" w14:textId="77777777" w:rsidR="00686B51" w:rsidRDefault="00686B51" w:rsidP="00686B51">
            <w:pPr>
              <w:pStyle w:val="code"/>
            </w:pPr>
            <w:r>
              <w:rPr>
                <w:rStyle w:val="Strong"/>
              </w:rPr>
              <w:t>–1.09 ± 0.18</w:t>
            </w:r>
          </w:p>
        </w:tc>
        <w:tc>
          <w:tcPr>
            <w:tcW w:w="0" w:type="auto"/>
            <w:vAlign w:val="center"/>
            <w:hideMark/>
          </w:tcPr>
          <w:p w14:paraId="59B0E327" w14:textId="77777777" w:rsidR="00686B51" w:rsidRDefault="00686B51" w:rsidP="00686B51">
            <w:pPr>
              <w:pStyle w:val="code"/>
            </w:pPr>
            <w:r>
              <w:t>Strongly</w:t>
            </w:r>
            <w:r>
              <w:rPr>
                <w:rStyle w:val="apple-converted-space"/>
              </w:rPr>
              <w:t> </w:t>
            </w:r>
            <w:r>
              <w:rPr>
                <w:rStyle w:val="Emphasis"/>
              </w:rPr>
              <w:t>less</w:t>
            </w:r>
            <w:r>
              <w:rPr>
                <w:rStyle w:val="apple-converted-space"/>
              </w:rPr>
              <w:t> </w:t>
            </w:r>
            <w:r>
              <w:t>abundant</w:t>
            </w:r>
          </w:p>
        </w:tc>
      </w:tr>
      <w:tr w:rsidR="00686B51" w14:paraId="60C07867" w14:textId="77777777" w:rsidTr="00686B51">
        <w:trPr>
          <w:tblCellSpacing w:w="15" w:type="dxa"/>
        </w:trPr>
        <w:tc>
          <w:tcPr>
            <w:tcW w:w="0" w:type="auto"/>
            <w:vAlign w:val="center"/>
            <w:hideMark/>
          </w:tcPr>
          <w:p w14:paraId="1C464F27" w14:textId="77777777" w:rsidR="00686B51" w:rsidRDefault="00686B51" w:rsidP="00686B51">
            <w:pPr>
              <w:pStyle w:val="code"/>
            </w:pPr>
            <w:proofErr w:type="spellStart"/>
            <w:r>
              <w:rPr>
                <w:rStyle w:val="Strong"/>
              </w:rPr>
              <w:t>Thicklip</w:t>
            </w:r>
            <w:proofErr w:type="spellEnd"/>
            <w:r>
              <w:rPr>
                <w:rStyle w:val="Strong"/>
              </w:rPr>
              <w:t xml:space="preserve"> Wrasse</w:t>
            </w:r>
          </w:p>
        </w:tc>
        <w:tc>
          <w:tcPr>
            <w:tcW w:w="0" w:type="auto"/>
            <w:vAlign w:val="center"/>
            <w:hideMark/>
          </w:tcPr>
          <w:p w14:paraId="50575545" w14:textId="77777777" w:rsidR="00686B51" w:rsidRDefault="00686B51" w:rsidP="00686B51">
            <w:pPr>
              <w:pStyle w:val="code"/>
            </w:pPr>
            <w:r>
              <w:rPr>
                <w:rStyle w:val="Strong"/>
              </w:rPr>
              <w:t>–1.84 ± 0.19</w:t>
            </w:r>
          </w:p>
        </w:tc>
        <w:tc>
          <w:tcPr>
            <w:tcW w:w="0" w:type="auto"/>
            <w:vAlign w:val="center"/>
            <w:hideMark/>
          </w:tcPr>
          <w:p w14:paraId="416F2A8F" w14:textId="77777777" w:rsidR="00686B51" w:rsidRDefault="00686B51" w:rsidP="00686B51">
            <w:pPr>
              <w:pStyle w:val="code"/>
            </w:pPr>
            <w:r>
              <w:t>Strong decline</w:t>
            </w:r>
          </w:p>
        </w:tc>
      </w:tr>
      <w:tr w:rsidR="00686B51" w14:paraId="2171E502" w14:textId="77777777" w:rsidTr="00686B51">
        <w:trPr>
          <w:tblCellSpacing w:w="15" w:type="dxa"/>
        </w:trPr>
        <w:tc>
          <w:tcPr>
            <w:tcW w:w="0" w:type="auto"/>
            <w:vAlign w:val="center"/>
            <w:hideMark/>
          </w:tcPr>
          <w:p w14:paraId="52D7FA0F" w14:textId="77777777" w:rsidR="00686B51" w:rsidRDefault="00686B51" w:rsidP="00686B51">
            <w:pPr>
              <w:pStyle w:val="code"/>
            </w:pPr>
            <w:proofErr w:type="spellStart"/>
            <w:r>
              <w:rPr>
                <w:rStyle w:val="Strong"/>
              </w:rPr>
              <w:t>Slingjaw</w:t>
            </w:r>
            <w:proofErr w:type="spellEnd"/>
            <w:r>
              <w:rPr>
                <w:rStyle w:val="Strong"/>
              </w:rPr>
              <w:t xml:space="preserve"> Wrasse</w:t>
            </w:r>
          </w:p>
        </w:tc>
        <w:tc>
          <w:tcPr>
            <w:tcW w:w="0" w:type="auto"/>
            <w:vAlign w:val="center"/>
            <w:hideMark/>
          </w:tcPr>
          <w:p w14:paraId="42A0E7D7" w14:textId="77777777" w:rsidR="00686B51" w:rsidRDefault="00686B51" w:rsidP="00686B51">
            <w:pPr>
              <w:pStyle w:val="code"/>
            </w:pPr>
            <w:r>
              <w:rPr>
                <w:rStyle w:val="Strong"/>
              </w:rPr>
              <w:t>–2.34 ± 0.23</w:t>
            </w:r>
          </w:p>
        </w:tc>
        <w:tc>
          <w:tcPr>
            <w:tcW w:w="0" w:type="auto"/>
            <w:vAlign w:val="center"/>
            <w:hideMark/>
          </w:tcPr>
          <w:p w14:paraId="31EB0D81" w14:textId="77777777" w:rsidR="00686B51" w:rsidRDefault="00686B51" w:rsidP="00686B51">
            <w:pPr>
              <w:pStyle w:val="code"/>
            </w:pPr>
            <w:r>
              <w:t>Very strong decline</w:t>
            </w:r>
          </w:p>
        </w:tc>
      </w:tr>
      <w:tr w:rsidR="00686B51" w14:paraId="046D9B5F" w14:textId="77777777" w:rsidTr="00686B51">
        <w:trPr>
          <w:tblCellSpacing w:w="15" w:type="dxa"/>
        </w:trPr>
        <w:tc>
          <w:tcPr>
            <w:tcW w:w="0" w:type="auto"/>
            <w:vAlign w:val="center"/>
            <w:hideMark/>
          </w:tcPr>
          <w:p w14:paraId="296B3AB8" w14:textId="77777777" w:rsidR="00686B51" w:rsidRDefault="00686B51" w:rsidP="00686B51">
            <w:pPr>
              <w:pStyle w:val="code"/>
            </w:pPr>
            <w:r>
              <w:rPr>
                <w:rStyle w:val="Strong"/>
              </w:rPr>
              <w:t>Butterflyfish</w:t>
            </w:r>
          </w:p>
        </w:tc>
        <w:tc>
          <w:tcPr>
            <w:tcW w:w="0" w:type="auto"/>
            <w:vAlign w:val="center"/>
            <w:hideMark/>
          </w:tcPr>
          <w:p w14:paraId="11B87924" w14:textId="77777777" w:rsidR="00686B51" w:rsidRDefault="00686B51" w:rsidP="00686B51">
            <w:pPr>
              <w:pStyle w:val="code"/>
            </w:pPr>
            <w:r>
              <w:rPr>
                <w:rStyle w:val="Strong"/>
              </w:rPr>
              <w:t>–0.86 ± 0.13</w:t>
            </w:r>
          </w:p>
        </w:tc>
        <w:tc>
          <w:tcPr>
            <w:tcW w:w="0" w:type="auto"/>
            <w:vAlign w:val="center"/>
            <w:hideMark/>
          </w:tcPr>
          <w:p w14:paraId="6D0C1AD0" w14:textId="77777777" w:rsidR="00686B51" w:rsidRDefault="00686B51" w:rsidP="00686B51">
            <w:pPr>
              <w:pStyle w:val="code"/>
            </w:pPr>
            <w:r>
              <w:t>Clear decline</w:t>
            </w:r>
          </w:p>
        </w:tc>
      </w:tr>
      <w:tr w:rsidR="00686B51" w14:paraId="01FD5C30" w14:textId="77777777" w:rsidTr="00686B51">
        <w:trPr>
          <w:tblCellSpacing w:w="15" w:type="dxa"/>
        </w:trPr>
        <w:tc>
          <w:tcPr>
            <w:tcW w:w="0" w:type="auto"/>
            <w:vAlign w:val="center"/>
            <w:hideMark/>
          </w:tcPr>
          <w:p w14:paraId="7BEE3E16" w14:textId="77777777" w:rsidR="00686B51" w:rsidRDefault="00686B51" w:rsidP="00686B51">
            <w:pPr>
              <w:pStyle w:val="code"/>
            </w:pPr>
            <w:r>
              <w:rPr>
                <w:rStyle w:val="Strong"/>
              </w:rPr>
              <w:t>Triggerfish</w:t>
            </w:r>
          </w:p>
        </w:tc>
        <w:tc>
          <w:tcPr>
            <w:tcW w:w="0" w:type="auto"/>
            <w:vAlign w:val="center"/>
            <w:hideMark/>
          </w:tcPr>
          <w:p w14:paraId="7DD0C321" w14:textId="77777777" w:rsidR="00686B51" w:rsidRDefault="00686B51" w:rsidP="00686B51">
            <w:pPr>
              <w:pStyle w:val="code"/>
            </w:pPr>
            <w:r>
              <w:t>–0.62 ± 0.18</w:t>
            </w:r>
          </w:p>
        </w:tc>
        <w:tc>
          <w:tcPr>
            <w:tcW w:w="0" w:type="auto"/>
            <w:vAlign w:val="center"/>
            <w:hideMark/>
          </w:tcPr>
          <w:p w14:paraId="4CDAD3D4" w14:textId="77777777" w:rsidR="00686B51" w:rsidRDefault="00686B51" w:rsidP="00686B51">
            <w:pPr>
              <w:pStyle w:val="code"/>
            </w:pPr>
            <w:r>
              <w:t>Moderate decline</w:t>
            </w:r>
          </w:p>
        </w:tc>
      </w:tr>
      <w:tr w:rsidR="00686B51" w14:paraId="12C29FC0" w14:textId="77777777" w:rsidTr="00686B51">
        <w:trPr>
          <w:tblCellSpacing w:w="15" w:type="dxa"/>
        </w:trPr>
        <w:tc>
          <w:tcPr>
            <w:tcW w:w="0" w:type="auto"/>
            <w:vAlign w:val="center"/>
            <w:hideMark/>
          </w:tcPr>
          <w:p w14:paraId="6FC64DB0" w14:textId="77777777" w:rsidR="00686B51" w:rsidRDefault="00686B51" w:rsidP="00686B51">
            <w:pPr>
              <w:pStyle w:val="code"/>
            </w:pPr>
            <w:r>
              <w:rPr>
                <w:rStyle w:val="Strong"/>
              </w:rPr>
              <w:t>Small Grouper</w:t>
            </w:r>
          </w:p>
        </w:tc>
        <w:tc>
          <w:tcPr>
            <w:tcW w:w="0" w:type="auto"/>
            <w:vAlign w:val="center"/>
            <w:hideMark/>
          </w:tcPr>
          <w:p w14:paraId="259F583F" w14:textId="77777777" w:rsidR="00686B51" w:rsidRDefault="00686B51" w:rsidP="00686B51">
            <w:pPr>
              <w:pStyle w:val="code"/>
            </w:pPr>
            <w:r>
              <w:rPr>
                <w:rStyle w:val="Strong"/>
              </w:rPr>
              <w:t>–0.76 ± 0.15</w:t>
            </w:r>
          </w:p>
        </w:tc>
        <w:tc>
          <w:tcPr>
            <w:tcW w:w="0" w:type="auto"/>
            <w:vAlign w:val="center"/>
            <w:hideMark/>
          </w:tcPr>
          <w:p w14:paraId="6D09244D" w14:textId="77777777" w:rsidR="00686B51" w:rsidRDefault="00686B51" w:rsidP="00686B51">
            <w:pPr>
              <w:pStyle w:val="code"/>
            </w:pPr>
            <w:r>
              <w:t>Clear decline</w:t>
            </w:r>
          </w:p>
        </w:tc>
      </w:tr>
    </w:tbl>
    <w:p w14:paraId="4F77534E" w14:textId="12675E1E" w:rsidR="00686B51" w:rsidRDefault="00686B51" w:rsidP="00686B51">
      <w:pPr>
        <w:pStyle w:val="code"/>
      </w:pPr>
      <w:r>
        <w:t>Interpretation:</w:t>
      </w:r>
    </w:p>
    <w:p w14:paraId="2FC3A6E9" w14:textId="77777777" w:rsidR="00686B51" w:rsidRDefault="00686B51" w:rsidP="00686B51">
      <w:pPr>
        <w:pStyle w:val="code"/>
        <w:numPr>
          <w:ilvl w:val="0"/>
          <w:numId w:val="19"/>
        </w:numPr>
      </w:pPr>
      <w:r>
        <w:t>Shipwrecks favor</w:t>
      </w:r>
      <w:r>
        <w:rPr>
          <w:rStyle w:val="apple-converted-space"/>
        </w:rPr>
        <w:t> </w:t>
      </w:r>
      <w:r>
        <w:rPr>
          <w:rStyle w:val="Strong"/>
        </w:rPr>
        <w:t>predatory and schooling fish</w:t>
      </w:r>
      <w:r>
        <w:rPr>
          <w:rStyle w:val="apple-converted-space"/>
        </w:rPr>
        <w:t> </w:t>
      </w:r>
      <w:r>
        <w:t>(snappers, trevally, sweetlips, emperors).</w:t>
      </w:r>
    </w:p>
    <w:p w14:paraId="7FE70EBC" w14:textId="77777777" w:rsidR="00686B51" w:rsidRDefault="00686B51" w:rsidP="00686B51">
      <w:pPr>
        <w:pStyle w:val="code"/>
        <w:numPr>
          <w:ilvl w:val="0"/>
          <w:numId w:val="19"/>
        </w:numPr>
      </w:pPr>
      <w:r>
        <w:t>They are</w:t>
      </w:r>
      <w:r>
        <w:rPr>
          <w:rStyle w:val="apple-converted-space"/>
        </w:rPr>
        <w:t> </w:t>
      </w:r>
      <w:r>
        <w:rPr>
          <w:rStyle w:val="Strong"/>
        </w:rPr>
        <w:t>less suitable for reef-associated wrasses and butterflyfish</w:t>
      </w:r>
      <w:r>
        <w:t>.</w:t>
      </w:r>
    </w:p>
    <w:p w14:paraId="5E2D372F" w14:textId="77777777" w:rsidR="00686B51" w:rsidRDefault="000702FD" w:rsidP="00686B51">
      <w:pPr>
        <w:pStyle w:val="code"/>
        <w:rPr>
          <w:color w:val="auto"/>
        </w:rPr>
      </w:pPr>
      <w:r w:rsidRPr="000702FD">
        <w:rPr>
          <w:noProof/>
          <w14:ligatures w14:val="standardContextual"/>
        </w:rPr>
        <w:pict w14:anchorId="0BA34ACD">
          <v:rect id="_x0000_i1026" alt="" style="width:468pt;height:.05pt;mso-width-percent:0;mso-height-percent:0;mso-width-percent:0;mso-height-percent:0" o:hralign="center" o:hrstd="t" o:hr="t" fillcolor="#a0a0a0" stroked="f"/>
        </w:pict>
      </w:r>
    </w:p>
    <w:p w14:paraId="07AAEDB4" w14:textId="40332515" w:rsidR="00686B51" w:rsidRDefault="00686B51" w:rsidP="00686B51">
      <w:pPr>
        <w:pStyle w:val="code"/>
      </w:pPr>
      <w:r>
        <w:rPr>
          <w:rStyle w:val="Strong"/>
          <w:b w:val="0"/>
          <w:bCs w:val="0"/>
        </w:rPr>
        <w:t>Species significantly more abundant at Pinnacles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2932"/>
        <w:gridCol w:w="1606"/>
      </w:tblGrid>
      <w:tr w:rsidR="00686B51" w14:paraId="48C70EA2" w14:textId="77777777" w:rsidTr="00686B51">
        <w:trPr>
          <w:tblHeader/>
          <w:tblCellSpacing w:w="15" w:type="dxa"/>
        </w:trPr>
        <w:tc>
          <w:tcPr>
            <w:tcW w:w="0" w:type="auto"/>
            <w:vAlign w:val="center"/>
            <w:hideMark/>
          </w:tcPr>
          <w:p w14:paraId="436DCDE2" w14:textId="77777777" w:rsidR="00686B51" w:rsidRDefault="00686B51" w:rsidP="00686B51">
            <w:pPr>
              <w:pStyle w:val="code"/>
              <w:rPr>
                <w:b/>
                <w:bCs/>
                <w:color w:val="auto"/>
              </w:rPr>
            </w:pPr>
            <w:r>
              <w:rPr>
                <w:b/>
                <w:bCs/>
              </w:rPr>
              <w:t>Species</w:t>
            </w:r>
          </w:p>
        </w:tc>
        <w:tc>
          <w:tcPr>
            <w:tcW w:w="0" w:type="auto"/>
            <w:vAlign w:val="center"/>
            <w:hideMark/>
          </w:tcPr>
          <w:p w14:paraId="6680397B" w14:textId="77777777" w:rsidR="00686B51" w:rsidRDefault="00686B51" w:rsidP="00686B51">
            <w:pPr>
              <w:pStyle w:val="code"/>
              <w:rPr>
                <w:b/>
                <w:bCs/>
              </w:rPr>
            </w:pPr>
            <w:r>
              <w:rPr>
                <w:b/>
                <w:bCs/>
              </w:rPr>
              <w:t>Pinnacle Effect (Estimate ± SE)</w:t>
            </w:r>
          </w:p>
        </w:tc>
        <w:tc>
          <w:tcPr>
            <w:tcW w:w="0" w:type="auto"/>
            <w:vAlign w:val="center"/>
            <w:hideMark/>
          </w:tcPr>
          <w:p w14:paraId="602A107A" w14:textId="77777777" w:rsidR="00686B51" w:rsidRDefault="00686B51" w:rsidP="00686B51">
            <w:pPr>
              <w:pStyle w:val="code"/>
              <w:rPr>
                <w:b/>
                <w:bCs/>
              </w:rPr>
            </w:pPr>
            <w:r>
              <w:rPr>
                <w:b/>
                <w:bCs/>
              </w:rPr>
              <w:t>Interpretation</w:t>
            </w:r>
          </w:p>
        </w:tc>
      </w:tr>
      <w:tr w:rsidR="00686B51" w14:paraId="1E8E3164" w14:textId="77777777" w:rsidTr="00686B51">
        <w:trPr>
          <w:tblCellSpacing w:w="15" w:type="dxa"/>
        </w:trPr>
        <w:tc>
          <w:tcPr>
            <w:tcW w:w="0" w:type="auto"/>
            <w:vAlign w:val="center"/>
            <w:hideMark/>
          </w:tcPr>
          <w:p w14:paraId="17892F6D" w14:textId="77777777" w:rsidR="00686B51" w:rsidRDefault="00686B51" w:rsidP="00686B51">
            <w:pPr>
              <w:pStyle w:val="code"/>
            </w:pPr>
            <w:r>
              <w:rPr>
                <w:rStyle w:val="Strong"/>
              </w:rPr>
              <w:t>Batfish</w:t>
            </w:r>
          </w:p>
        </w:tc>
        <w:tc>
          <w:tcPr>
            <w:tcW w:w="0" w:type="auto"/>
            <w:vAlign w:val="center"/>
            <w:hideMark/>
          </w:tcPr>
          <w:p w14:paraId="04ED2285" w14:textId="77777777" w:rsidR="00686B51" w:rsidRDefault="00686B51" w:rsidP="00686B51">
            <w:pPr>
              <w:pStyle w:val="code"/>
            </w:pPr>
            <w:r>
              <w:t>+2.17 ± 0.37</w:t>
            </w:r>
          </w:p>
        </w:tc>
        <w:tc>
          <w:tcPr>
            <w:tcW w:w="0" w:type="auto"/>
            <w:vAlign w:val="center"/>
            <w:hideMark/>
          </w:tcPr>
          <w:p w14:paraId="18520B74" w14:textId="77777777" w:rsidR="00686B51" w:rsidRDefault="00686B51" w:rsidP="00686B51">
            <w:pPr>
              <w:pStyle w:val="code"/>
            </w:pPr>
            <w:r>
              <w:t>Strong increase</w:t>
            </w:r>
          </w:p>
        </w:tc>
      </w:tr>
      <w:tr w:rsidR="00686B51" w14:paraId="60A1C362" w14:textId="77777777" w:rsidTr="00686B51">
        <w:trPr>
          <w:tblCellSpacing w:w="15" w:type="dxa"/>
        </w:trPr>
        <w:tc>
          <w:tcPr>
            <w:tcW w:w="0" w:type="auto"/>
            <w:vAlign w:val="center"/>
            <w:hideMark/>
          </w:tcPr>
          <w:p w14:paraId="50099169" w14:textId="77777777" w:rsidR="00686B51" w:rsidRDefault="00686B51" w:rsidP="00686B51">
            <w:pPr>
              <w:pStyle w:val="code"/>
            </w:pPr>
            <w:r>
              <w:rPr>
                <w:rStyle w:val="Strong"/>
              </w:rPr>
              <w:t>Sweetlips</w:t>
            </w:r>
          </w:p>
        </w:tc>
        <w:tc>
          <w:tcPr>
            <w:tcW w:w="0" w:type="auto"/>
            <w:vAlign w:val="center"/>
            <w:hideMark/>
          </w:tcPr>
          <w:p w14:paraId="1A1C38F2" w14:textId="77777777" w:rsidR="00686B51" w:rsidRDefault="00686B51" w:rsidP="00686B51">
            <w:pPr>
              <w:pStyle w:val="code"/>
            </w:pPr>
            <w:r>
              <w:t>+1.20 ± 0.28</w:t>
            </w:r>
          </w:p>
        </w:tc>
        <w:tc>
          <w:tcPr>
            <w:tcW w:w="0" w:type="auto"/>
            <w:vAlign w:val="center"/>
            <w:hideMark/>
          </w:tcPr>
          <w:p w14:paraId="47C1608C" w14:textId="77777777" w:rsidR="00686B51" w:rsidRDefault="00686B51" w:rsidP="00686B51">
            <w:pPr>
              <w:pStyle w:val="code"/>
            </w:pPr>
            <w:r>
              <w:t>Strong increase</w:t>
            </w:r>
          </w:p>
        </w:tc>
      </w:tr>
      <w:tr w:rsidR="00686B51" w14:paraId="5F11BE28" w14:textId="77777777" w:rsidTr="00686B51">
        <w:trPr>
          <w:tblCellSpacing w:w="15" w:type="dxa"/>
        </w:trPr>
        <w:tc>
          <w:tcPr>
            <w:tcW w:w="0" w:type="auto"/>
            <w:vAlign w:val="center"/>
            <w:hideMark/>
          </w:tcPr>
          <w:p w14:paraId="38D16F5A" w14:textId="77777777" w:rsidR="00686B51" w:rsidRDefault="00686B51" w:rsidP="00686B51">
            <w:pPr>
              <w:pStyle w:val="code"/>
            </w:pPr>
            <w:r>
              <w:rPr>
                <w:rStyle w:val="Strong"/>
              </w:rPr>
              <w:t>Large Snapper</w:t>
            </w:r>
          </w:p>
        </w:tc>
        <w:tc>
          <w:tcPr>
            <w:tcW w:w="0" w:type="auto"/>
            <w:vAlign w:val="center"/>
            <w:hideMark/>
          </w:tcPr>
          <w:p w14:paraId="55A9A6FC" w14:textId="77777777" w:rsidR="00686B51" w:rsidRDefault="00686B51" w:rsidP="00686B51">
            <w:pPr>
              <w:pStyle w:val="code"/>
            </w:pPr>
            <w:r>
              <w:t>+1.63 ± 0.24</w:t>
            </w:r>
          </w:p>
        </w:tc>
        <w:tc>
          <w:tcPr>
            <w:tcW w:w="0" w:type="auto"/>
            <w:vAlign w:val="center"/>
            <w:hideMark/>
          </w:tcPr>
          <w:p w14:paraId="687802D6" w14:textId="77777777" w:rsidR="00686B51" w:rsidRDefault="00686B51" w:rsidP="00686B51">
            <w:pPr>
              <w:pStyle w:val="code"/>
            </w:pPr>
            <w:r>
              <w:t>Strong increase</w:t>
            </w:r>
          </w:p>
        </w:tc>
      </w:tr>
      <w:tr w:rsidR="00686B51" w14:paraId="4A8F615F" w14:textId="77777777" w:rsidTr="00686B51">
        <w:trPr>
          <w:tblCellSpacing w:w="15" w:type="dxa"/>
        </w:trPr>
        <w:tc>
          <w:tcPr>
            <w:tcW w:w="0" w:type="auto"/>
            <w:vAlign w:val="center"/>
            <w:hideMark/>
          </w:tcPr>
          <w:p w14:paraId="46B8EC62" w14:textId="77777777" w:rsidR="00686B51" w:rsidRDefault="00686B51" w:rsidP="00686B51">
            <w:pPr>
              <w:pStyle w:val="code"/>
            </w:pPr>
            <w:r>
              <w:rPr>
                <w:rStyle w:val="Strong"/>
              </w:rPr>
              <w:t>Small Snapper</w:t>
            </w:r>
          </w:p>
        </w:tc>
        <w:tc>
          <w:tcPr>
            <w:tcW w:w="0" w:type="auto"/>
            <w:vAlign w:val="center"/>
            <w:hideMark/>
          </w:tcPr>
          <w:p w14:paraId="3F513C00" w14:textId="77777777" w:rsidR="00686B51" w:rsidRDefault="00686B51" w:rsidP="00686B51">
            <w:pPr>
              <w:pStyle w:val="code"/>
            </w:pPr>
            <w:r>
              <w:t>+1.50 ± 0.24</w:t>
            </w:r>
          </w:p>
        </w:tc>
        <w:tc>
          <w:tcPr>
            <w:tcW w:w="0" w:type="auto"/>
            <w:vAlign w:val="center"/>
            <w:hideMark/>
          </w:tcPr>
          <w:p w14:paraId="2A77A205" w14:textId="77777777" w:rsidR="00686B51" w:rsidRDefault="00686B51" w:rsidP="00686B51">
            <w:pPr>
              <w:pStyle w:val="code"/>
            </w:pPr>
            <w:r>
              <w:t>Strong increase</w:t>
            </w:r>
          </w:p>
        </w:tc>
      </w:tr>
      <w:tr w:rsidR="00686B51" w14:paraId="6EAFECB0" w14:textId="77777777" w:rsidTr="00686B51">
        <w:trPr>
          <w:tblCellSpacing w:w="15" w:type="dxa"/>
        </w:trPr>
        <w:tc>
          <w:tcPr>
            <w:tcW w:w="0" w:type="auto"/>
            <w:vAlign w:val="center"/>
            <w:hideMark/>
          </w:tcPr>
          <w:p w14:paraId="79976541" w14:textId="77777777" w:rsidR="00686B51" w:rsidRDefault="00686B51" w:rsidP="00686B51">
            <w:pPr>
              <w:pStyle w:val="code"/>
            </w:pPr>
            <w:r>
              <w:rPr>
                <w:rStyle w:val="Strong"/>
              </w:rPr>
              <w:t>Trevally</w:t>
            </w:r>
          </w:p>
        </w:tc>
        <w:tc>
          <w:tcPr>
            <w:tcW w:w="0" w:type="auto"/>
            <w:vAlign w:val="center"/>
            <w:hideMark/>
          </w:tcPr>
          <w:p w14:paraId="40147675" w14:textId="77777777" w:rsidR="00686B51" w:rsidRDefault="00686B51" w:rsidP="00686B51">
            <w:pPr>
              <w:pStyle w:val="code"/>
            </w:pPr>
            <w:r>
              <w:t>+1.68 ± 0.18</w:t>
            </w:r>
          </w:p>
        </w:tc>
        <w:tc>
          <w:tcPr>
            <w:tcW w:w="0" w:type="auto"/>
            <w:vAlign w:val="center"/>
            <w:hideMark/>
          </w:tcPr>
          <w:p w14:paraId="6C114C7B" w14:textId="77777777" w:rsidR="00686B51" w:rsidRDefault="00686B51" w:rsidP="00686B51">
            <w:pPr>
              <w:pStyle w:val="code"/>
            </w:pPr>
            <w:r>
              <w:t>Strong increase</w:t>
            </w:r>
          </w:p>
        </w:tc>
      </w:tr>
      <w:tr w:rsidR="00686B51" w14:paraId="6764C713" w14:textId="77777777" w:rsidTr="00686B51">
        <w:trPr>
          <w:tblCellSpacing w:w="15" w:type="dxa"/>
        </w:trPr>
        <w:tc>
          <w:tcPr>
            <w:tcW w:w="0" w:type="auto"/>
            <w:vAlign w:val="center"/>
            <w:hideMark/>
          </w:tcPr>
          <w:p w14:paraId="6E180C41" w14:textId="77777777" w:rsidR="00686B51" w:rsidRDefault="00686B51" w:rsidP="00686B51">
            <w:pPr>
              <w:pStyle w:val="code"/>
            </w:pPr>
            <w:proofErr w:type="spellStart"/>
            <w:r>
              <w:rPr>
                <w:rStyle w:val="Strong"/>
              </w:rPr>
              <w:t>Emperorfish</w:t>
            </w:r>
            <w:proofErr w:type="spellEnd"/>
          </w:p>
        </w:tc>
        <w:tc>
          <w:tcPr>
            <w:tcW w:w="0" w:type="auto"/>
            <w:vAlign w:val="center"/>
            <w:hideMark/>
          </w:tcPr>
          <w:p w14:paraId="2B9AFE3E" w14:textId="77777777" w:rsidR="00686B51" w:rsidRDefault="00686B51" w:rsidP="00686B51">
            <w:pPr>
              <w:pStyle w:val="code"/>
            </w:pPr>
            <w:r>
              <w:t>+0.86 ± 0.17</w:t>
            </w:r>
          </w:p>
        </w:tc>
        <w:tc>
          <w:tcPr>
            <w:tcW w:w="0" w:type="auto"/>
            <w:vAlign w:val="center"/>
            <w:hideMark/>
          </w:tcPr>
          <w:p w14:paraId="74186843" w14:textId="77777777" w:rsidR="00686B51" w:rsidRDefault="00686B51" w:rsidP="00686B51">
            <w:pPr>
              <w:pStyle w:val="code"/>
            </w:pPr>
            <w:r>
              <w:t>Moderate increase</w:t>
            </w:r>
          </w:p>
        </w:tc>
      </w:tr>
      <w:tr w:rsidR="00686B51" w14:paraId="431967B9" w14:textId="77777777" w:rsidTr="00686B51">
        <w:trPr>
          <w:tblCellSpacing w:w="15" w:type="dxa"/>
        </w:trPr>
        <w:tc>
          <w:tcPr>
            <w:tcW w:w="0" w:type="auto"/>
            <w:vAlign w:val="center"/>
            <w:hideMark/>
          </w:tcPr>
          <w:p w14:paraId="203623F5" w14:textId="77777777" w:rsidR="00686B51" w:rsidRDefault="00686B51" w:rsidP="00686B51">
            <w:pPr>
              <w:pStyle w:val="code"/>
            </w:pPr>
            <w:r>
              <w:rPr>
                <w:rStyle w:val="Strong"/>
              </w:rPr>
              <w:t>Squirrel/Soldierfish</w:t>
            </w:r>
          </w:p>
        </w:tc>
        <w:tc>
          <w:tcPr>
            <w:tcW w:w="0" w:type="auto"/>
            <w:vAlign w:val="center"/>
            <w:hideMark/>
          </w:tcPr>
          <w:p w14:paraId="580E31BD" w14:textId="77777777" w:rsidR="00686B51" w:rsidRDefault="00686B51" w:rsidP="00686B51">
            <w:pPr>
              <w:pStyle w:val="code"/>
            </w:pPr>
            <w:r>
              <w:t>+1.44 ± 0.24</w:t>
            </w:r>
          </w:p>
        </w:tc>
        <w:tc>
          <w:tcPr>
            <w:tcW w:w="0" w:type="auto"/>
            <w:vAlign w:val="center"/>
            <w:hideMark/>
          </w:tcPr>
          <w:p w14:paraId="3397014B" w14:textId="77777777" w:rsidR="00686B51" w:rsidRDefault="00686B51" w:rsidP="00686B51">
            <w:pPr>
              <w:pStyle w:val="code"/>
            </w:pPr>
            <w:r>
              <w:t>Strong</w:t>
            </w:r>
          </w:p>
        </w:tc>
      </w:tr>
      <w:tr w:rsidR="00686B51" w14:paraId="7DE61EC5" w14:textId="77777777" w:rsidTr="00686B51">
        <w:trPr>
          <w:tblCellSpacing w:w="15" w:type="dxa"/>
        </w:trPr>
        <w:tc>
          <w:tcPr>
            <w:tcW w:w="0" w:type="auto"/>
            <w:vAlign w:val="center"/>
            <w:hideMark/>
          </w:tcPr>
          <w:p w14:paraId="40ACF701" w14:textId="77777777" w:rsidR="00686B51" w:rsidRDefault="00686B51" w:rsidP="00686B51">
            <w:pPr>
              <w:pStyle w:val="code"/>
            </w:pPr>
            <w:r>
              <w:rPr>
                <w:rStyle w:val="Strong"/>
              </w:rPr>
              <w:t>Parrotfish</w:t>
            </w:r>
          </w:p>
        </w:tc>
        <w:tc>
          <w:tcPr>
            <w:tcW w:w="0" w:type="auto"/>
            <w:vAlign w:val="center"/>
            <w:hideMark/>
          </w:tcPr>
          <w:p w14:paraId="468CB030" w14:textId="77777777" w:rsidR="00686B51" w:rsidRDefault="00686B51" w:rsidP="00686B51">
            <w:pPr>
              <w:pStyle w:val="code"/>
            </w:pPr>
            <w:r>
              <w:rPr>
                <w:rStyle w:val="Strong"/>
              </w:rPr>
              <w:t>–0.56 ± 0.11</w:t>
            </w:r>
          </w:p>
        </w:tc>
        <w:tc>
          <w:tcPr>
            <w:tcW w:w="0" w:type="auto"/>
            <w:vAlign w:val="center"/>
            <w:hideMark/>
          </w:tcPr>
          <w:p w14:paraId="1E4FFE93" w14:textId="77777777" w:rsidR="00686B51" w:rsidRDefault="00686B51" w:rsidP="00686B51">
            <w:pPr>
              <w:pStyle w:val="code"/>
            </w:pPr>
            <w:r>
              <w:t>Decline</w:t>
            </w:r>
          </w:p>
        </w:tc>
      </w:tr>
      <w:tr w:rsidR="00686B51" w14:paraId="5B0BB1E5" w14:textId="77777777" w:rsidTr="00686B51">
        <w:trPr>
          <w:tblCellSpacing w:w="15" w:type="dxa"/>
        </w:trPr>
        <w:tc>
          <w:tcPr>
            <w:tcW w:w="0" w:type="auto"/>
            <w:vAlign w:val="center"/>
            <w:hideMark/>
          </w:tcPr>
          <w:p w14:paraId="003775D0" w14:textId="77777777" w:rsidR="00686B51" w:rsidRDefault="00686B51" w:rsidP="00686B51">
            <w:pPr>
              <w:pStyle w:val="code"/>
            </w:pPr>
            <w:proofErr w:type="spellStart"/>
            <w:r>
              <w:rPr>
                <w:rStyle w:val="Strong"/>
              </w:rPr>
              <w:t>Slingjaw</w:t>
            </w:r>
            <w:proofErr w:type="spellEnd"/>
            <w:r>
              <w:rPr>
                <w:rStyle w:val="Strong"/>
              </w:rPr>
              <w:t xml:space="preserve"> Wrasse</w:t>
            </w:r>
          </w:p>
        </w:tc>
        <w:tc>
          <w:tcPr>
            <w:tcW w:w="0" w:type="auto"/>
            <w:vAlign w:val="center"/>
            <w:hideMark/>
          </w:tcPr>
          <w:p w14:paraId="6AAF64FB" w14:textId="77777777" w:rsidR="00686B51" w:rsidRDefault="00686B51" w:rsidP="00686B51">
            <w:pPr>
              <w:pStyle w:val="code"/>
            </w:pPr>
            <w:r>
              <w:rPr>
                <w:rStyle w:val="Strong"/>
              </w:rPr>
              <w:t>–1.33 ± 0.14</w:t>
            </w:r>
          </w:p>
        </w:tc>
        <w:tc>
          <w:tcPr>
            <w:tcW w:w="0" w:type="auto"/>
            <w:vAlign w:val="center"/>
            <w:hideMark/>
          </w:tcPr>
          <w:p w14:paraId="65C1E8C5" w14:textId="77777777" w:rsidR="00686B51" w:rsidRDefault="00686B51" w:rsidP="00686B51">
            <w:pPr>
              <w:pStyle w:val="code"/>
            </w:pPr>
            <w:r>
              <w:t>Strong decline</w:t>
            </w:r>
          </w:p>
        </w:tc>
      </w:tr>
      <w:tr w:rsidR="00686B51" w14:paraId="26289A44" w14:textId="77777777" w:rsidTr="00686B51">
        <w:trPr>
          <w:tblCellSpacing w:w="15" w:type="dxa"/>
        </w:trPr>
        <w:tc>
          <w:tcPr>
            <w:tcW w:w="0" w:type="auto"/>
            <w:vAlign w:val="center"/>
            <w:hideMark/>
          </w:tcPr>
          <w:p w14:paraId="6AB48058" w14:textId="77777777" w:rsidR="00686B51" w:rsidRDefault="00686B51" w:rsidP="00686B51">
            <w:pPr>
              <w:pStyle w:val="code"/>
            </w:pPr>
            <w:r>
              <w:rPr>
                <w:rStyle w:val="Strong"/>
              </w:rPr>
              <w:t>Triggerfish</w:t>
            </w:r>
          </w:p>
        </w:tc>
        <w:tc>
          <w:tcPr>
            <w:tcW w:w="0" w:type="auto"/>
            <w:vAlign w:val="center"/>
            <w:hideMark/>
          </w:tcPr>
          <w:p w14:paraId="29ACAE39" w14:textId="77777777" w:rsidR="00686B51" w:rsidRDefault="00686B51" w:rsidP="00686B51">
            <w:pPr>
              <w:pStyle w:val="code"/>
            </w:pPr>
            <w:r>
              <w:rPr>
                <w:rStyle w:val="Strong"/>
              </w:rPr>
              <w:t>–0.34 ± 0.13</w:t>
            </w:r>
          </w:p>
        </w:tc>
        <w:tc>
          <w:tcPr>
            <w:tcW w:w="0" w:type="auto"/>
            <w:vAlign w:val="center"/>
            <w:hideMark/>
          </w:tcPr>
          <w:p w14:paraId="60A49D04" w14:textId="77777777" w:rsidR="00686B51" w:rsidRDefault="00686B51" w:rsidP="00686B51">
            <w:pPr>
              <w:pStyle w:val="code"/>
            </w:pPr>
            <w:r>
              <w:t>Moderate decline</w:t>
            </w:r>
          </w:p>
        </w:tc>
      </w:tr>
      <w:tr w:rsidR="00686B51" w14:paraId="23975866" w14:textId="77777777" w:rsidTr="00686B51">
        <w:trPr>
          <w:tblCellSpacing w:w="15" w:type="dxa"/>
        </w:trPr>
        <w:tc>
          <w:tcPr>
            <w:tcW w:w="0" w:type="auto"/>
            <w:vAlign w:val="center"/>
            <w:hideMark/>
          </w:tcPr>
          <w:p w14:paraId="7EB2E72F" w14:textId="77777777" w:rsidR="00686B51" w:rsidRDefault="00686B51" w:rsidP="00686B51">
            <w:pPr>
              <w:pStyle w:val="code"/>
            </w:pPr>
            <w:proofErr w:type="spellStart"/>
            <w:r>
              <w:rPr>
                <w:rStyle w:val="Strong"/>
              </w:rPr>
              <w:t>Thicklip</w:t>
            </w:r>
            <w:proofErr w:type="spellEnd"/>
            <w:r>
              <w:rPr>
                <w:rStyle w:val="Strong"/>
              </w:rPr>
              <w:t xml:space="preserve"> Wrasse</w:t>
            </w:r>
          </w:p>
        </w:tc>
        <w:tc>
          <w:tcPr>
            <w:tcW w:w="0" w:type="auto"/>
            <w:vAlign w:val="center"/>
            <w:hideMark/>
          </w:tcPr>
          <w:p w14:paraId="305BF707" w14:textId="77777777" w:rsidR="00686B51" w:rsidRDefault="00686B51" w:rsidP="00686B51">
            <w:pPr>
              <w:pStyle w:val="code"/>
            </w:pPr>
            <w:r>
              <w:rPr>
                <w:rStyle w:val="Strong"/>
              </w:rPr>
              <w:t>–0.62 ± 0.13</w:t>
            </w:r>
          </w:p>
        </w:tc>
        <w:tc>
          <w:tcPr>
            <w:tcW w:w="0" w:type="auto"/>
            <w:vAlign w:val="center"/>
            <w:hideMark/>
          </w:tcPr>
          <w:p w14:paraId="5320923F" w14:textId="77777777" w:rsidR="00686B51" w:rsidRDefault="00686B51" w:rsidP="00686B51">
            <w:pPr>
              <w:pStyle w:val="code"/>
            </w:pPr>
            <w:r>
              <w:t>Moderate decline</w:t>
            </w:r>
          </w:p>
        </w:tc>
      </w:tr>
    </w:tbl>
    <w:p w14:paraId="00270EE9" w14:textId="34E91854" w:rsidR="00686B51" w:rsidRDefault="00686B51" w:rsidP="00686B51">
      <w:pPr>
        <w:pStyle w:val="code"/>
      </w:pPr>
      <w:r>
        <w:lastRenderedPageBreak/>
        <w:t>Interpretation:</w:t>
      </w:r>
    </w:p>
    <w:p w14:paraId="7573A98D" w14:textId="77777777" w:rsidR="00686B51" w:rsidRDefault="00686B51" w:rsidP="00686B51">
      <w:pPr>
        <w:pStyle w:val="code"/>
        <w:numPr>
          <w:ilvl w:val="0"/>
          <w:numId w:val="20"/>
        </w:numPr>
      </w:pPr>
      <w:r>
        <w:rPr>
          <w:rStyle w:val="Strong"/>
        </w:rPr>
        <w:t>Pinnacles host large predatory and schooling fish</w:t>
      </w:r>
      <w:r>
        <w:t xml:space="preserve">, </w:t>
      </w:r>
      <w:proofErr w:type="gramStart"/>
      <w:r>
        <w:t>similar to</w:t>
      </w:r>
      <w:proofErr w:type="gramEnd"/>
      <w:r>
        <w:t xml:space="preserve"> shipwrecks.</w:t>
      </w:r>
    </w:p>
    <w:p w14:paraId="713C8D2B" w14:textId="77777777" w:rsidR="00686B51" w:rsidRDefault="00686B51" w:rsidP="00686B51">
      <w:pPr>
        <w:pStyle w:val="code"/>
        <w:numPr>
          <w:ilvl w:val="0"/>
          <w:numId w:val="20"/>
        </w:numPr>
      </w:pPr>
      <w:r>
        <w:t>Also have</w:t>
      </w:r>
      <w:r>
        <w:rPr>
          <w:rStyle w:val="apple-converted-space"/>
        </w:rPr>
        <w:t> </w:t>
      </w:r>
      <w:r>
        <w:rPr>
          <w:rStyle w:val="Strong"/>
        </w:rPr>
        <w:t>fewer grazing species</w:t>
      </w:r>
      <w:r>
        <w:t>, possibly due to less coral cover or limited foraging area.</w:t>
      </w:r>
    </w:p>
    <w:p w14:paraId="3B0097F1" w14:textId="77777777" w:rsidR="00686B51" w:rsidRDefault="000702FD" w:rsidP="00686B51">
      <w:pPr>
        <w:pStyle w:val="code"/>
        <w:rPr>
          <w:color w:val="auto"/>
        </w:rPr>
      </w:pPr>
      <w:r w:rsidRPr="000702FD">
        <w:rPr>
          <w:noProof/>
          <w14:ligatures w14:val="standardContextual"/>
        </w:rPr>
        <w:pict w14:anchorId="12796208">
          <v:rect id="_x0000_i1025" alt="" style="width:468pt;height:.05pt;mso-width-percent:0;mso-height-percent:0;mso-width-percent:0;mso-height-percent:0" o:hralign="center" o:hrstd="t" o:hr="t" fillcolor="#a0a0a0" stroked="f"/>
        </w:pict>
      </w:r>
    </w:p>
    <w:p w14:paraId="20D1D2FE" w14:textId="64E79A70" w:rsidR="00686B51" w:rsidRDefault="00686B51" w:rsidP="00686B51">
      <w:pPr>
        <w:pStyle w:val="code"/>
      </w:pPr>
      <w:r>
        <w:t>Ecological Summary</w:t>
      </w:r>
    </w:p>
    <w:p w14:paraId="2C9816F8" w14:textId="77777777" w:rsidR="00686B51" w:rsidRDefault="00686B51" w:rsidP="00686B51">
      <w:pPr>
        <w:pStyle w:val="code"/>
        <w:numPr>
          <w:ilvl w:val="0"/>
          <w:numId w:val="21"/>
        </w:numPr>
      </w:pPr>
      <w:r>
        <w:rPr>
          <w:rStyle w:val="Strong"/>
        </w:rPr>
        <w:t>Pinnacles and shipwrecks both support higher abundances of snappers, emperors, trevally, and sweetlips</w:t>
      </w:r>
      <w:r>
        <w:t>.</w:t>
      </w:r>
    </w:p>
    <w:p w14:paraId="61B5E083" w14:textId="77777777" w:rsidR="00686B51" w:rsidRDefault="00686B51" w:rsidP="00686B51">
      <w:pPr>
        <w:pStyle w:val="code"/>
        <w:numPr>
          <w:ilvl w:val="0"/>
          <w:numId w:val="21"/>
        </w:numPr>
      </w:pPr>
      <w:r>
        <w:rPr>
          <w:rStyle w:val="Strong"/>
        </w:rPr>
        <w:t>Fringing reefs</w:t>
      </w:r>
      <w:r>
        <w:rPr>
          <w:rStyle w:val="apple-converted-space"/>
        </w:rPr>
        <w:t> </w:t>
      </w:r>
      <w:r>
        <w:t>are important for</w:t>
      </w:r>
      <w:r>
        <w:rPr>
          <w:rStyle w:val="apple-converted-space"/>
        </w:rPr>
        <w:t> </w:t>
      </w:r>
      <w:r>
        <w:rPr>
          <w:rStyle w:val="Strong"/>
        </w:rPr>
        <w:t>wrasses, parrotfish, butterflyfish, and small groupers</w:t>
      </w:r>
      <w:r>
        <w:rPr>
          <w:rStyle w:val="apple-converted-space"/>
        </w:rPr>
        <w:t> </w:t>
      </w:r>
      <w:r>
        <w:t>— species tied to coral or fine-scale structure.</w:t>
      </w:r>
    </w:p>
    <w:p w14:paraId="1972F92E" w14:textId="77777777" w:rsidR="00686B51" w:rsidRDefault="00686B51" w:rsidP="00686B51">
      <w:pPr>
        <w:pStyle w:val="code"/>
        <w:numPr>
          <w:ilvl w:val="0"/>
          <w:numId w:val="21"/>
        </w:numPr>
        <w:rPr>
          <w:highlight w:val="yellow"/>
        </w:rPr>
      </w:pPr>
      <w:r w:rsidRPr="00686B51">
        <w:rPr>
          <w:rStyle w:val="Strong"/>
          <w:highlight w:val="yellow"/>
        </w:rPr>
        <w:t>Shipwrecks replicate the predator assemblages of pinnacles</w:t>
      </w:r>
      <w:r w:rsidRPr="00686B51">
        <w:rPr>
          <w:highlight w:val="yellow"/>
        </w:rPr>
        <w:t>, but</w:t>
      </w:r>
      <w:r w:rsidRPr="00686B51">
        <w:rPr>
          <w:rStyle w:val="apple-converted-space"/>
          <w:highlight w:val="yellow"/>
        </w:rPr>
        <w:t> </w:t>
      </w:r>
      <w:r w:rsidRPr="00686B51">
        <w:rPr>
          <w:rStyle w:val="Strong"/>
          <w:highlight w:val="yellow"/>
        </w:rPr>
        <w:t>lack the full reef community</w:t>
      </w:r>
      <w:r w:rsidRPr="00686B51">
        <w:rPr>
          <w:highlight w:val="yellow"/>
        </w:rPr>
        <w:t>, especially coral-dependent species.</w:t>
      </w:r>
    </w:p>
    <w:p w14:paraId="6568385A" w14:textId="77777777" w:rsidR="00686B51" w:rsidRPr="00686B51" w:rsidRDefault="00686B51" w:rsidP="00686B51">
      <w:pPr>
        <w:pStyle w:val="code"/>
        <w:numPr>
          <w:ilvl w:val="0"/>
          <w:numId w:val="21"/>
        </w:numPr>
        <w:rPr>
          <w:highlight w:val="yellow"/>
        </w:rPr>
      </w:pPr>
    </w:p>
    <w:p w14:paraId="288539AA" w14:textId="021A360B" w:rsidR="00686B51" w:rsidRDefault="00686B51" w:rsidP="00686B51">
      <w:pPr>
        <w:pStyle w:val="code"/>
        <w:rPr>
          <w:rFonts w:ascii="Helvetica" w:hAnsi="Helvetica"/>
          <w:sz w:val="22"/>
          <w:szCs w:val="22"/>
        </w:rPr>
      </w:pPr>
      <w:r>
        <w:rPr>
          <w:rFonts w:ascii="Helvetica" w:hAnsi="Helvetica"/>
          <w:sz w:val="22"/>
          <w:szCs w:val="22"/>
        </w:rPr>
        <w:t xml:space="preserve">Note: smallish sample size: </w:t>
      </w:r>
    </w:p>
    <w:p w14:paraId="21DDF6D9" w14:textId="47B8A615" w:rsidR="00686B51" w:rsidRPr="00686B51" w:rsidRDefault="00686B51" w:rsidP="00E36D06">
      <w:pPr>
        <w:pStyle w:val="code"/>
        <w:spacing w:before="0" w:beforeAutospacing="0" w:after="0" w:afterAutospacing="0"/>
      </w:pPr>
      <w:r w:rsidRPr="00686B51">
        <w:t xml:space="preserve"> Classification </w:t>
      </w:r>
      <w:r>
        <w:t xml:space="preserve">     </w:t>
      </w:r>
      <w:proofErr w:type="spellStart"/>
      <w:r w:rsidRPr="00686B51">
        <w:t>Number_of_Surveys</w:t>
      </w:r>
      <w:proofErr w:type="spellEnd"/>
    </w:p>
    <w:p w14:paraId="31B15B40" w14:textId="77777777" w:rsidR="00686B51" w:rsidRPr="00686B51" w:rsidRDefault="00686B51" w:rsidP="00E36D06">
      <w:pPr>
        <w:pStyle w:val="code"/>
        <w:spacing w:before="0" w:beforeAutospacing="0" w:after="0" w:afterAutospacing="0"/>
      </w:pPr>
      <w:r w:rsidRPr="00686B51">
        <w:t>1 Fringing                     126</w:t>
      </w:r>
    </w:p>
    <w:p w14:paraId="7C06767F" w14:textId="77777777" w:rsidR="00686B51" w:rsidRPr="00686B51" w:rsidRDefault="00686B51" w:rsidP="00E36D06">
      <w:pPr>
        <w:pStyle w:val="code"/>
        <w:spacing w:before="0" w:beforeAutospacing="0" w:after="0" w:afterAutospacing="0"/>
      </w:pPr>
      <w:r w:rsidRPr="00686B51">
        <w:t>2 Pinnacle                     105</w:t>
      </w:r>
    </w:p>
    <w:p w14:paraId="5D00377B" w14:textId="1EFCD495" w:rsidR="00686B51" w:rsidRPr="00686B51" w:rsidRDefault="00686B51" w:rsidP="00E36D06">
      <w:pPr>
        <w:pStyle w:val="code"/>
        <w:spacing w:before="0" w:beforeAutospacing="0" w:after="0" w:afterAutospacing="0"/>
      </w:pPr>
      <w:r w:rsidRPr="00686B51">
        <w:t>3 Shipwreck                     49</w:t>
      </w:r>
    </w:p>
    <w:p w14:paraId="3DF94468" w14:textId="77777777" w:rsidR="00E36D06" w:rsidRDefault="00E36D06" w:rsidP="00E36D06">
      <w:pPr>
        <w:pStyle w:val="code"/>
        <w:spacing w:before="0" w:beforeAutospacing="0" w:after="0" w:afterAutospacing="0"/>
      </w:pPr>
    </w:p>
    <w:p w14:paraId="1AE5A507" w14:textId="77777777" w:rsidR="00E36D06" w:rsidRDefault="00E36D06" w:rsidP="00E36D06">
      <w:pPr>
        <w:pStyle w:val="code"/>
        <w:spacing w:before="0" w:beforeAutospacing="0" w:after="0" w:afterAutospacing="0"/>
      </w:pPr>
    </w:p>
    <w:p w14:paraId="32FCDD2E"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&gt; </w:t>
      </w:r>
      <w:proofErr w:type="spellStart"/>
      <w:r w:rsidRPr="00E36D06">
        <w:rPr>
          <w:rFonts w:ascii="Monaco" w:hAnsi="Monaco"/>
          <w:color w:val="000000"/>
          <w:sz w:val="15"/>
          <w:szCs w:val="15"/>
        </w:rPr>
        <w:t>survey_level</w:t>
      </w:r>
      <w:proofErr w:type="spellEnd"/>
      <w:r w:rsidRPr="00E36D06">
        <w:rPr>
          <w:rFonts w:ascii="Monaco" w:hAnsi="Monaco"/>
          <w:color w:val="000000"/>
          <w:sz w:val="15"/>
          <w:szCs w:val="15"/>
        </w:rPr>
        <w:t xml:space="preserve"> %&gt;%</w:t>
      </w:r>
    </w:p>
    <w:p w14:paraId="29BE0B73"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count(Site, Classification) %&gt;%</w:t>
      </w:r>
    </w:p>
    <w:p w14:paraId="7AC9F72B"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arrange(desc(n))</w:t>
      </w:r>
    </w:p>
    <w:p w14:paraId="311C15E6"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A </w:t>
      </w:r>
      <w:proofErr w:type="spellStart"/>
      <w:r w:rsidRPr="00E36D06">
        <w:rPr>
          <w:rFonts w:ascii="Monaco" w:hAnsi="Monaco"/>
          <w:color w:val="000000"/>
          <w:sz w:val="15"/>
          <w:szCs w:val="15"/>
        </w:rPr>
        <w:t>tibble</w:t>
      </w:r>
      <w:proofErr w:type="spellEnd"/>
      <w:r w:rsidRPr="00E36D06">
        <w:rPr>
          <w:rFonts w:ascii="Monaco" w:hAnsi="Monaco"/>
          <w:color w:val="000000"/>
          <w:sz w:val="15"/>
          <w:szCs w:val="15"/>
        </w:rPr>
        <w:t>: 14 × 3</w:t>
      </w:r>
    </w:p>
    <w:p w14:paraId="1D80D3FA"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Site             Classification     n</w:t>
      </w:r>
    </w:p>
    <w:p w14:paraId="7250D2DE"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&lt;</w:t>
      </w:r>
      <w:proofErr w:type="spellStart"/>
      <w:r w:rsidRPr="00E36D06">
        <w:rPr>
          <w:rFonts w:ascii="Monaco" w:hAnsi="Monaco"/>
          <w:color w:val="000000"/>
          <w:sz w:val="15"/>
          <w:szCs w:val="15"/>
        </w:rPr>
        <w:t>fct</w:t>
      </w:r>
      <w:proofErr w:type="spellEnd"/>
      <w:r w:rsidRPr="00E36D06">
        <w:rPr>
          <w:rFonts w:ascii="Monaco" w:hAnsi="Monaco"/>
          <w:color w:val="000000"/>
          <w:sz w:val="15"/>
          <w:szCs w:val="15"/>
        </w:rPr>
        <w:t>&gt;            &lt;</w:t>
      </w:r>
      <w:proofErr w:type="spellStart"/>
      <w:r w:rsidRPr="00E36D06">
        <w:rPr>
          <w:rFonts w:ascii="Monaco" w:hAnsi="Monaco"/>
          <w:color w:val="000000"/>
          <w:sz w:val="15"/>
          <w:szCs w:val="15"/>
        </w:rPr>
        <w:t>fct</w:t>
      </w:r>
      <w:proofErr w:type="spellEnd"/>
      <w:r w:rsidRPr="00E36D06">
        <w:rPr>
          <w:rFonts w:ascii="Monaco" w:hAnsi="Monaco"/>
          <w:color w:val="000000"/>
          <w:sz w:val="15"/>
          <w:szCs w:val="15"/>
        </w:rPr>
        <w:t>&gt;          &lt;int&gt;</w:t>
      </w:r>
    </w:p>
    <w:p w14:paraId="21B67F91"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1 White Rock       Pinnacle          42</w:t>
      </w:r>
    </w:p>
    <w:p w14:paraId="7148AD52"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2 Twins            Fringing          40</w:t>
      </w:r>
    </w:p>
    <w:p w14:paraId="0C2E2637"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3 Red Rock         Fringing          36</w:t>
      </w:r>
    </w:p>
    <w:p w14:paraId="617CD662"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4 Green Rock       Fringing          28</w:t>
      </w:r>
    </w:p>
    <w:p w14:paraId="0D39559B"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5 No Name Wreck    Shipwreck         26</w:t>
      </w:r>
    </w:p>
    <w:p w14:paraId="6B95D347"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6 No Name Pinnacle </w:t>
      </w:r>
      <w:proofErr w:type="spellStart"/>
      <w:r w:rsidRPr="00E36D06">
        <w:rPr>
          <w:rFonts w:ascii="Monaco" w:hAnsi="Monaco"/>
          <w:color w:val="000000"/>
          <w:sz w:val="15"/>
          <w:szCs w:val="15"/>
        </w:rPr>
        <w:t>Pinnacle</w:t>
      </w:r>
      <w:proofErr w:type="spellEnd"/>
      <w:r w:rsidRPr="00E36D06">
        <w:rPr>
          <w:rFonts w:ascii="Monaco" w:hAnsi="Monaco"/>
          <w:color w:val="000000"/>
          <w:sz w:val="15"/>
          <w:szCs w:val="15"/>
        </w:rPr>
        <w:t xml:space="preserve">          25</w:t>
      </w:r>
    </w:p>
    <w:p w14:paraId="6DD73EEE"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7 </w:t>
      </w:r>
      <w:proofErr w:type="spellStart"/>
      <w:r w:rsidRPr="00E36D06">
        <w:rPr>
          <w:rFonts w:ascii="Monaco" w:hAnsi="Monaco"/>
          <w:color w:val="000000"/>
          <w:sz w:val="15"/>
          <w:szCs w:val="15"/>
        </w:rPr>
        <w:t>Sattakut</w:t>
      </w:r>
      <w:proofErr w:type="spellEnd"/>
      <w:r w:rsidRPr="00E36D06">
        <w:rPr>
          <w:rFonts w:ascii="Monaco" w:hAnsi="Monaco"/>
          <w:color w:val="000000"/>
          <w:sz w:val="15"/>
          <w:szCs w:val="15"/>
        </w:rPr>
        <w:t xml:space="preserve">         Shipwreck         16</w:t>
      </w:r>
    </w:p>
    <w:p w14:paraId="75961F21"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8 No Name AR       Fringing          13</w:t>
      </w:r>
    </w:p>
    <w:p w14:paraId="1B3519C5"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 xml:space="preserve"> 9 Hin Pee Wee      Pinnacle          12</w:t>
      </w:r>
    </w:p>
    <w:p w14:paraId="5F2A59E1" w14:textId="77777777" w:rsidR="00E36D06" w:rsidRPr="00E36D06" w:rsidRDefault="00E36D06" w:rsidP="00E36D06">
      <w:pPr>
        <w:rPr>
          <w:rFonts w:ascii="Monaco" w:hAnsi="Monaco"/>
          <w:color w:val="000000"/>
          <w:sz w:val="15"/>
          <w:szCs w:val="15"/>
        </w:rPr>
      </w:pPr>
      <w:r w:rsidRPr="00E36D06">
        <w:rPr>
          <w:rFonts w:ascii="Monaco" w:hAnsi="Monaco"/>
          <w:color w:val="000000"/>
          <w:sz w:val="15"/>
          <w:szCs w:val="15"/>
        </w:rPr>
        <w:t>10 Chumphon         Pinnacle          10</w:t>
      </w:r>
    </w:p>
    <w:p w14:paraId="76C6F93B" w14:textId="77777777" w:rsidR="00E36D06" w:rsidRPr="00E36D06" w:rsidRDefault="00E36D06" w:rsidP="00E36D06">
      <w:pPr>
        <w:rPr>
          <w:rFonts w:ascii="Monaco" w:hAnsi="Monaco"/>
          <w:color w:val="FF0000"/>
          <w:sz w:val="15"/>
          <w:szCs w:val="15"/>
        </w:rPr>
      </w:pPr>
      <w:r w:rsidRPr="00E36D06">
        <w:rPr>
          <w:rFonts w:ascii="Monaco" w:hAnsi="Monaco"/>
          <w:color w:val="FF0000"/>
          <w:sz w:val="15"/>
          <w:szCs w:val="15"/>
        </w:rPr>
        <w:t xml:space="preserve">11 </w:t>
      </w:r>
      <w:proofErr w:type="spellStart"/>
      <w:r w:rsidRPr="00E36D06">
        <w:rPr>
          <w:rFonts w:ascii="Monaco" w:hAnsi="Monaco"/>
          <w:color w:val="FF0000"/>
          <w:sz w:val="15"/>
          <w:szCs w:val="15"/>
        </w:rPr>
        <w:t>Aow</w:t>
      </w:r>
      <w:proofErr w:type="spellEnd"/>
      <w:r w:rsidRPr="00E36D06">
        <w:rPr>
          <w:rFonts w:ascii="Monaco" w:hAnsi="Monaco"/>
          <w:color w:val="FF0000"/>
          <w:sz w:val="15"/>
          <w:szCs w:val="15"/>
        </w:rPr>
        <w:t xml:space="preserve"> Mao          Fringing           9</w:t>
      </w:r>
    </w:p>
    <w:p w14:paraId="4A544D3C" w14:textId="77777777" w:rsidR="00E36D06" w:rsidRPr="00E36D06" w:rsidRDefault="00E36D06" w:rsidP="00E36D06">
      <w:pPr>
        <w:rPr>
          <w:rFonts w:ascii="Monaco" w:hAnsi="Monaco"/>
          <w:color w:val="FF0000"/>
          <w:sz w:val="15"/>
          <w:szCs w:val="15"/>
        </w:rPr>
      </w:pPr>
      <w:r w:rsidRPr="00E36D06">
        <w:rPr>
          <w:rFonts w:ascii="Monaco" w:hAnsi="Monaco"/>
          <w:color w:val="FF0000"/>
          <w:sz w:val="15"/>
          <w:szCs w:val="15"/>
        </w:rPr>
        <w:t>12 Shark Island     Pinnacle           8</w:t>
      </w:r>
    </w:p>
    <w:p w14:paraId="1F23D9EE" w14:textId="77777777" w:rsidR="00E36D06" w:rsidRPr="00E36D06" w:rsidRDefault="00E36D06" w:rsidP="00E36D06">
      <w:pPr>
        <w:rPr>
          <w:rFonts w:ascii="Monaco" w:hAnsi="Monaco"/>
          <w:color w:val="FF0000"/>
          <w:sz w:val="15"/>
          <w:szCs w:val="15"/>
        </w:rPr>
      </w:pPr>
      <w:r w:rsidRPr="00E36D06">
        <w:rPr>
          <w:rFonts w:ascii="Monaco" w:hAnsi="Monaco"/>
          <w:color w:val="FF0000"/>
          <w:sz w:val="15"/>
          <w:szCs w:val="15"/>
        </w:rPr>
        <w:t>13 Southwest        Pinnacle           8</w:t>
      </w:r>
    </w:p>
    <w:p w14:paraId="74836677" w14:textId="3D6C3EDA" w:rsidR="00E25E25" w:rsidRDefault="00E36D06" w:rsidP="00E36D06">
      <w:pPr>
        <w:rPr>
          <w:rFonts w:ascii="Monaco" w:hAnsi="Monaco"/>
          <w:color w:val="FF0000"/>
          <w:sz w:val="15"/>
          <w:szCs w:val="15"/>
        </w:rPr>
      </w:pPr>
      <w:r w:rsidRPr="00E36D06">
        <w:rPr>
          <w:rFonts w:ascii="Monaco" w:hAnsi="Monaco"/>
          <w:color w:val="FF0000"/>
          <w:sz w:val="15"/>
          <w:szCs w:val="15"/>
        </w:rPr>
        <w:t xml:space="preserve">14 </w:t>
      </w:r>
      <w:proofErr w:type="spellStart"/>
      <w:r w:rsidRPr="00E36D06">
        <w:rPr>
          <w:rFonts w:ascii="Monaco" w:hAnsi="Monaco"/>
          <w:color w:val="FF0000"/>
          <w:sz w:val="15"/>
          <w:szCs w:val="15"/>
        </w:rPr>
        <w:t>Aow</w:t>
      </w:r>
      <w:proofErr w:type="spellEnd"/>
      <w:r w:rsidRPr="00E36D06">
        <w:rPr>
          <w:rFonts w:ascii="Monaco" w:hAnsi="Monaco"/>
          <w:color w:val="FF0000"/>
          <w:sz w:val="15"/>
          <w:szCs w:val="15"/>
        </w:rPr>
        <w:t xml:space="preserve"> Mao Wreck    Shipwreck          7</w:t>
      </w:r>
    </w:p>
    <w:p w14:paraId="6DAC2B75" w14:textId="77777777" w:rsidR="00E36D06" w:rsidRDefault="00E36D06" w:rsidP="00E36D06">
      <w:pPr>
        <w:rPr>
          <w:rFonts w:ascii="Monaco" w:hAnsi="Monaco"/>
          <w:color w:val="FF0000"/>
          <w:sz w:val="15"/>
          <w:szCs w:val="15"/>
        </w:rPr>
      </w:pPr>
    </w:p>
    <w:p w14:paraId="4811B6E2" w14:textId="36AA77CD" w:rsidR="00E36D06" w:rsidRPr="00E36D06" w:rsidRDefault="00E36D06" w:rsidP="00E36D06">
      <w:pPr>
        <w:rPr>
          <w:color w:val="FF0000"/>
        </w:rPr>
      </w:pPr>
      <w:r>
        <w:rPr>
          <w:rFonts w:ascii="Monaco" w:hAnsi="Monaco"/>
          <w:color w:val="FF0000"/>
          <w:sz w:val="15"/>
          <w:szCs w:val="15"/>
        </w:rPr>
        <w:t xml:space="preserve">IF WE CONTINUE TO SUM ACROSS SURVEYS - </w:t>
      </w:r>
      <w:r>
        <w:rPr>
          <w:rFonts w:ascii="-webkit-standard" w:hAnsi="-webkit-standard"/>
          <w:color w:val="000000"/>
          <w:sz w:val="27"/>
          <w:szCs w:val="27"/>
        </w:rPr>
        <w:t>"Raw survey data included multiple observations per dive collected by individual observers. However, data were aggregated across observers within each site-date combination prior to analysis, resulting in a single summary count per survey. As such, within-survey variation was not explicitly modeled, and estimates reflect average site-date level abundances."</w:t>
      </w:r>
    </w:p>
    <w:sectPr w:rsidR="00E36D06" w:rsidRPr="00E36D06" w:rsidSect="00846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03AC"/>
    <w:multiLevelType w:val="multilevel"/>
    <w:tmpl w:val="28D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56BCF"/>
    <w:multiLevelType w:val="hybridMultilevel"/>
    <w:tmpl w:val="61042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D6508"/>
    <w:multiLevelType w:val="hybridMultilevel"/>
    <w:tmpl w:val="4830CAD6"/>
    <w:lvl w:ilvl="0" w:tplc="9C40EB66">
      <w:numFmt w:val="bullet"/>
      <w:lvlText w:val=""/>
      <w:lvlJc w:val="left"/>
      <w:pPr>
        <w:ind w:left="720" w:hanging="360"/>
      </w:pPr>
      <w:rPr>
        <w:rFonts w:ascii="Symbol" w:eastAsia="Times New Roman" w:hAnsi="Symbol" w:cs="Times New Roman"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92928"/>
    <w:multiLevelType w:val="multilevel"/>
    <w:tmpl w:val="2228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F6BCE"/>
    <w:multiLevelType w:val="hybridMultilevel"/>
    <w:tmpl w:val="A05689F4"/>
    <w:lvl w:ilvl="0" w:tplc="200E1AD4">
      <w:start w:val="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23643"/>
    <w:multiLevelType w:val="hybridMultilevel"/>
    <w:tmpl w:val="C31CB190"/>
    <w:lvl w:ilvl="0" w:tplc="200E1AD4">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E2157"/>
    <w:multiLevelType w:val="hybridMultilevel"/>
    <w:tmpl w:val="8DE65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8161E"/>
    <w:multiLevelType w:val="multilevel"/>
    <w:tmpl w:val="4A26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43144"/>
    <w:multiLevelType w:val="hybridMultilevel"/>
    <w:tmpl w:val="E49A6B84"/>
    <w:lvl w:ilvl="0" w:tplc="200E1AD4">
      <w:start w:val="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E0DD8"/>
    <w:multiLevelType w:val="hybridMultilevel"/>
    <w:tmpl w:val="779E7448"/>
    <w:lvl w:ilvl="0" w:tplc="200E1AD4">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0E0936"/>
    <w:multiLevelType w:val="multilevel"/>
    <w:tmpl w:val="3FE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46DEC"/>
    <w:multiLevelType w:val="hybridMultilevel"/>
    <w:tmpl w:val="6F9040DE"/>
    <w:lvl w:ilvl="0" w:tplc="9C40EB66">
      <w:numFmt w:val="bullet"/>
      <w:lvlText w:val=""/>
      <w:lvlJc w:val="left"/>
      <w:pPr>
        <w:ind w:left="720" w:hanging="360"/>
      </w:pPr>
      <w:rPr>
        <w:rFonts w:ascii="Symbol" w:eastAsia="Times New Roman" w:hAnsi="Symbol" w:cs="Times New Roman"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90491"/>
    <w:multiLevelType w:val="multilevel"/>
    <w:tmpl w:val="990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A360E"/>
    <w:multiLevelType w:val="multilevel"/>
    <w:tmpl w:val="ED3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E69BF"/>
    <w:multiLevelType w:val="hybridMultilevel"/>
    <w:tmpl w:val="64B4A4D2"/>
    <w:lvl w:ilvl="0" w:tplc="200E1AD4">
      <w:start w:val="12"/>
      <w:numFmt w:val="bullet"/>
      <w:lvlText w:val="-"/>
      <w:lvlJc w:val="left"/>
      <w:pPr>
        <w:ind w:left="720" w:hanging="360"/>
      </w:pPr>
      <w:rPr>
        <w:rFonts w:ascii="Times New Roman" w:eastAsiaTheme="minorHAnsi" w:hAnsi="Times New Roman" w:cs="Times New Roman" w:hint="default"/>
      </w:rPr>
    </w:lvl>
    <w:lvl w:ilvl="1" w:tplc="BC56BD7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17A52"/>
    <w:multiLevelType w:val="hybridMultilevel"/>
    <w:tmpl w:val="F30A5CD0"/>
    <w:lvl w:ilvl="0" w:tplc="9C40EB66">
      <w:numFmt w:val="bullet"/>
      <w:lvlText w:val=""/>
      <w:lvlJc w:val="left"/>
      <w:pPr>
        <w:ind w:left="720" w:hanging="360"/>
      </w:pPr>
      <w:rPr>
        <w:rFonts w:ascii="Symbol" w:eastAsia="Times New Roman" w:hAnsi="Symbol" w:cs="Times New Roman"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940F9"/>
    <w:multiLevelType w:val="multilevel"/>
    <w:tmpl w:val="994A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61CCF"/>
    <w:multiLevelType w:val="multilevel"/>
    <w:tmpl w:val="B61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D2DEA"/>
    <w:multiLevelType w:val="hybridMultilevel"/>
    <w:tmpl w:val="314CBD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B5EA1"/>
    <w:multiLevelType w:val="hybridMultilevel"/>
    <w:tmpl w:val="2932DB72"/>
    <w:lvl w:ilvl="0" w:tplc="9C40EB66">
      <w:numFmt w:val="bullet"/>
      <w:lvlText w:val=""/>
      <w:lvlJc w:val="left"/>
      <w:pPr>
        <w:ind w:left="720" w:hanging="360"/>
      </w:pPr>
      <w:rPr>
        <w:rFonts w:ascii="Symbol" w:eastAsia="Times New Roman" w:hAnsi="Symbol" w:cs="Times New Roman"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E0BF8"/>
    <w:multiLevelType w:val="hybridMultilevel"/>
    <w:tmpl w:val="9B2C83A8"/>
    <w:lvl w:ilvl="0" w:tplc="9C40EB66">
      <w:numFmt w:val="bullet"/>
      <w:lvlText w:val=""/>
      <w:lvlJc w:val="left"/>
      <w:pPr>
        <w:ind w:left="720" w:hanging="360"/>
      </w:pPr>
      <w:rPr>
        <w:rFonts w:ascii="Symbol" w:eastAsia="Times New Roman" w:hAnsi="Symbol" w:cs="Times New Roman"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343133">
    <w:abstractNumId w:val="4"/>
  </w:num>
  <w:num w:numId="2" w16cid:durableId="1240410462">
    <w:abstractNumId w:val="7"/>
  </w:num>
  <w:num w:numId="3" w16cid:durableId="462818313">
    <w:abstractNumId w:val="14"/>
  </w:num>
  <w:num w:numId="4" w16cid:durableId="674457080">
    <w:abstractNumId w:val="5"/>
  </w:num>
  <w:num w:numId="5" w16cid:durableId="2040230791">
    <w:abstractNumId w:val="9"/>
  </w:num>
  <w:num w:numId="6" w16cid:durableId="1722752530">
    <w:abstractNumId w:val="8"/>
  </w:num>
  <w:num w:numId="7" w16cid:durableId="904493751">
    <w:abstractNumId w:val="0"/>
  </w:num>
  <w:num w:numId="8" w16cid:durableId="805515273">
    <w:abstractNumId w:val="1"/>
  </w:num>
  <w:num w:numId="9" w16cid:durableId="590505196">
    <w:abstractNumId w:val="12"/>
  </w:num>
  <w:num w:numId="10" w16cid:durableId="318198210">
    <w:abstractNumId w:val="3"/>
  </w:num>
  <w:num w:numId="11" w16cid:durableId="1472097401">
    <w:abstractNumId w:val="6"/>
  </w:num>
  <w:num w:numId="12" w16cid:durableId="947156565">
    <w:abstractNumId w:val="18"/>
  </w:num>
  <w:num w:numId="13" w16cid:durableId="1058473839">
    <w:abstractNumId w:val="2"/>
  </w:num>
  <w:num w:numId="14" w16cid:durableId="673462221">
    <w:abstractNumId w:val="13"/>
  </w:num>
  <w:num w:numId="15" w16cid:durableId="1417627502">
    <w:abstractNumId w:val="20"/>
  </w:num>
  <w:num w:numId="16" w16cid:durableId="1650748609">
    <w:abstractNumId w:val="16"/>
  </w:num>
  <w:num w:numId="17" w16cid:durableId="2122609483">
    <w:abstractNumId w:val="17"/>
  </w:num>
  <w:num w:numId="18" w16cid:durableId="1854685100">
    <w:abstractNumId w:val="10"/>
  </w:num>
  <w:num w:numId="19" w16cid:durableId="442110811">
    <w:abstractNumId w:val="11"/>
  </w:num>
  <w:num w:numId="20" w16cid:durableId="291786812">
    <w:abstractNumId w:val="15"/>
  </w:num>
  <w:num w:numId="21" w16cid:durableId="3777513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25"/>
    <w:rsid w:val="000702FD"/>
    <w:rsid w:val="003D52F2"/>
    <w:rsid w:val="00445F99"/>
    <w:rsid w:val="004D199C"/>
    <w:rsid w:val="00516123"/>
    <w:rsid w:val="00686B51"/>
    <w:rsid w:val="00764747"/>
    <w:rsid w:val="00846EAB"/>
    <w:rsid w:val="00964F01"/>
    <w:rsid w:val="009D5E92"/>
    <w:rsid w:val="009F5AA2"/>
    <w:rsid w:val="00A1139D"/>
    <w:rsid w:val="00C6471F"/>
    <w:rsid w:val="00D71D2F"/>
    <w:rsid w:val="00DA66D7"/>
    <w:rsid w:val="00E25E25"/>
    <w:rsid w:val="00E36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0133"/>
  <w15:chartTrackingRefBased/>
  <w15:docId w15:val="{A89DA268-CED9-A043-B72A-3F8A5C6B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aj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12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64747"/>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764747"/>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764747"/>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64747"/>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764747"/>
    <w:pPr>
      <w:spacing w:line="271" w:lineRule="auto"/>
      <w:outlineLvl w:val="4"/>
    </w:pPr>
    <w:rPr>
      <w:i/>
      <w:iCs/>
    </w:rPr>
  </w:style>
  <w:style w:type="paragraph" w:styleId="Heading6">
    <w:name w:val="heading 6"/>
    <w:basedOn w:val="Normal"/>
    <w:next w:val="Normal"/>
    <w:link w:val="Heading6Char"/>
    <w:uiPriority w:val="9"/>
    <w:semiHidden/>
    <w:unhideWhenUsed/>
    <w:qFormat/>
    <w:rsid w:val="00764747"/>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64747"/>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64747"/>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64747"/>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47"/>
    <w:rPr>
      <w:smallCaps/>
      <w:spacing w:val="5"/>
      <w:sz w:val="36"/>
      <w:szCs w:val="36"/>
    </w:rPr>
  </w:style>
  <w:style w:type="character" w:customStyle="1" w:styleId="Heading2Char">
    <w:name w:val="Heading 2 Char"/>
    <w:basedOn w:val="DefaultParagraphFont"/>
    <w:link w:val="Heading2"/>
    <w:uiPriority w:val="9"/>
    <w:semiHidden/>
    <w:rsid w:val="00764747"/>
    <w:rPr>
      <w:smallCaps/>
      <w:sz w:val="28"/>
      <w:szCs w:val="28"/>
    </w:rPr>
  </w:style>
  <w:style w:type="character" w:customStyle="1" w:styleId="Heading3Char">
    <w:name w:val="Heading 3 Char"/>
    <w:basedOn w:val="DefaultParagraphFont"/>
    <w:link w:val="Heading3"/>
    <w:uiPriority w:val="9"/>
    <w:rsid w:val="00764747"/>
    <w:rPr>
      <w:i/>
      <w:iCs/>
      <w:smallCaps/>
      <w:spacing w:val="5"/>
      <w:sz w:val="26"/>
      <w:szCs w:val="26"/>
    </w:rPr>
  </w:style>
  <w:style w:type="character" w:customStyle="1" w:styleId="Heading4Char">
    <w:name w:val="Heading 4 Char"/>
    <w:basedOn w:val="DefaultParagraphFont"/>
    <w:link w:val="Heading4"/>
    <w:uiPriority w:val="9"/>
    <w:semiHidden/>
    <w:rsid w:val="00764747"/>
    <w:rPr>
      <w:b/>
      <w:bCs/>
      <w:spacing w:val="5"/>
      <w:sz w:val="24"/>
      <w:szCs w:val="24"/>
    </w:rPr>
  </w:style>
  <w:style w:type="character" w:customStyle="1" w:styleId="Heading5Char">
    <w:name w:val="Heading 5 Char"/>
    <w:basedOn w:val="DefaultParagraphFont"/>
    <w:link w:val="Heading5"/>
    <w:uiPriority w:val="9"/>
    <w:semiHidden/>
    <w:rsid w:val="00764747"/>
    <w:rPr>
      <w:i/>
      <w:iCs/>
      <w:sz w:val="24"/>
      <w:szCs w:val="24"/>
    </w:rPr>
  </w:style>
  <w:style w:type="character" w:customStyle="1" w:styleId="Heading6Char">
    <w:name w:val="Heading 6 Char"/>
    <w:basedOn w:val="DefaultParagraphFont"/>
    <w:link w:val="Heading6"/>
    <w:uiPriority w:val="9"/>
    <w:semiHidden/>
    <w:rsid w:val="0076474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6474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64747"/>
    <w:rPr>
      <w:b/>
      <w:bCs/>
      <w:color w:val="7F7F7F" w:themeColor="text1" w:themeTint="80"/>
      <w:sz w:val="20"/>
      <w:szCs w:val="20"/>
    </w:rPr>
  </w:style>
  <w:style w:type="character" w:customStyle="1" w:styleId="Heading9Char">
    <w:name w:val="Heading 9 Char"/>
    <w:basedOn w:val="DefaultParagraphFont"/>
    <w:link w:val="Heading9"/>
    <w:uiPriority w:val="9"/>
    <w:semiHidden/>
    <w:rsid w:val="00764747"/>
    <w:rPr>
      <w:b/>
      <w:bCs/>
      <w:i/>
      <w:iCs/>
      <w:color w:val="7F7F7F" w:themeColor="text1" w:themeTint="80"/>
      <w:sz w:val="18"/>
      <w:szCs w:val="18"/>
    </w:rPr>
  </w:style>
  <w:style w:type="paragraph" w:styleId="Title">
    <w:name w:val="Title"/>
    <w:basedOn w:val="Normal"/>
    <w:next w:val="Normal"/>
    <w:link w:val="TitleChar"/>
    <w:uiPriority w:val="10"/>
    <w:qFormat/>
    <w:rsid w:val="00764747"/>
    <w:pPr>
      <w:spacing w:after="300"/>
      <w:contextualSpacing/>
    </w:pPr>
    <w:rPr>
      <w:smallCaps/>
      <w:sz w:val="52"/>
      <w:szCs w:val="52"/>
    </w:rPr>
  </w:style>
  <w:style w:type="character" w:customStyle="1" w:styleId="TitleChar">
    <w:name w:val="Title Char"/>
    <w:basedOn w:val="DefaultParagraphFont"/>
    <w:link w:val="Title"/>
    <w:uiPriority w:val="10"/>
    <w:rsid w:val="00764747"/>
    <w:rPr>
      <w:smallCaps/>
      <w:sz w:val="52"/>
      <w:szCs w:val="52"/>
    </w:rPr>
  </w:style>
  <w:style w:type="paragraph" w:styleId="Subtitle">
    <w:name w:val="Subtitle"/>
    <w:basedOn w:val="Normal"/>
    <w:next w:val="Normal"/>
    <w:link w:val="SubtitleChar"/>
    <w:uiPriority w:val="11"/>
    <w:qFormat/>
    <w:rsid w:val="00764747"/>
    <w:rPr>
      <w:i/>
      <w:iCs/>
      <w:smallCaps/>
      <w:spacing w:val="10"/>
      <w:sz w:val="28"/>
      <w:szCs w:val="28"/>
    </w:rPr>
  </w:style>
  <w:style w:type="character" w:customStyle="1" w:styleId="SubtitleChar">
    <w:name w:val="Subtitle Char"/>
    <w:basedOn w:val="DefaultParagraphFont"/>
    <w:link w:val="Subtitle"/>
    <w:uiPriority w:val="11"/>
    <w:rsid w:val="00764747"/>
    <w:rPr>
      <w:i/>
      <w:iCs/>
      <w:smallCaps/>
      <w:spacing w:val="10"/>
      <w:sz w:val="28"/>
      <w:szCs w:val="28"/>
    </w:rPr>
  </w:style>
  <w:style w:type="character" w:styleId="Strong">
    <w:name w:val="Strong"/>
    <w:uiPriority w:val="22"/>
    <w:qFormat/>
    <w:rsid w:val="00764747"/>
    <w:rPr>
      <w:b/>
      <w:bCs/>
    </w:rPr>
  </w:style>
  <w:style w:type="character" w:styleId="Emphasis">
    <w:name w:val="Emphasis"/>
    <w:uiPriority w:val="20"/>
    <w:qFormat/>
    <w:rsid w:val="00764747"/>
    <w:rPr>
      <w:b/>
      <w:bCs/>
      <w:i/>
      <w:iCs/>
      <w:spacing w:val="10"/>
    </w:rPr>
  </w:style>
  <w:style w:type="paragraph" w:styleId="NoSpacing">
    <w:name w:val="No Spacing"/>
    <w:basedOn w:val="Normal"/>
    <w:uiPriority w:val="1"/>
    <w:qFormat/>
    <w:rsid w:val="00764747"/>
  </w:style>
  <w:style w:type="paragraph" w:styleId="ListParagraph">
    <w:name w:val="List Paragraph"/>
    <w:basedOn w:val="Normal"/>
    <w:uiPriority w:val="34"/>
    <w:qFormat/>
    <w:rsid w:val="00764747"/>
    <w:pPr>
      <w:ind w:left="720"/>
      <w:contextualSpacing/>
    </w:pPr>
  </w:style>
  <w:style w:type="paragraph" w:styleId="Quote">
    <w:name w:val="Quote"/>
    <w:basedOn w:val="Normal"/>
    <w:next w:val="Normal"/>
    <w:link w:val="QuoteChar"/>
    <w:uiPriority w:val="29"/>
    <w:qFormat/>
    <w:rsid w:val="00764747"/>
    <w:rPr>
      <w:i/>
      <w:iCs/>
    </w:rPr>
  </w:style>
  <w:style w:type="character" w:customStyle="1" w:styleId="QuoteChar">
    <w:name w:val="Quote Char"/>
    <w:basedOn w:val="DefaultParagraphFont"/>
    <w:link w:val="Quote"/>
    <w:uiPriority w:val="29"/>
    <w:rsid w:val="00764747"/>
    <w:rPr>
      <w:i/>
      <w:iCs/>
    </w:rPr>
  </w:style>
  <w:style w:type="paragraph" w:styleId="IntenseQuote">
    <w:name w:val="Intense Quote"/>
    <w:basedOn w:val="Normal"/>
    <w:next w:val="Normal"/>
    <w:link w:val="IntenseQuoteChar"/>
    <w:uiPriority w:val="30"/>
    <w:qFormat/>
    <w:rsid w:val="0076474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64747"/>
    <w:rPr>
      <w:i/>
      <w:iCs/>
    </w:rPr>
  </w:style>
  <w:style w:type="character" w:styleId="SubtleEmphasis">
    <w:name w:val="Subtle Emphasis"/>
    <w:uiPriority w:val="19"/>
    <w:qFormat/>
    <w:rsid w:val="00764747"/>
    <w:rPr>
      <w:i/>
      <w:iCs/>
    </w:rPr>
  </w:style>
  <w:style w:type="character" w:styleId="IntenseEmphasis">
    <w:name w:val="Intense Emphasis"/>
    <w:uiPriority w:val="21"/>
    <w:qFormat/>
    <w:rsid w:val="00764747"/>
    <w:rPr>
      <w:b/>
      <w:bCs/>
      <w:i/>
      <w:iCs/>
    </w:rPr>
  </w:style>
  <w:style w:type="character" w:styleId="SubtleReference">
    <w:name w:val="Subtle Reference"/>
    <w:basedOn w:val="DefaultParagraphFont"/>
    <w:uiPriority w:val="31"/>
    <w:qFormat/>
    <w:rsid w:val="00764747"/>
    <w:rPr>
      <w:smallCaps/>
    </w:rPr>
  </w:style>
  <w:style w:type="character" w:styleId="IntenseReference">
    <w:name w:val="Intense Reference"/>
    <w:uiPriority w:val="32"/>
    <w:qFormat/>
    <w:rsid w:val="00764747"/>
    <w:rPr>
      <w:b/>
      <w:bCs/>
      <w:smallCaps/>
    </w:rPr>
  </w:style>
  <w:style w:type="character" w:styleId="BookTitle">
    <w:name w:val="Book Title"/>
    <w:basedOn w:val="DefaultParagraphFont"/>
    <w:uiPriority w:val="33"/>
    <w:qFormat/>
    <w:rsid w:val="00764747"/>
    <w:rPr>
      <w:i/>
      <w:iCs/>
      <w:smallCaps/>
      <w:spacing w:val="5"/>
    </w:rPr>
  </w:style>
  <w:style w:type="paragraph" w:styleId="TOCHeading">
    <w:name w:val="TOC Heading"/>
    <w:basedOn w:val="Heading1"/>
    <w:next w:val="Normal"/>
    <w:uiPriority w:val="39"/>
    <w:semiHidden/>
    <w:unhideWhenUsed/>
    <w:qFormat/>
    <w:rsid w:val="00764747"/>
    <w:pPr>
      <w:outlineLvl w:val="9"/>
    </w:pPr>
  </w:style>
  <w:style w:type="character" w:customStyle="1" w:styleId="apple-converted-space">
    <w:name w:val="apple-converted-space"/>
    <w:basedOn w:val="DefaultParagraphFont"/>
    <w:rsid w:val="00E25E25"/>
  </w:style>
  <w:style w:type="paragraph" w:customStyle="1" w:styleId="code">
    <w:name w:val="code"/>
    <w:basedOn w:val="Normal"/>
    <w:qFormat/>
    <w:rsid w:val="00E25E25"/>
    <w:pPr>
      <w:spacing w:before="100" w:beforeAutospacing="1" w:after="100" w:afterAutospacing="1"/>
    </w:pPr>
    <w:rPr>
      <w:rFonts w:ascii="Monaco" w:hAnsi="Monaco"/>
      <w:color w:val="000000"/>
      <w:sz w:val="15"/>
      <w:szCs w:val="15"/>
    </w:rPr>
  </w:style>
  <w:style w:type="character" w:styleId="HTMLCode">
    <w:name w:val="HTML Code"/>
    <w:basedOn w:val="DefaultParagraphFont"/>
    <w:uiPriority w:val="99"/>
    <w:semiHidden/>
    <w:unhideWhenUsed/>
    <w:rsid w:val="00686B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7976">
      <w:bodyDiv w:val="1"/>
      <w:marLeft w:val="0"/>
      <w:marRight w:val="0"/>
      <w:marTop w:val="0"/>
      <w:marBottom w:val="0"/>
      <w:divBdr>
        <w:top w:val="none" w:sz="0" w:space="0" w:color="auto"/>
        <w:left w:val="none" w:sz="0" w:space="0" w:color="auto"/>
        <w:bottom w:val="none" w:sz="0" w:space="0" w:color="auto"/>
        <w:right w:val="none" w:sz="0" w:space="0" w:color="auto"/>
      </w:divBdr>
    </w:div>
    <w:div w:id="199972455">
      <w:bodyDiv w:val="1"/>
      <w:marLeft w:val="0"/>
      <w:marRight w:val="0"/>
      <w:marTop w:val="0"/>
      <w:marBottom w:val="0"/>
      <w:divBdr>
        <w:top w:val="none" w:sz="0" w:space="0" w:color="auto"/>
        <w:left w:val="none" w:sz="0" w:space="0" w:color="auto"/>
        <w:bottom w:val="none" w:sz="0" w:space="0" w:color="auto"/>
        <w:right w:val="none" w:sz="0" w:space="0" w:color="auto"/>
      </w:divBdr>
    </w:div>
    <w:div w:id="343363919">
      <w:bodyDiv w:val="1"/>
      <w:marLeft w:val="0"/>
      <w:marRight w:val="0"/>
      <w:marTop w:val="0"/>
      <w:marBottom w:val="0"/>
      <w:divBdr>
        <w:top w:val="none" w:sz="0" w:space="0" w:color="auto"/>
        <w:left w:val="none" w:sz="0" w:space="0" w:color="auto"/>
        <w:bottom w:val="none" w:sz="0" w:space="0" w:color="auto"/>
        <w:right w:val="none" w:sz="0" w:space="0" w:color="auto"/>
      </w:divBdr>
    </w:div>
    <w:div w:id="614606056">
      <w:bodyDiv w:val="1"/>
      <w:marLeft w:val="0"/>
      <w:marRight w:val="0"/>
      <w:marTop w:val="0"/>
      <w:marBottom w:val="0"/>
      <w:divBdr>
        <w:top w:val="none" w:sz="0" w:space="0" w:color="auto"/>
        <w:left w:val="none" w:sz="0" w:space="0" w:color="auto"/>
        <w:bottom w:val="none" w:sz="0" w:space="0" w:color="auto"/>
        <w:right w:val="none" w:sz="0" w:space="0" w:color="auto"/>
      </w:divBdr>
    </w:div>
    <w:div w:id="725111075">
      <w:bodyDiv w:val="1"/>
      <w:marLeft w:val="0"/>
      <w:marRight w:val="0"/>
      <w:marTop w:val="0"/>
      <w:marBottom w:val="0"/>
      <w:divBdr>
        <w:top w:val="none" w:sz="0" w:space="0" w:color="auto"/>
        <w:left w:val="none" w:sz="0" w:space="0" w:color="auto"/>
        <w:bottom w:val="none" w:sz="0" w:space="0" w:color="auto"/>
        <w:right w:val="none" w:sz="0" w:space="0" w:color="auto"/>
      </w:divBdr>
      <w:divsChild>
        <w:div w:id="1489714822">
          <w:marLeft w:val="0"/>
          <w:marRight w:val="0"/>
          <w:marTop w:val="0"/>
          <w:marBottom w:val="0"/>
          <w:divBdr>
            <w:top w:val="none" w:sz="0" w:space="0" w:color="auto"/>
            <w:left w:val="none" w:sz="0" w:space="0" w:color="auto"/>
            <w:bottom w:val="none" w:sz="0" w:space="0" w:color="auto"/>
            <w:right w:val="none" w:sz="0" w:space="0" w:color="auto"/>
          </w:divBdr>
          <w:divsChild>
            <w:div w:id="17261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1340">
      <w:bodyDiv w:val="1"/>
      <w:marLeft w:val="0"/>
      <w:marRight w:val="0"/>
      <w:marTop w:val="0"/>
      <w:marBottom w:val="0"/>
      <w:divBdr>
        <w:top w:val="none" w:sz="0" w:space="0" w:color="auto"/>
        <w:left w:val="none" w:sz="0" w:space="0" w:color="auto"/>
        <w:bottom w:val="none" w:sz="0" w:space="0" w:color="auto"/>
        <w:right w:val="none" w:sz="0" w:space="0" w:color="auto"/>
      </w:divBdr>
      <w:divsChild>
        <w:div w:id="1613393271">
          <w:marLeft w:val="0"/>
          <w:marRight w:val="0"/>
          <w:marTop w:val="0"/>
          <w:marBottom w:val="0"/>
          <w:divBdr>
            <w:top w:val="none" w:sz="0" w:space="0" w:color="auto"/>
            <w:left w:val="none" w:sz="0" w:space="0" w:color="auto"/>
            <w:bottom w:val="none" w:sz="0" w:space="0" w:color="auto"/>
            <w:right w:val="none" w:sz="0" w:space="0" w:color="auto"/>
          </w:divBdr>
          <w:divsChild>
            <w:div w:id="7930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1230">
      <w:bodyDiv w:val="1"/>
      <w:marLeft w:val="0"/>
      <w:marRight w:val="0"/>
      <w:marTop w:val="0"/>
      <w:marBottom w:val="0"/>
      <w:divBdr>
        <w:top w:val="none" w:sz="0" w:space="0" w:color="auto"/>
        <w:left w:val="none" w:sz="0" w:space="0" w:color="auto"/>
        <w:bottom w:val="none" w:sz="0" w:space="0" w:color="auto"/>
        <w:right w:val="none" w:sz="0" w:space="0" w:color="auto"/>
      </w:divBdr>
      <w:divsChild>
        <w:div w:id="882251510">
          <w:marLeft w:val="0"/>
          <w:marRight w:val="0"/>
          <w:marTop w:val="0"/>
          <w:marBottom w:val="0"/>
          <w:divBdr>
            <w:top w:val="none" w:sz="0" w:space="0" w:color="auto"/>
            <w:left w:val="none" w:sz="0" w:space="0" w:color="auto"/>
            <w:bottom w:val="none" w:sz="0" w:space="0" w:color="auto"/>
            <w:right w:val="none" w:sz="0" w:space="0" w:color="auto"/>
          </w:divBdr>
          <w:divsChild>
            <w:div w:id="1044141060">
              <w:marLeft w:val="0"/>
              <w:marRight w:val="0"/>
              <w:marTop w:val="0"/>
              <w:marBottom w:val="0"/>
              <w:divBdr>
                <w:top w:val="none" w:sz="0" w:space="0" w:color="auto"/>
                <w:left w:val="none" w:sz="0" w:space="0" w:color="auto"/>
                <w:bottom w:val="none" w:sz="0" w:space="0" w:color="auto"/>
                <w:right w:val="none" w:sz="0" w:space="0" w:color="auto"/>
              </w:divBdr>
            </w:div>
          </w:divsChild>
        </w:div>
        <w:div w:id="308486856">
          <w:marLeft w:val="0"/>
          <w:marRight w:val="0"/>
          <w:marTop w:val="0"/>
          <w:marBottom w:val="0"/>
          <w:divBdr>
            <w:top w:val="none" w:sz="0" w:space="0" w:color="auto"/>
            <w:left w:val="none" w:sz="0" w:space="0" w:color="auto"/>
            <w:bottom w:val="none" w:sz="0" w:space="0" w:color="auto"/>
            <w:right w:val="none" w:sz="0" w:space="0" w:color="auto"/>
          </w:divBdr>
          <w:divsChild>
            <w:div w:id="5779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8830">
      <w:bodyDiv w:val="1"/>
      <w:marLeft w:val="0"/>
      <w:marRight w:val="0"/>
      <w:marTop w:val="0"/>
      <w:marBottom w:val="0"/>
      <w:divBdr>
        <w:top w:val="none" w:sz="0" w:space="0" w:color="auto"/>
        <w:left w:val="none" w:sz="0" w:space="0" w:color="auto"/>
        <w:bottom w:val="none" w:sz="0" w:space="0" w:color="auto"/>
        <w:right w:val="none" w:sz="0" w:space="0" w:color="auto"/>
      </w:divBdr>
      <w:divsChild>
        <w:div w:id="1628584216">
          <w:marLeft w:val="0"/>
          <w:marRight w:val="0"/>
          <w:marTop w:val="0"/>
          <w:marBottom w:val="0"/>
          <w:divBdr>
            <w:top w:val="none" w:sz="0" w:space="0" w:color="auto"/>
            <w:left w:val="none" w:sz="0" w:space="0" w:color="auto"/>
            <w:bottom w:val="none" w:sz="0" w:space="0" w:color="auto"/>
            <w:right w:val="none" w:sz="0" w:space="0" w:color="auto"/>
          </w:divBdr>
          <w:divsChild>
            <w:div w:id="7344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4582">
      <w:bodyDiv w:val="1"/>
      <w:marLeft w:val="0"/>
      <w:marRight w:val="0"/>
      <w:marTop w:val="0"/>
      <w:marBottom w:val="0"/>
      <w:divBdr>
        <w:top w:val="none" w:sz="0" w:space="0" w:color="auto"/>
        <w:left w:val="none" w:sz="0" w:space="0" w:color="auto"/>
        <w:bottom w:val="none" w:sz="0" w:space="0" w:color="auto"/>
        <w:right w:val="none" w:sz="0" w:space="0" w:color="auto"/>
      </w:divBdr>
    </w:div>
    <w:div w:id="1869102053">
      <w:bodyDiv w:val="1"/>
      <w:marLeft w:val="0"/>
      <w:marRight w:val="0"/>
      <w:marTop w:val="0"/>
      <w:marBottom w:val="0"/>
      <w:divBdr>
        <w:top w:val="none" w:sz="0" w:space="0" w:color="auto"/>
        <w:left w:val="none" w:sz="0" w:space="0" w:color="auto"/>
        <w:bottom w:val="none" w:sz="0" w:space="0" w:color="auto"/>
        <w:right w:val="none" w:sz="0" w:space="0" w:color="auto"/>
      </w:divBdr>
    </w:div>
    <w:div w:id="207500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Taylor</dc:creator>
  <cp:keywords/>
  <dc:description/>
  <cp:lastModifiedBy>Scarlett Taylor</cp:lastModifiedBy>
  <cp:revision>1</cp:revision>
  <dcterms:created xsi:type="dcterms:W3CDTF">2025-05-02T08:50:00Z</dcterms:created>
  <dcterms:modified xsi:type="dcterms:W3CDTF">2025-05-02T09:59:00Z</dcterms:modified>
</cp:coreProperties>
</file>