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19AEC5" w14:textId="38FF3E66" w:rsidR="005C21FD" w:rsidRPr="0022397B" w:rsidRDefault="005C21FD" w:rsidP="00B0515D">
      <w:pPr>
        <w:spacing w:line="240" w:lineRule="auto"/>
        <w:rPr>
          <w:b/>
        </w:rPr>
      </w:pPr>
      <w:bookmarkStart w:id="0" w:name="_GoBack"/>
      <w:bookmarkEnd w:id="0"/>
      <w:r w:rsidRPr="0022397B">
        <w:rPr>
          <w:b/>
        </w:rPr>
        <w:t>Appendix: Cooperation Under Autonomy</w:t>
      </w:r>
      <w:r w:rsidR="00B0515D" w:rsidRPr="0022397B">
        <w:rPr>
          <w:b/>
        </w:rPr>
        <w:t xml:space="preserve"> Codebook for IIGO 2.0 Dataset</w:t>
      </w:r>
    </w:p>
    <w:p w14:paraId="69BF60E8" w14:textId="77777777" w:rsidR="005C21FD" w:rsidRPr="0022397B" w:rsidRDefault="005C21FD" w:rsidP="005C21FD">
      <w:pPr>
        <w:spacing w:line="240" w:lineRule="auto"/>
        <w:jc w:val="center"/>
        <w:rPr>
          <w:b/>
        </w:rPr>
      </w:pPr>
    </w:p>
    <w:p w14:paraId="2E526E12" w14:textId="77777777" w:rsidR="005C21FD" w:rsidRPr="0022397B" w:rsidRDefault="005C21FD" w:rsidP="005C21FD">
      <w:pPr>
        <w:spacing w:line="240" w:lineRule="auto"/>
        <w:ind w:firstLine="0"/>
        <w:rPr>
          <w:b/>
          <w:i/>
        </w:rPr>
      </w:pPr>
      <w:r w:rsidRPr="0022397B">
        <w:rPr>
          <w:b/>
          <w:i/>
        </w:rPr>
        <w:t>This is a living dataset.  We would welcome the addition of other variables or cases. We would be pleased to incorporate them in IIGO 2.0 Dataset or to facilitate compatibility with other data files.</w:t>
      </w:r>
    </w:p>
    <w:p w14:paraId="2B556C5A" w14:textId="77777777" w:rsidR="005C21FD" w:rsidRPr="0022397B" w:rsidRDefault="005C21FD" w:rsidP="005C21FD">
      <w:pPr>
        <w:spacing w:line="240" w:lineRule="auto"/>
        <w:rPr>
          <w:b/>
        </w:rPr>
      </w:pPr>
    </w:p>
    <w:p w14:paraId="072A91F0" w14:textId="77777777" w:rsidR="005C21FD" w:rsidRPr="0022397B" w:rsidRDefault="005C21FD" w:rsidP="005C21FD">
      <w:pPr>
        <w:spacing w:line="240" w:lineRule="auto"/>
        <w:rPr>
          <w:b/>
        </w:rPr>
      </w:pPr>
      <w:r w:rsidRPr="0022397B">
        <w:rPr>
          <w:b/>
        </w:rPr>
        <w:t>Codebook for IIGO 2.0 Dataset</w:t>
      </w:r>
    </w:p>
    <w:p w14:paraId="072D647B" w14:textId="77777777" w:rsidR="005C21FD" w:rsidRPr="0022397B" w:rsidRDefault="005C21FD" w:rsidP="005C21FD">
      <w:pPr>
        <w:spacing w:after="240" w:line="240" w:lineRule="auto"/>
        <w:ind w:firstLine="0"/>
      </w:pPr>
      <w:r w:rsidRPr="0022397B">
        <w:t>Informal intergovernmental organizations (IIGOs) meet three definitional criteria:</w:t>
      </w:r>
    </w:p>
    <w:p w14:paraId="73747050" w14:textId="77777777" w:rsidR="005C21FD" w:rsidRPr="0022397B" w:rsidRDefault="005C21FD" w:rsidP="005C21FD">
      <w:pPr>
        <w:pStyle w:val="ListParagraph"/>
        <w:numPr>
          <w:ilvl w:val="0"/>
          <w:numId w:val="3"/>
        </w:numPr>
        <w:spacing w:line="240" w:lineRule="auto"/>
        <w:rPr>
          <w:rFonts w:ascii="Times New Roman" w:hAnsi="Times New Roman" w:cs="Times New Roman"/>
          <w:sz w:val="24"/>
          <w:szCs w:val="24"/>
        </w:rPr>
      </w:pPr>
      <w:r w:rsidRPr="0022397B">
        <w:rPr>
          <w:rFonts w:ascii="Times New Roman" w:hAnsi="Times New Roman" w:cs="Times New Roman"/>
          <w:sz w:val="24"/>
          <w:szCs w:val="24"/>
        </w:rPr>
        <w:t xml:space="preserve">high-level associations of three or more states; </w:t>
      </w:r>
    </w:p>
    <w:p w14:paraId="55059EA7" w14:textId="6BEDB7B9" w:rsidR="005C21FD" w:rsidRPr="0022397B" w:rsidRDefault="005C21FD" w:rsidP="00A70B30">
      <w:pPr>
        <w:pStyle w:val="ListParagraph"/>
        <w:numPr>
          <w:ilvl w:val="0"/>
          <w:numId w:val="3"/>
        </w:numPr>
        <w:spacing w:line="240" w:lineRule="auto"/>
        <w:rPr>
          <w:rFonts w:ascii="Times New Roman" w:hAnsi="Times New Roman" w:cs="Times New Roman"/>
          <w:sz w:val="24"/>
          <w:szCs w:val="24"/>
        </w:rPr>
      </w:pPr>
      <w:r w:rsidRPr="0022397B">
        <w:rPr>
          <w:rFonts w:ascii="Times New Roman" w:hAnsi="Times New Roman" w:cs="Times New Roman"/>
          <w:sz w:val="24"/>
          <w:szCs w:val="24"/>
        </w:rPr>
        <w:t xml:space="preserve">based on explicitly shared expectations, </w:t>
      </w:r>
      <w:r w:rsidR="00A70B30" w:rsidRPr="00A70B30">
        <w:rPr>
          <w:rFonts w:ascii="Times New Roman" w:hAnsi="Times New Roman" w:cs="Times New Roman"/>
          <w:sz w:val="24"/>
          <w:szCs w:val="24"/>
        </w:rPr>
        <w:t xml:space="preserve">but without a formal treaty </w:t>
      </w:r>
      <w:r w:rsidRPr="0022397B">
        <w:rPr>
          <w:rFonts w:ascii="Times New Roman" w:hAnsi="Times New Roman" w:cs="Times New Roman"/>
          <w:sz w:val="24"/>
          <w:szCs w:val="24"/>
        </w:rPr>
        <w:t xml:space="preserve">and; </w:t>
      </w:r>
    </w:p>
    <w:p w14:paraId="53A45498" w14:textId="77777777" w:rsidR="005C21FD" w:rsidRPr="0022397B" w:rsidRDefault="005C21FD" w:rsidP="005C21FD">
      <w:pPr>
        <w:pStyle w:val="ListParagraph"/>
        <w:numPr>
          <w:ilvl w:val="0"/>
          <w:numId w:val="3"/>
        </w:numPr>
        <w:spacing w:line="240" w:lineRule="auto"/>
        <w:rPr>
          <w:rFonts w:ascii="Times New Roman" w:hAnsi="Times New Roman" w:cs="Times New Roman"/>
          <w:sz w:val="24"/>
          <w:szCs w:val="24"/>
        </w:rPr>
      </w:pPr>
      <w:r w:rsidRPr="0022397B">
        <w:rPr>
          <w:rFonts w:ascii="Times New Roman" w:hAnsi="Times New Roman" w:cs="Times New Roman"/>
          <w:sz w:val="24"/>
          <w:szCs w:val="24"/>
        </w:rPr>
        <w:t>hold recurrent meetings but without a formal institutional arrangement such as a secretariat.</w:t>
      </w:r>
    </w:p>
    <w:p w14:paraId="624E2295" w14:textId="682F54A1" w:rsidR="005C21FD" w:rsidRPr="0022397B" w:rsidRDefault="005C21FD" w:rsidP="005C21FD">
      <w:pPr>
        <w:spacing w:after="240" w:line="240" w:lineRule="auto"/>
        <w:ind w:firstLine="0"/>
      </w:pPr>
      <w:r w:rsidRPr="0022397B">
        <w:t>To build the IIGO 2.0 dataset, we began with the Union of International Association’s (UIA) Yearbook of International Organizations</w:t>
      </w:r>
      <w:r w:rsidR="00A70B30">
        <w:t xml:space="preserve"> (2019)</w:t>
      </w:r>
      <w:r w:rsidRPr="0022397B">
        <w:t xml:space="preserve"> which lists all non-profit international organizations. From this highly inclusive list, we selected cases that meet our three IIGO criteria (explained further below). </w:t>
      </w:r>
    </w:p>
    <w:p w14:paraId="6A91A663" w14:textId="36A1776A" w:rsidR="005C21FD" w:rsidRPr="0022397B" w:rsidRDefault="005C21FD" w:rsidP="005C21FD">
      <w:pPr>
        <w:spacing w:after="240" w:line="240" w:lineRule="auto"/>
        <w:ind w:firstLine="0"/>
      </w:pPr>
      <w:r w:rsidRPr="0022397B">
        <w:t>In order to not over-rely on the Yearbook, we also scrutinized several other lists of international institutions such as the Alliance Treaty Obligations and Provisions Project (ATOP)</w:t>
      </w:r>
      <w:r w:rsidR="00A70B30">
        <w:t xml:space="preserve"> (Leeds et al 2002)</w:t>
      </w:r>
      <w:r w:rsidRPr="0022397B">
        <w:t>. We also examined lists of Global Summits</w:t>
      </w:r>
      <w:r w:rsidR="00A70B30">
        <w:t xml:space="preserve"> (Patrick, 2017)</w:t>
      </w:r>
      <w:r w:rsidRPr="0022397B">
        <w:t xml:space="preserve"> to evaluate fit with our criteria. </w:t>
      </w:r>
    </w:p>
    <w:p w14:paraId="70A91242" w14:textId="40F708BE" w:rsidR="005C21FD" w:rsidRPr="0022397B" w:rsidRDefault="005C21FD" w:rsidP="005C21FD">
      <w:pPr>
        <w:spacing w:after="240" w:line="240" w:lineRule="auto"/>
        <w:ind w:firstLine="0"/>
      </w:pPr>
      <w:r w:rsidRPr="0022397B">
        <w:t>As we assembled key information about each IIGO, we were careful to follow up on other related organizations that were possible IIGOs (e.g., locating the G7 leads qu</w:t>
      </w:r>
      <w:r w:rsidR="00CD4BAE">
        <w:t>ickly to the G20). Much like a ‘snowball sampling’</w:t>
      </w:r>
      <w:r w:rsidRPr="0022397B">
        <w:t xml:space="preserve"> technique (where an interview with one subject leads to other subjects), this resulted in a few additional cases being added to the dataset. We also did general searches in diplomatic sources and queried experts in the field. We would welcome any suggestions of possible omissions.</w:t>
      </w:r>
    </w:p>
    <w:p w14:paraId="212E5634" w14:textId="2BE4C8CF" w:rsidR="005C21FD" w:rsidRPr="0022397B" w:rsidRDefault="005C21FD" w:rsidP="005C21FD">
      <w:pPr>
        <w:spacing w:after="240" w:line="240" w:lineRule="auto"/>
        <w:ind w:firstLine="0"/>
      </w:pPr>
      <w:r w:rsidRPr="0022397B">
        <w:t xml:space="preserve">Here we detail the coding principles that guided our decisions. We also provide a list of </w:t>
      </w:r>
      <w:r w:rsidR="00CD4BAE">
        <w:t>250 organizations that were ‘close calls’</w:t>
      </w:r>
      <w:r w:rsidRPr="0022397B">
        <w:t xml:space="preserve"> either because other experts asked us about them or because they had some (but not all attributes of IIGOs) that presented difficult decisions worthy of documentation and explanation. This list is </w:t>
      </w:r>
      <w:r w:rsidR="00CD4BAE">
        <w:t>not a comprehensive set of all ‘close calls</w:t>
      </w:r>
      <w:r w:rsidRPr="0022397B">
        <w:t xml:space="preserve"> because that was not our research goal but simply a step towards developing a</w:t>
      </w:r>
      <w:r w:rsidR="00CD4BAE">
        <w:t xml:space="preserve"> comprehensive dataset of ‘pure’</w:t>
      </w:r>
      <w:r w:rsidRPr="0022397B">
        <w:t xml:space="preserve"> case IIGOs. Nonetheless, we provide this list for transparency and intellectual advancement. With regard to transparency, we want to show our thinking in d</w:t>
      </w:r>
      <w:r w:rsidR="00CD4BAE">
        <w:t>etermining the dataset and be</w:t>
      </w:r>
      <w:r w:rsidRPr="0022397B">
        <w:t xml:space="preserve"> clear about possible exclusions. In terms of intellectual advancement, we hope that the list of close calls can promote research on the growing number of other kinds of IGOs (that fall out of the pure case FIGO or IIGO definitions) that are not receiving sufficient attention in IR research. </w:t>
      </w:r>
    </w:p>
    <w:p w14:paraId="09ADD5D8" w14:textId="77777777" w:rsidR="005C21FD" w:rsidRPr="0022397B" w:rsidRDefault="005C21FD" w:rsidP="00B0515D">
      <w:pPr>
        <w:spacing w:line="240" w:lineRule="auto"/>
        <w:ind w:firstLine="0"/>
        <w:rPr>
          <w:b/>
        </w:rPr>
      </w:pPr>
      <w:r w:rsidRPr="0022397B">
        <w:rPr>
          <w:b/>
        </w:rPr>
        <w:t>Criteria for Identifying IIGOs</w:t>
      </w:r>
    </w:p>
    <w:p w14:paraId="435DAF96" w14:textId="77777777" w:rsidR="00B0515D" w:rsidRPr="0022397B" w:rsidRDefault="00B0515D" w:rsidP="005C21FD">
      <w:pPr>
        <w:spacing w:line="240" w:lineRule="auto"/>
      </w:pPr>
    </w:p>
    <w:p w14:paraId="6CF187D9" w14:textId="77777777" w:rsidR="005C21FD" w:rsidRPr="0022397B" w:rsidRDefault="005C21FD" w:rsidP="00B0515D">
      <w:pPr>
        <w:spacing w:line="240" w:lineRule="auto"/>
        <w:ind w:firstLine="0"/>
      </w:pPr>
      <w:r w:rsidRPr="0022397B">
        <w:t>To be included in the IIGO 2.0 dataset, an IGO must satisfy three criteria:</w:t>
      </w:r>
    </w:p>
    <w:p w14:paraId="6DF5A288" w14:textId="77777777" w:rsidR="005C21FD" w:rsidRPr="0022397B" w:rsidRDefault="005C21FD" w:rsidP="005C21FD">
      <w:pPr>
        <w:spacing w:line="240" w:lineRule="auto"/>
      </w:pPr>
    </w:p>
    <w:p w14:paraId="08F57B82" w14:textId="77777777" w:rsidR="005C21FD" w:rsidRPr="0022397B" w:rsidRDefault="005C21FD" w:rsidP="00B0515D">
      <w:pPr>
        <w:pStyle w:val="ListParagraph"/>
        <w:keepNext/>
        <w:numPr>
          <w:ilvl w:val="0"/>
          <w:numId w:val="4"/>
        </w:numPr>
        <w:spacing w:line="240" w:lineRule="auto"/>
        <w:ind w:left="360" w:hanging="360"/>
        <w:rPr>
          <w:rFonts w:ascii="Times New Roman" w:hAnsi="Times New Roman" w:cs="Times New Roman"/>
          <w:b/>
          <w:sz w:val="24"/>
          <w:szCs w:val="24"/>
        </w:rPr>
      </w:pPr>
      <w:r w:rsidRPr="0022397B">
        <w:rPr>
          <w:rFonts w:ascii="Times New Roman" w:hAnsi="Times New Roman" w:cs="Times New Roman"/>
          <w:b/>
          <w:sz w:val="24"/>
          <w:szCs w:val="24"/>
        </w:rPr>
        <w:lastRenderedPageBreak/>
        <w:t xml:space="preserve">High-level association of three or more states </w:t>
      </w:r>
    </w:p>
    <w:p w14:paraId="4C8FDE73" w14:textId="77777777" w:rsidR="005C21FD" w:rsidRPr="0022397B" w:rsidRDefault="005C21FD" w:rsidP="00B0515D">
      <w:pPr>
        <w:pStyle w:val="ListParagraph"/>
        <w:keepNext/>
        <w:spacing w:line="240" w:lineRule="auto"/>
        <w:ind w:left="1080"/>
        <w:rPr>
          <w:rFonts w:ascii="Times New Roman" w:hAnsi="Times New Roman" w:cs="Times New Roman"/>
          <w:sz w:val="24"/>
          <w:szCs w:val="24"/>
        </w:rPr>
      </w:pPr>
    </w:p>
    <w:p w14:paraId="4655D2C5" w14:textId="5B0CDE87" w:rsidR="005C21FD" w:rsidRPr="0022397B" w:rsidRDefault="005C21FD" w:rsidP="001619A3">
      <w:pPr>
        <w:pStyle w:val="ListParagraph"/>
        <w:numPr>
          <w:ilvl w:val="0"/>
          <w:numId w:val="5"/>
        </w:numPr>
        <w:spacing w:line="240" w:lineRule="auto"/>
        <w:rPr>
          <w:rFonts w:ascii="Times New Roman" w:hAnsi="Times New Roman" w:cs="Times New Roman"/>
          <w:sz w:val="24"/>
          <w:szCs w:val="24"/>
        </w:rPr>
      </w:pPr>
      <w:r w:rsidRPr="0022397B">
        <w:rPr>
          <w:rFonts w:ascii="Times New Roman" w:hAnsi="Times New Roman" w:cs="Times New Roman"/>
          <w:sz w:val="24"/>
          <w:szCs w:val="24"/>
          <w:u w:val="single"/>
        </w:rPr>
        <w:t>States are the primary members.</w:t>
      </w:r>
      <w:r w:rsidRPr="0022397B">
        <w:rPr>
          <w:rFonts w:ascii="Times New Roman" w:hAnsi="Times New Roman" w:cs="Times New Roman"/>
          <w:sz w:val="24"/>
          <w:szCs w:val="24"/>
        </w:rPr>
        <w:t xml:space="preserve"> Although non-governmental organizations, FIGOs, and private firms may participate as observers or even members, it is key that the relationship is </w:t>
      </w:r>
      <w:r w:rsidRPr="003B21B4">
        <w:rPr>
          <w:rFonts w:ascii="Times New Roman" w:hAnsi="Times New Roman" w:cs="Times New Roman"/>
          <w:i/>
          <w:sz w:val="24"/>
          <w:szCs w:val="24"/>
        </w:rPr>
        <w:t>intergovernmental</w:t>
      </w:r>
      <w:r w:rsidR="003B21B4">
        <w:rPr>
          <w:rFonts w:ascii="Times New Roman" w:hAnsi="Times New Roman" w:cs="Times New Roman"/>
          <w:sz w:val="24"/>
          <w:szCs w:val="24"/>
        </w:rPr>
        <w:t xml:space="preserve">. States </w:t>
      </w:r>
      <w:r w:rsidRPr="0022397B">
        <w:rPr>
          <w:rFonts w:ascii="Times New Roman" w:hAnsi="Times New Roman" w:cs="Times New Roman"/>
          <w:sz w:val="24"/>
          <w:szCs w:val="24"/>
        </w:rPr>
        <w:t>cou</w:t>
      </w:r>
      <w:r w:rsidR="003B21B4">
        <w:rPr>
          <w:rFonts w:ascii="Times New Roman" w:hAnsi="Times New Roman" w:cs="Times New Roman"/>
          <w:sz w:val="24"/>
          <w:szCs w:val="24"/>
        </w:rPr>
        <w:t>nt</w:t>
      </w:r>
      <w:r w:rsidRPr="0022397B">
        <w:rPr>
          <w:rFonts w:ascii="Times New Roman" w:hAnsi="Times New Roman" w:cs="Times New Roman"/>
          <w:sz w:val="24"/>
          <w:szCs w:val="24"/>
        </w:rPr>
        <w:t xml:space="preserve"> as members when they attend IIGO meetings (see more below on high-level political participation), share in its activities, and are generally expected to participate in IIGO activities when they occur.</w:t>
      </w:r>
    </w:p>
    <w:p w14:paraId="6583A61B" w14:textId="77777777" w:rsidR="005C21FD" w:rsidRPr="0022397B" w:rsidRDefault="005C21FD" w:rsidP="005C21FD">
      <w:pPr>
        <w:pStyle w:val="ListParagraph"/>
        <w:numPr>
          <w:ilvl w:val="1"/>
          <w:numId w:val="5"/>
        </w:numPr>
        <w:spacing w:line="240" w:lineRule="auto"/>
        <w:rPr>
          <w:rFonts w:ascii="Times New Roman" w:hAnsi="Times New Roman" w:cs="Times New Roman"/>
          <w:sz w:val="24"/>
          <w:szCs w:val="24"/>
        </w:rPr>
      </w:pPr>
      <w:r w:rsidRPr="0022397B">
        <w:rPr>
          <w:rFonts w:ascii="Times New Roman" w:hAnsi="Times New Roman" w:cs="Times New Roman"/>
          <w:sz w:val="24"/>
          <w:szCs w:val="24"/>
        </w:rPr>
        <w:t xml:space="preserve">The list of valid states comes from </w:t>
      </w:r>
      <w:hyperlink r:id="rId8" w:history="1">
        <w:r w:rsidRPr="0022397B">
          <w:rPr>
            <w:rStyle w:val="Hyperlink"/>
            <w:rFonts w:ascii="Times New Roman" w:hAnsi="Times New Roman" w:cs="Times New Roman"/>
            <w:sz w:val="24"/>
            <w:szCs w:val="24"/>
          </w:rPr>
          <w:t>Correlates of War</w:t>
        </w:r>
      </w:hyperlink>
      <w:r w:rsidRPr="0022397B">
        <w:rPr>
          <w:rFonts w:ascii="Times New Roman" w:hAnsi="Times New Roman" w:cs="Times New Roman"/>
          <w:sz w:val="24"/>
          <w:szCs w:val="24"/>
        </w:rPr>
        <w:t>.</w:t>
      </w:r>
    </w:p>
    <w:p w14:paraId="06885226" w14:textId="0FD91AA0" w:rsidR="005C21FD" w:rsidRPr="0022397B" w:rsidRDefault="00AC47E3" w:rsidP="005C21FD">
      <w:pPr>
        <w:pStyle w:val="ListParagraph"/>
        <w:numPr>
          <w:ilvl w:val="1"/>
          <w:numId w:val="5"/>
        </w:numPr>
        <w:spacing w:line="240" w:lineRule="auto"/>
        <w:rPr>
          <w:rFonts w:ascii="Times New Roman" w:hAnsi="Times New Roman" w:cs="Times New Roman"/>
          <w:sz w:val="24"/>
          <w:szCs w:val="24"/>
        </w:rPr>
      </w:pPr>
      <w:r>
        <w:rPr>
          <w:rFonts w:ascii="Times New Roman" w:hAnsi="Times New Roman" w:cs="Times New Roman"/>
          <w:sz w:val="24"/>
          <w:szCs w:val="24"/>
        </w:rPr>
        <w:t>Associations that a</w:t>
      </w:r>
      <w:r w:rsidR="005C21FD" w:rsidRPr="0022397B">
        <w:rPr>
          <w:rFonts w:ascii="Times New Roman" w:hAnsi="Times New Roman" w:cs="Times New Roman"/>
          <w:sz w:val="24"/>
          <w:szCs w:val="24"/>
        </w:rPr>
        <w:t>re public-private partnerships were not included. For example, we do not include the World Economic Forum.</w:t>
      </w:r>
    </w:p>
    <w:p w14:paraId="36C42457" w14:textId="7B0018DC" w:rsidR="005C21FD" w:rsidRPr="0022397B" w:rsidRDefault="005C21FD" w:rsidP="005C21FD">
      <w:pPr>
        <w:pStyle w:val="ListParagraph"/>
        <w:numPr>
          <w:ilvl w:val="1"/>
          <w:numId w:val="5"/>
        </w:numPr>
        <w:spacing w:line="240" w:lineRule="auto"/>
        <w:rPr>
          <w:rFonts w:ascii="Times New Roman" w:hAnsi="Times New Roman" w:cs="Times New Roman"/>
          <w:sz w:val="24"/>
          <w:szCs w:val="24"/>
        </w:rPr>
      </w:pPr>
      <w:r w:rsidRPr="0022397B">
        <w:rPr>
          <w:rFonts w:ascii="Times New Roman" w:hAnsi="Times New Roman" w:cs="Times New Roman"/>
          <w:sz w:val="24"/>
          <w:szCs w:val="24"/>
        </w:rPr>
        <w:t>T</w:t>
      </w:r>
      <w:r w:rsidR="00AC47E3">
        <w:rPr>
          <w:rFonts w:ascii="Times New Roman" w:hAnsi="Times New Roman" w:cs="Times New Roman"/>
          <w:sz w:val="24"/>
          <w:szCs w:val="24"/>
        </w:rPr>
        <w:t>he list of members need not be ‘</w:t>
      </w:r>
      <w:r w:rsidRPr="0022397B">
        <w:rPr>
          <w:rFonts w:ascii="Times New Roman" w:hAnsi="Times New Roman" w:cs="Times New Roman"/>
          <w:sz w:val="24"/>
          <w:szCs w:val="24"/>
        </w:rPr>
        <w:t>set in stone</w:t>
      </w:r>
      <w:r w:rsidR="00AC47E3">
        <w:rPr>
          <w:rFonts w:ascii="Times New Roman" w:hAnsi="Times New Roman" w:cs="Times New Roman"/>
          <w:sz w:val="24"/>
          <w:szCs w:val="24"/>
        </w:rPr>
        <w:t>’</w:t>
      </w:r>
      <w:r w:rsidRPr="0022397B">
        <w:rPr>
          <w:rFonts w:ascii="Times New Roman" w:hAnsi="Times New Roman" w:cs="Times New Roman"/>
          <w:sz w:val="24"/>
          <w:szCs w:val="24"/>
        </w:rPr>
        <w:t xml:space="preserve"> and many IIGOs have a fluctuating membership from one meeting to the next. Nevertheless, most IIGOs have a relatively stable membership or grow slowly over time.</w:t>
      </w:r>
    </w:p>
    <w:p w14:paraId="1DB301B6" w14:textId="77777777" w:rsidR="005C21FD" w:rsidRPr="0022397B" w:rsidRDefault="005C21FD" w:rsidP="005C21FD">
      <w:pPr>
        <w:pStyle w:val="ListParagraph"/>
        <w:numPr>
          <w:ilvl w:val="1"/>
          <w:numId w:val="5"/>
        </w:numPr>
        <w:spacing w:line="240" w:lineRule="auto"/>
        <w:rPr>
          <w:rFonts w:ascii="Times New Roman" w:hAnsi="Times New Roman" w:cs="Times New Roman"/>
          <w:sz w:val="24"/>
          <w:szCs w:val="24"/>
        </w:rPr>
      </w:pPr>
      <w:r w:rsidRPr="0022397B">
        <w:rPr>
          <w:rFonts w:ascii="Times New Roman" w:hAnsi="Times New Roman" w:cs="Times New Roman"/>
          <w:sz w:val="24"/>
          <w:szCs w:val="24"/>
        </w:rPr>
        <w:t>Bilateral relationships are not included. For example, we do not include the Shimoda Conference.</w:t>
      </w:r>
    </w:p>
    <w:p w14:paraId="7755705D" w14:textId="77777777" w:rsidR="005C21FD" w:rsidRPr="0022397B" w:rsidRDefault="005C21FD" w:rsidP="005C21FD">
      <w:pPr>
        <w:pStyle w:val="ListParagraph"/>
        <w:numPr>
          <w:ilvl w:val="1"/>
          <w:numId w:val="5"/>
        </w:numPr>
        <w:spacing w:line="240" w:lineRule="auto"/>
        <w:rPr>
          <w:rFonts w:ascii="Times New Roman" w:hAnsi="Times New Roman" w:cs="Times New Roman"/>
          <w:sz w:val="24"/>
          <w:szCs w:val="24"/>
        </w:rPr>
      </w:pPr>
      <w:r w:rsidRPr="0022397B">
        <w:rPr>
          <w:rFonts w:ascii="Times New Roman" w:hAnsi="Times New Roman" w:cs="Times New Roman"/>
          <w:sz w:val="24"/>
          <w:szCs w:val="24"/>
        </w:rPr>
        <w:t>Relationships between one state and a FIGO are not included if the main meetings are between one state and a representative of the FIGO rather than with high-level representatives of the member states of that FIGO. For example, we do not include the EU-China summit.</w:t>
      </w:r>
    </w:p>
    <w:p w14:paraId="23C4AA68" w14:textId="77777777" w:rsidR="005C21FD" w:rsidRPr="0022397B" w:rsidRDefault="005C21FD" w:rsidP="005C21FD">
      <w:pPr>
        <w:pStyle w:val="ListParagraph"/>
        <w:numPr>
          <w:ilvl w:val="1"/>
          <w:numId w:val="5"/>
        </w:numPr>
        <w:spacing w:line="240" w:lineRule="auto"/>
        <w:rPr>
          <w:rFonts w:ascii="Times New Roman" w:hAnsi="Times New Roman" w:cs="Times New Roman"/>
          <w:sz w:val="24"/>
          <w:szCs w:val="24"/>
        </w:rPr>
      </w:pPr>
      <w:r w:rsidRPr="0022397B">
        <w:rPr>
          <w:rFonts w:ascii="Times New Roman" w:hAnsi="Times New Roman" w:cs="Times New Roman"/>
          <w:sz w:val="24"/>
          <w:szCs w:val="24"/>
        </w:rPr>
        <w:t>While one state sometimes plays an outsized role in creating an IIGO, or in supporting its operations (e.g. by providing administrative services), the relationship needs to be multilateral. For example, we exclude foreign policy initiatives of one state such as the Belt and Road Forum or the China-CEEC.</w:t>
      </w:r>
    </w:p>
    <w:p w14:paraId="4ACA0CC1" w14:textId="77777777" w:rsidR="005C21FD" w:rsidRPr="0022397B" w:rsidRDefault="005C21FD" w:rsidP="005C21FD">
      <w:pPr>
        <w:pStyle w:val="ListParagraph"/>
        <w:spacing w:line="240" w:lineRule="auto"/>
        <w:ind w:left="1440"/>
        <w:rPr>
          <w:rFonts w:ascii="Times New Roman" w:hAnsi="Times New Roman" w:cs="Times New Roman"/>
          <w:sz w:val="24"/>
          <w:szCs w:val="24"/>
        </w:rPr>
      </w:pPr>
    </w:p>
    <w:p w14:paraId="44583210" w14:textId="77777777" w:rsidR="005C21FD" w:rsidRPr="0022397B" w:rsidRDefault="005C21FD" w:rsidP="005C21FD">
      <w:pPr>
        <w:pStyle w:val="ListParagraph"/>
        <w:numPr>
          <w:ilvl w:val="0"/>
          <w:numId w:val="5"/>
        </w:numPr>
        <w:spacing w:line="240" w:lineRule="auto"/>
        <w:rPr>
          <w:rFonts w:ascii="Times New Roman" w:hAnsi="Times New Roman" w:cs="Times New Roman"/>
          <w:sz w:val="24"/>
          <w:szCs w:val="24"/>
        </w:rPr>
      </w:pPr>
      <w:r w:rsidRPr="0022397B">
        <w:rPr>
          <w:rFonts w:ascii="Times New Roman" w:hAnsi="Times New Roman" w:cs="Times New Roman"/>
          <w:sz w:val="24"/>
          <w:szCs w:val="24"/>
          <w:u w:val="single"/>
        </w:rPr>
        <w:t>IIGO membership is defined by high-level political participation.</w:t>
      </w:r>
      <w:r w:rsidRPr="0022397B">
        <w:rPr>
          <w:rFonts w:ascii="Times New Roman" w:hAnsi="Times New Roman" w:cs="Times New Roman"/>
          <w:sz w:val="24"/>
          <w:szCs w:val="24"/>
        </w:rPr>
        <w:t xml:space="preserve"> Heads of Government, Ambassadors, or Ministers—with the authority to make political commitments on behalf of their respective states—need to be regularly part of (some) meetings. </w:t>
      </w:r>
    </w:p>
    <w:p w14:paraId="06856383" w14:textId="2B66BB92" w:rsidR="005C21FD" w:rsidRPr="0022397B" w:rsidRDefault="005C21FD" w:rsidP="005C21FD">
      <w:pPr>
        <w:pStyle w:val="ListParagraph"/>
        <w:numPr>
          <w:ilvl w:val="1"/>
          <w:numId w:val="5"/>
        </w:numPr>
        <w:spacing w:line="240" w:lineRule="auto"/>
        <w:rPr>
          <w:rFonts w:ascii="Times New Roman" w:hAnsi="Times New Roman" w:cs="Times New Roman"/>
          <w:sz w:val="24"/>
          <w:szCs w:val="24"/>
        </w:rPr>
      </w:pPr>
      <w:r w:rsidRPr="0022397B">
        <w:rPr>
          <w:rFonts w:ascii="Times New Roman" w:hAnsi="Times New Roman" w:cs="Times New Roman"/>
          <w:sz w:val="24"/>
          <w:szCs w:val="24"/>
        </w:rPr>
        <w:t>Lower-level transgovernmental networks solely among officials not authorized to make broad political commitments but who primarily address administrative or technical deci</w:t>
      </w:r>
      <w:r w:rsidR="00AC47E3">
        <w:rPr>
          <w:rFonts w:ascii="Times New Roman" w:hAnsi="Times New Roman" w:cs="Times New Roman"/>
          <w:sz w:val="24"/>
          <w:szCs w:val="24"/>
        </w:rPr>
        <w:t>sions are excluded. Terms like ‘</w:t>
      </w:r>
      <w:r w:rsidRPr="0022397B">
        <w:rPr>
          <w:rFonts w:ascii="Times New Roman" w:hAnsi="Times New Roman" w:cs="Times New Roman"/>
          <w:sz w:val="24"/>
          <w:szCs w:val="24"/>
        </w:rPr>
        <w:t>network</w:t>
      </w:r>
      <w:r w:rsidR="00AC47E3">
        <w:rPr>
          <w:rFonts w:ascii="Times New Roman" w:hAnsi="Times New Roman" w:cs="Times New Roman"/>
          <w:sz w:val="24"/>
          <w:szCs w:val="24"/>
        </w:rPr>
        <w:t>’</w:t>
      </w:r>
      <w:r w:rsidRPr="0022397B">
        <w:rPr>
          <w:rFonts w:ascii="Times New Roman" w:hAnsi="Times New Roman" w:cs="Times New Roman"/>
          <w:sz w:val="24"/>
          <w:szCs w:val="24"/>
        </w:rPr>
        <w:t xml:space="preserve"> and </w:t>
      </w:r>
      <w:r w:rsidR="00AC47E3">
        <w:rPr>
          <w:rFonts w:ascii="Times New Roman" w:hAnsi="Times New Roman" w:cs="Times New Roman"/>
          <w:sz w:val="24"/>
          <w:szCs w:val="24"/>
        </w:rPr>
        <w:t>‘</w:t>
      </w:r>
      <w:r w:rsidRPr="0022397B">
        <w:rPr>
          <w:rFonts w:ascii="Times New Roman" w:hAnsi="Times New Roman" w:cs="Times New Roman"/>
          <w:sz w:val="24"/>
          <w:szCs w:val="24"/>
        </w:rPr>
        <w:t>administrators</w:t>
      </w:r>
      <w:r w:rsidR="00AC47E3">
        <w:rPr>
          <w:rFonts w:ascii="Times New Roman" w:hAnsi="Times New Roman" w:cs="Times New Roman"/>
          <w:sz w:val="24"/>
          <w:szCs w:val="24"/>
        </w:rPr>
        <w:t>’</w:t>
      </w:r>
      <w:r w:rsidRPr="0022397B">
        <w:rPr>
          <w:rFonts w:ascii="Times New Roman" w:hAnsi="Times New Roman" w:cs="Times New Roman"/>
          <w:sz w:val="24"/>
          <w:szCs w:val="24"/>
        </w:rPr>
        <w:t xml:space="preserve"> often indicate the lower-level nature of officials. For example, we do not include the Pacific Islands, Australia and New Zealand Electoral Administrators Network (PIANZEA) because the highest level attendees have insufficient authority to set policy on their own.</w:t>
      </w:r>
    </w:p>
    <w:p w14:paraId="464747F2" w14:textId="679FE4A5" w:rsidR="005C21FD" w:rsidRPr="0022397B" w:rsidRDefault="005C21FD" w:rsidP="005C21FD">
      <w:pPr>
        <w:pStyle w:val="ListParagraph"/>
        <w:numPr>
          <w:ilvl w:val="1"/>
          <w:numId w:val="5"/>
        </w:numPr>
        <w:spacing w:line="240" w:lineRule="auto"/>
        <w:rPr>
          <w:rFonts w:ascii="Times New Roman" w:hAnsi="Times New Roman" w:cs="Times New Roman"/>
          <w:sz w:val="24"/>
          <w:szCs w:val="24"/>
        </w:rPr>
      </w:pPr>
      <w:r w:rsidRPr="0022397B">
        <w:rPr>
          <w:rFonts w:ascii="Times New Roman" w:hAnsi="Times New Roman" w:cs="Times New Roman"/>
          <w:sz w:val="24"/>
          <w:szCs w:val="24"/>
        </w:rPr>
        <w:t>Lower-level officials can attend IIGO meetings, and often comprise technical working groups between plenary meetings, but high-level officials get together for key aspects of coordination. These high-level meetings are oft</w:t>
      </w:r>
      <w:r w:rsidR="00AC47E3">
        <w:rPr>
          <w:rFonts w:ascii="Times New Roman" w:hAnsi="Times New Roman" w:cs="Times New Roman"/>
          <w:sz w:val="24"/>
          <w:szCs w:val="24"/>
        </w:rPr>
        <w:t>en referred to as ‘ministerials’</w:t>
      </w:r>
      <w:r w:rsidRPr="0022397B">
        <w:rPr>
          <w:rFonts w:ascii="Times New Roman" w:hAnsi="Times New Roman" w:cs="Times New Roman"/>
          <w:sz w:val="24"/>
          <w:szCs w:val="24"/>
        </w:rPr>
        <w:t>.</w:t>
      </w:r>
    </w:p>
    <w:p w14:paraId="379FE0F6" w14:textId="77777777" w:rsidR="005C21FD" w:rsidRPr="0022397B" w:rsidRDefault="005C21FD" w:rsidP="005C21FD">
      <w:pPr>
        <w:pStyle w:val="ListParagraph"/>
        <w:numPr>
          <w:ilvl w:val="1"/>
          <w:numId w:val="5"/>
        </w:numPr>
        <w:spacing w:line="240" w:lineRule="auto"/>
        <w:rPr>
          <w:rFonts w:ascii="Times New Roman" w:hAnsi="Times New Roman" w:cs="Times New Roman"/>
          <w:sz w:val="24"/>
          <w:szCs w:val="24"/>
        </w:rPr>
      </w:pPr>
      <w:r w:rsidRPr="0022397B">
        <w:rPr>
          <w:rFonts w:ascii="Times New Roman" w:hAnsi="Times New Roman" w:cs="Times New Roman"/>
          <w:sz w:val="24"/>
          <w:szCs w:val="24"/>
        </w:rPr>
        <w:t>Central Bank governors count as high-level participants. For example, we include the Group of Ten because Ministers of Finance and Central Bank Governors are the key attendees. We do not include Central Bank Supervisors as high-level participants but instead consider them to be lower-level technocrats. For example, we do not include the International Conference of Banking Supervisors as an IIGO.</w:t>
      </w:r>
    </w:p>
    <w:p w14:paraId="0B86133D" w14:textId="77777777" w:rsidR="005C21FD" w:rsidRPr="0022397B" w:rsidRDefault="005C21FD" w:rsidP="005C21FD">
      <w:pPr>
        <w:pStyle w:val="ListParagraph"/>
        <w:spacing w:line="240" w:lineRule="auto"/>
        <w:ind w:left="1440"/>
        <w:rPr>
          <w:rFonts w:ascii="Times New Roman" w:hAnsi="Times New Roman" w:cs="Times New Roman"/>
          <w:sz w:val="24"/>
          <w:szCs w:val="24"/>
        </w:rPr>
      </w:pPr>
    </w:p>
    <w:p w14:paraId="319CC4C8" w14:textId="77777777" w:rsidR="005C21FD" w:rsidRPr="0022397B" w:rsidRDefault="005C21FD" w:rsidP="005C21FD">
      <w:pPr>
        <w:pStyle w:val="ListParagraph"/>
        <w:spacing w:line="240" w:lineRule="auto"/>
        <w:ind w:left="1440"/>
        <w:rPr>
          <w:rFonts w:ascii="Times New Roman" w:hAnsi="Times New Roman" w:cs="Times New Roman"/>
          <w:sz w:val="24"/>
          <w:szCs w:val="24"/>
        </w:rPr>
      </w:pPr>
    </w:p>
    <w:p w14:paraId="6635FA48" w14:textId="6AE0AF3E" w:rsidR="005C21FD" w:rsidRPr="0022397B" w:rsidRDefault="00AC47E3" w:rsidP="005C21FD">
      <w:pPr>
        <w:pStyle w:val="ListParagraph"/>
        <w:numPr>
          <w:ilvl w:val="0"/>
          <w:numId w:val="5"/>
        </w:num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The entity has to be a ‘stand-alone’ organization, not an ‘</w:t>
      </w:r>
      <w:r w:rsidR="005C21FD" w:rsidRPr="0022397B">
        <w:rPr>
          <w:rFonts w:ascii="Times New Roman" w:hAnsi="Times New Roman" w:cs="Times New Roman"/>
          <w:sz w:val="24"/>
          <w:szCs w:val="24"/>
          <w:u w:val="single"/>
        </w:rPr>
        <w:t xml:space="preserve">IIGO within a </w:t>
      </w:r>
      <w:r>
        <w:rPr>
          <w:rFonts w:ascii="Times New Roman" w:hAnsi="Times New Roman" w:cs="Times New Roman"/>
          <w:sz w:val="24"/>
          <w:szCs w:val="24"/>
          <w:u w:val="single"/>
        </w:rPr>
        <w:t>FIGO.’</w:t>
      </w:r>
      <w:r w:rsidR="005C21FD" w:rsidRPr="0022397B">
        <w:rPr>
          <w:rFonts w:ascii="Times New Roman" w:hAnsi="Times New Roman" w:cs="Times New Roman"/>
          <w:sz w:val="24"/>
          <w:szCs w:val="24"/>
          <w:u w:val="single"/>
        </w:rPr>
        <w:t xml:space="preserve"> </w:t>
      </w:r>
    </w:p>
    <w:p w14:paraId="3FCF7CE4" w14:textId="051BADAB" w:rsidR="005C21FD" w:rsidRPr="0022397B" w:rsidRDefault="00AC47E3" w:rsidP="005C21FD">
      <w:pPr>
        <w:pStyle w:val="ListParagraph"/>
        <w:numPr>
          <w:ilvl w:val="1"/>
          <w:numId w:val="5"/>
        </w:numPr>
        <w:spacing w:line="240" w:lineRule="auto"/>
        <w:rPr>
          <w:rFonts w:ascii="Times New Roman" w:hAnsi="Times New Roman" w:cs="Times New Roman"/>
          <w:sz w:val="24"/>
          <w:szCs w:val="24"/>
        </w:rPr>
      </w:pPr>
      <w:r>
        <w:rPr>
          <w:rFonts w:ascii="Times New Roman" w:hAnsi="Times New Roman" w:cs="Times New Roman"/>
          <w:sz w:val="24"/>
          <w:szCs w:val="24"/>
        </w:rPr>
        <w:t>‘Coalition groups’</w:t>
      </w:r>
      <w:r w:rsidR="005C21FD" w:rsidRPr="0022397B">
        <w:rPr>
          <w:rFonts w:ascii="Times New Roman" w:hAnsi="Times New Roman" w:cs="Times New Roman"/>
          <w:sz w:val="24"/>
          <w:szCs w:val="24"/>
        </w:rPr>
        <w:t xml:space="preserve"> that organize bargaining/negotiation within FIGOs are excluded. For example, we exclude Friends of Fish because it primarily operates as a bloc within the W</w:t>
      </w:r>
      <w:r w:rsidR="00F51A83">
        <w:rPr>
          <w:rFonts w:ascii="Times New Roman" w:hAnsi="Times New Roman" w:cs="Times New Roman"/>
          <w:sz w:val="24"/>
          <w:szCs w:val="24"/>
        </w:rPr>
        <w:t xml:space="preserve">orld </w:t>
      </w:r>
      <w:r w:rsidR="005C21FD" w:rsidRPr="0022397B">
        <w:rPr>
          <w:rFonts w:ascii="Times New Roman" w:hAnsi="Times New Roman" w:cs="Times New Roman"/>
          <w:sz w:val="24"/>
          <w:szCs w:val="24"/>
        </w:rPr>
        <w:t>T</w:t>
      </w:r>
      <w:r w:rsidR="00F51A83">
        <w:rPr>
          <w:rFonts w:ascii="Times New Roman" w:hAnsi="Times New Roman" w:cs="Times New Roman"/>
          <w:sz w:val="24"/>
          <w:szCs w:val="24"/>
        </w:rPr>
        <w:t xml:space="preserve">rade </w:t>
      </w:r>
      <w:r w:rsidR="005C21FD" w:rsidRPr="0022397B">
        <w:rPr>
          <w:rFonts w:ascii="Times New Roman" w:hAnsi="Times New Roman" w:cs="Times New Roman"/>
          <w:sz w:val="24"/>
          <w:szCs w:val="24"/>
        </w:rPr>
        <w:t>O</w:t>
      </w:r>
      <w:r w:rsidR="00F51A83">
        <w:rPr>
          <w:rFonts w:ascii="Times New Roman" w:hAnsi="Times New Roman" w:cs="Times New Roman"/>
          <w:sz w:val="24"/>
          <w:szCs w:val="24"/>
        </w:rPr>
        <w:t>rganization</w:t>
      </w:r>
      <w:r w:rsidR="005C21FD" w:rsidRPr="0022397B">
        <w:rPr>
          <w:rFonts w:ascii="Times New Roman" w:hAnsi="Times New Roman" w:cs="Times New Roman"/>
          <w:sz w:val="24"/>
          <w:szCs w:val="24"/>
        </w:rPr>
        <w:t xml:space="preserve">. </w:t>
      </w:r>
    </w:p>
    <w:p w14:paraId="15F6FD6A" w14:textId="13722F50" w:rsidR="005C21FD" w:rsidRPr="0022397B" w:rsidRDefault="00AC47E3" w:rsidP="005C21FD">
      <w:pPr>
        <w:pStyle w:val="ListParagraph"/>
        <w:numPr>
          <w:ilvl w:val="1"/>
          <w:numId w:val="5"/>
        </w:numPr>
        <w:spacing w:line="240" w:lineRule="auto"/>
        <w:rPr>
          <w:rFonts w:ascii="Times New Roman" w:hAnsi="Times New Roman" w:cs="Times New Roman"/>
          <w:sz w:val="24"/>
          <w:szCs w:val="24"/>
        </w:rPr>
      </w:pPr>
      <w:r>
        <w:rPr>
          <w:rFonts w:ascii="Times New Roman" w:hAnsi="Times New Roman" w:cs="Times New Roman"/>
          <w:sz w:val="24"/>
          <w:szCs w:val="24"/>
        </w:rPr>
        <w:t>Some entities have ‘contact group’</w:t>
      </w:r>
      <w:r w:rsidR="005C21FD" w:rsidRPr="0022397B">
        <w:rPr>
          <w:rFonts w:ascii="Times New Roman" w:hAnsi="Times New Roman" w:cs="Times New Roman"/>
          <w:sz w:val="24"/>
          <w:szCs w:val="24"/>
        </w:rPr>
        <w:t xml:space="preserve"> in their </w:t>
      </w:r>
      <w:r w:rsidR="008E6A40" w:rsidRPr="0022397B">
        <w:rPr>
          <w:rFonts w:ascii="Times New Roman" w:hAnsi="Times New Roman" w:cs="Times New Roman"/>
          <w:sz w:val="24"/>
          <w:szCs w:val="24"/>
        </w:rPr>
        <w:t>title that</w:t>
      </w:r>
      <w:r w:rsidR="005C21FD" w:rsidRPr="0022397B">
        <w:rPr>
          <w:rFonts w:ascii="Times New Roman" w:hAnsi="Times New Roman" w:cs="Times New Roman"/>
          <w:sz w:val="24"/>
          <w:szCs w:val="24"/>
        </w:rPr>
        <w:t xml:space="preserve"> does not immediately disqualify them. We look for whether the group stands on its own.</w:t>
      </w:r>
    </w:p>
    <w:p w14:paraId="3F648308" w14:textId="77777777" w:rsidR="005C21FD" w:rsidRPr="0022397B" w:rsidRDefault="005C21FD" w:rsidP="005C21FD">
      <w:pPr>
        <w:pStyle w:val="ListParagraph"/>
        <w:spacing w:line="240" w:lineRule="auto"/>
        <w:ind w:left="1440"/>
        <w:rPr>
          <w:rFonts w:ascii="Times New Roman" w:hAnsi="Times New Roman" w:cs="Times New Roman"/>
          <w:sz w:val="24"/>
          <w:szCs w:val="24"/>
        </w:rPr>
      </w:pPr>
    </w:p>
    <w:p w14:paraId="0E03943D" w14:textId="4F3A15AF" w:rsidR="005C21FD" w:rsidRPr="0022397B" w:rsidRDefault="005C21FD" w:rsidP="005C21FD">
      <w:pPr>
        <w:pStyle w:val="ListParagraph"/>
        <w:numPr>
          <w:ilvl w:val="0"/>
          <w:numId w:val="4"/>
        </w:numPr>
        <w:spacing w:line="240" w:lineRule="auto"/>
        <w:ind w:left="360" w:hanging="360"/>
        <w:rPr>
          <w:rFonts w:ascii="Times New Roman" w:hAnsi="Times New Roman" w:cs="Times New Roman"/>
          <w:b/>
          <w:sz w:val="24"/>
          <w:szCs w:val="24"/>
        </w:rPr>
      </w:pPr>
      <w:r w:rsidRPr="0022397B">
        <w:rPr>
          <w:rFonts w:ascii="Times New Roman" w:hAnsi="Times New Roman" w:cs="Times New Roman"/>
          <w:b/>
          <w:sz w:val="24"/>
          <w:szCs w:val="24"/>
        </w:rPr>
        <w:t xml:space="preserve">Explicitly shared expectations </w:t>
      </w:r>
      <w:r w:rsidR="00CD4BAE">
        <w:rPr>
          <w:rFonts w:ascii="Times New Roman" w:hAnsi="Times New Roman" w:cs="Times New Roman"/>
          <w:b/>
          <w:sz w:val="24"/>
          <w:szCs w:val="24"/>
        </w:rPr>
        <w:t>but without a treaty</w:t>
      </w:r>
    </w:p>
    <w:p w14:paraId="3A5AA2D4" w14:textId="77777777" w:rsidR="005C21FD" w:rsidRPr="0022397B" w:rsidRDefault="005C21FD" w:rsidP="005C21FD">
      <w:pPr>
        <w:pStyle w:val="ListParagraph"/>
        <w:spacing w:line="240" w:lineRule="auto"/>
        <w:rPr>
          <w:rFonts w:ascii="Times New Roman" w:hAnsi="Times New Roman" w:cs="Times New Roman"/>
          <w:sz w:val="24"/>
          <w:szCs w:val="24"/>
        </w:rPr>
      </w:pPr>
    </w:p>
    <w:p w14:paraId="33E4CC5C" w14:textId="77777777" w:rsidR="005C21FD" w:rsidRPr="0022397B" w:rsidRDefault="005C21FD" w:rsidP="005C21FD">
      <w:pPr>
        <w:pStyle w:val="ListParagraph"/>
        <w:numPr>
          <w:ilvl w:val="0"/>
          <w:numId w:val="6"/>
        </w:numPr>
        <w:spacing w:line="240" w:lineRule="auto"/>
        <w:rPr>
          <w:rFonts w:ascii="Times New Roman" w:hAnsi="Times New Roman" w:cs="Times New Roman"/>
          <w:sz w:val="24"/>
          <w:szCs w:val="24"/>
        </w:rPr>
      </w:pPr>
      <w:r w:rsidRPr="0022397B">
        <w:rPr>
          <w:rFonts w:ascii="Times New Roman" w:hAnsi="Times New Roman" w:cs="Times New Roman"/>
          <w:sz w:val="24"/>
          <w:szCs w:val="24"/>
          <w:u w:val="single"/>
        </w:rPr>
        <w:t>Evidence of common goals or purpose establishes shared expectations</w:t>
      </w:r>
      <w:r w:rsidRPr="0022397B">
        <w:rPr>
          <w:rFonts w:ascii="Times New Roman" w:hAnsi="Times New Roman" w:cs="Times New Roman"/>
          <w:sz w:val="24"/>
          <w:szCs w:val="24"/>
        </w:rPr>
        <w:t>, though their articulation need not be formal. Evidence can be established through the following (but not limited to):</w:t>
      </w:r>
    </w:p>
    <w:p w14:paraId="6B80B13F" w14:textId="77777777" w:rsidR="005C21FD" w:rsidRPr="0022397B" w:rsidRDefault="005C21FD" w:rsidP="005C21FD">
      <w:pPr>
        <w:pStyle w:val="ListParagraph"/>
        <w:numPr>
          <w:ilvl w:val="1"/>
          <w:numId w:val="6"/>
        </w:numPr>
        <w:spacing w:line="240" w:lineRule="auto"/>
        <w:rPr>
          <w:rFonts w:ascii="Times New Roman" w:hAnsi="Times New Roman" w:cs="Times New Roman"/>
          <w:sz w:val="24"/>
          <w:szCs w:val="24"/>
        </w:rPr>
      </w:pPr>
      <w:r w:rsidRPr="0022397B">
        <w:rPr>
          <w:rFonts w:ascii="Times New Roman" w:hAnsi="Times New Roman" w:cs="Times New Roman"/>
          <w:sz w:val="24"/>
          <w:szCs w:val="24"/>
        </w:rPr>
        <w:t>Joint Statements</w:t>
      </w:r>
    </w:p>
    <w:p w14:paraId="431CB732" w14:textId="77777777" w:rsidR="005C21FD" w:rsidRPr="0022397B" w:rsidRDefault="005C21FD" w:rsidP="005C21FD">
      <w:pPr>
        <w:pStyle w:val="ListParagraph"/>
        <w:numPr>
          <w:ilvl w:val="1"/>
          <w:numId w:val="6"/>
        </w:numPr>
        <w:spacing w:line="240" w:lineRule="auto"/>
        <w:rPr>
          <w:rFonts w:ascii="Times New Roman" w:hAnsi="Times New Roman" w:cs="Times New Roman"/>
          <w:sz w:val="24"/>
          <w:szCs w:val="24"/>
        </w:rPr>
      </w:pPr>
      <w:r w:rsidRPr="0022397B">
        <w:rPr>
          <w:rFonts w:ascii="Times New Roman" w:hAnsi="Times New Roman" w:cs="Times New Roman"/>
          <w:sz w:val="24"/>
          <w:szCs w:val="24"/>
        </w:rPr>
        <w:t>Communiques</w:t>
      </w:r>
    </w:p>
    <w:p w14:paraId="3FACD600" w14:textId="77777777" w:rsidR="005C21FD" w:rsidRPr="0022397B" w:rsidRDefault="005C21FD" w:rsidP="005C21FD">
      <w:pPr>
        <w:pStyle w:val="ListParagraph"/>
        <w:numPr>
          <w:ilvl w:val="1"/>
          <w:numId w:val="6"/>
        </w:numPr>
        <w:spacing w:line="240" w:lineRule="auto"/>
        <w:rPr>
          <w:rFonts w:ascii="Times New Roman" w:hAnsi="Times New Roman" w:cs="Times New Roman"/>
          <w:sz w:val="24"/>
          <w:szCs w:val="24"/>
        </w:rPr>
      </w:pPr>
      <w:r w:rsidRPr="0022397B">
        <w:rPr>
          <w:rFonts w:ascii="Times New Roman" w:hAnsi="Times New Roman" w:cs="Times New Roman"/>
          <w:sz w:val="24"/>
          <w:szCs w:val="24"/>
        </w:rPr>
        <w:t>Websites</w:t>
      </w:r>
    </w:p>
    <w:p w14:paraId="649A99DC" w14:textId="77777777" w:rsidR="005C21FD" w:rsidRPr="0022397B" w:rsidRDefault="005C21FD" w:rsidP="005C21FD">
      <w:pPr>
        <w:pStyle w:val="ListParagraph"/>
        <w:numPr>
          <w:ilvl w:val="1"/>
          <w:numId w:val="6"/>
        </w:numPr>
        <w:spacing w:line="240" w:lineRule="auto"/>
        <w:rPr>
          <w:rFonts w:ascii="Times New Roman" w:hAnsi="Times New Roman" w:cs="Times New Roman"/>
          <w:sz w:val="24"/>
          <w:szCs w:val="24"/>
        </w:rPr>
      </w:pPr>
      <w:r w:rsidRPr="0022397B">
        <w:rPr>
          <w:rFonts w:ascii="Times New Roman" w:hAnsi="Times New Roman" w:cs="Times New Roman"/>
          <w:sz w:val="24"/>
          <w:szCs w:val="24"/>
        </w:rPr>
        <w:t>Memoranda of Understanding</w:t>
      </w:r>
    </w:p>
    <w:p w14:paraId="1A0D814A" w14:textId="77777777" w:rsidR="005C21FD" w:rsidRPr="0022397B" w:rsidRDefault="005C21FD" w:rsidP="005C21FD">
      <w:pPr>
        <w:pStyle w:val="ListParagraph"/>
        <w:numPr>
          <w:ilvl w:val="1"/>
          <w:numId w:val="6"/>
        </w:numPr>
        <w:spacing w:line="240" w:lineRule="auto"/>
        <w:rPr>
          <w:rFonts w:ascii="Times New Roman" w:hAnsi="Times New Roman" w:cs="Times New Roman"/>
          <w:sz w:val="24"/>
          <w:szCs w:val="24"/>
        </w:rPr>
      </w:pPr>
      <w:r w:rsidRPr="0022397B">
        <w:rPr>
          <w:rFonts w:ascii="Times New Roman" w:hAnsi="Times New Roman" w:cs="Times New Roman"/>
          <w:sz w:val="24"/>
          <w:szCs w:val="24"/>
        </w:rPr>
        <w:t>Declarations</w:t>
      </w:r>
    </w:p>
    <w:p w14:paraId="1325AABC" w14:textId="77777777" w:rsidR="005C21FD" w:rsidRPr="0022397B" w:rsidRDefault="005C21FD" w:rsidP="005C21FD">
      <w:pPr>
        <w:pStyle w:val="ListParagraph"/>
        <w:numPr>
          <w:ilvl w:val="1"/>
          <w:numId w:val="6"/>
        </w:numPr>
        <w:spacing w:line="240" w:lineRule="auto"/>
        <w:rPr>
          <w:rFonts w:ascii="Times New Roman" w:hAnsi="Times New Roman" w:cs="Times New Roman"/>
          <w:sz w:val="24"/>
          <w:szCs w:val="24"/>
        </w:rPr>
      </w:pPr>
      <w:r w:rsidRPr="0022397B">
        <w:rPr>
          <w:rFonts w:ascii="Times New Roman" w:hAnsi="Times New Roman" w:cs="Times New Roman"/>
          <w:sz w:val="24"/>
          <w:szCs w:val="24"/>
        </w:rPr>
        <w:t>Acts</w:t>
      </w:r>
    </w:p>
    <w:p w14:paraId="2713A047" w14:textId="77777777" w:rsidR="005C21FD" w:rsidRPr="0022397B" w:rsidRDefault="005C21FD" w:rsidP="005C21FD">
      <w:pPr>
        <w:pStyle w:val="ListParagraph"/>
        <w:numPr>
          <w:ilvl w:val="1"/>
          <w:numId w:val="6"/>
        </w:numPr>
        <w:spacing w:line="240" w:lineRule="auto"/>
        <w:rPr>
          <w:rFonts w:ascii="Times New Roman" w:hAnsi="Times New Roman" w:cs="Times New Roman"/>
          <w:sz w:val="24"/>
          <w:szCs w:val="24"/>
        </w:rPr>
      </w:pPr>
      <w:r w:rsidRPr="0022397B">
        <w:rPr>
          <w:rFonts w:ascii="Times New Roman" w:hAnsi="Times New Roman" w:cs="Times New Roman"/>
          <w:sz w:val="24"/>
          <w:szCs w:val="24"/>
        </w:rPr>
        <w:t>Guiding Principles</w:t>
      </w:r>
    </w:p>
    <w:p w14:paraId="36F87D30" w14:textId="77777777" w:rsidR="005C21FD" w:rsidRPr="0022397B" w:rsidRDefault="005C21FD" w:rsidP="005C21FD">
      <w:pPr>
        <w:pStyle w:val="ListParagraph"/>
        <w:numPr>
          <w:ilvl w:val="1"/>
          <w:numId w:val="6"/>
        </w:numPr>
        <w:spacing w:line="240" w:lineRule="auto"/>
        <w:rPr>
          <w:rFonts w:ascii="Times New Roman" w:hAnsi="Times New Roman" w:cs="Times New Roman"/>
          <w:sz w:val="24"/>
          <w:szCs w:val="24"/>
        </w:rPr>
      </w:pPr>
      <w:r w:rsidRPr="0022397B">
        <w:rPr>
          <w:rFonts w:ascii="Times New Roman" w:hAnsi="Times New Roman" w:cs="Times New Roman"/>
          <w:sz w:val="24"/>
          <w:szCs w:val="24"/>
        </w:rPr>
        <w:t>Charter</w:t>
      </w:r>
    </w:p>
    <w:p w14:paraId="75E77985" w14:textId="77777777" w:rsidR="005C21FD" w:rsidRPr="0022397B" w:rsidRDefault="005C21FD" w:rsidP="005C21FD">
      <w:pPr>
        <w:pStyle w:val="ListParagraph"/>
        <w:numPr>
          <w:ilvl w:val="1"/>
          <w:numId w:val="6"/>
        </w:numPr>
        <w:spacing w:line="240" w:lineRule="auto"/>
        <w:rPr>
          <w:rFonts w:ascii="Times New Roman" w:hAnsi="Times New Roman" w:cs="Times New Roman"/>
          <w:sz w:val="24"/>
          <w:szCs w:val="24"/>
        </w:rPr>
      </w:pPr>
      <w:r w:rsidRPr="0022397B">
        <w:rPr>
          <w:rFonts w:ascii="Times New Roman" w:hAnsi="Times New Roman" w:cs="Times New Roman"/>
          <w:sz w:val="24"/>
          <w:szCs w:val="24"/>
        </w:rPr>
        <w:t>Framework</w:t>
      </w:r>
    </w:p>
    <w:p w14:paraId="4C2DD069" w14:textId="77777777" w:rsidR="005C21FD" w:rsidRPr="0022397B" w:rsidRDefault="005C21FD" w:rsidP="005C21FD">
      <w:pPr>
        <w:pStyle w:val="ListParagraph"/>
        <w:numPr>
          <w:ilvl w:val="1"/>
          <w:numId w:val="6"/>
        </w:numPr>
        <w:spacing w:line="240" w:lineRule="auto"/>
        <w:rPr>
          <w:rFonts w:ascii="Times New Roman" w:hAnsi="Times New Roman" w:cs="Times New Roman"/>
          <w:sz w:val="24"/>
          <w:szCs w:val="24"/>
        </w:rPr>
      </w:pPr>
      <w:r w:rsidRPr="0022397B">
        <w:rPr>
          <w:rFonts w:ascii="Times New Roman" w:hAnsi="Times New Roman" w:cs="Times New Roman"/>
          <w:sz w:val="24"/>
          <w:szCs w:val="24"/>
        </w:rPr>
        <w:t>Goals</w:t>
      </w:r>
    </w:p>
    <w:p w14:paraId="14A137F8" w14:textId="77777777" w:rsidR="005C21FD" w:rsidRPr="0022397B" w:rsidRDefault="005C21FD" w:rsidP="005C21FD">
      <w:pPr>
        <w:pStyle w:val="ListParagraph"/>
        <w:numPr>
          <w:ilvl w:val="1"/>
          <w:numId w:val="6"/>
        </w:numPr>
        <w:spacing w:line="240" w:lineRule="auto"/>
        <w:rPr>
          <w:rFonts w:ascii="Times New Roman" w:hAnsi="Times New Roman" w:cs="Times New Roman"/>
          <w:sz w:val="24"/>
          <w:szCs w:val="24"/>
        </w:rPr>
      </w:pPr>
      <w:r w:rsidRPr="0022397B">
        <w:rPr>
          <w:rFonts w:ascii="Times New Roman" w:hAnsi="Times New Roman" w:cs="Times New Roman"/>
          <w:sz w:val="24"/>
          <w:szCs w:val="24"/>
        </w:rPr>
        <w:t>Plan of Action</w:t>
      </w:r>
    </w:p>
    <w:p w14:paraId="07ECE72F" w14:textId="77777777" w:rsidR="005C21FD" w:rsidRPr="0022397B" w:rsidRDefault="005C21FD" w:rsidP="005C21FD">
      <w:pPr>
        <w:pStyle w:val="ListParagraph"/>
        <w:numPr>
          <w:ilvl w:val="1"/>
          <w:numId w:val="6"/>
        </w:numPr>
        <w:spacing w:line="240" w:lineRule="auto"/>
        <w:rPr>
          <w:rFonts w:ascii="Times New Roman" w:hAnsi="Times New Roman" w:cs="Times New Roman"/>
          <w:sz w:val="24"/>
          <w:szCs w:val="24"/>
        </w:rPr>
      </w:pPr>
      <w:r w:rsidRPr="0022397B">
        <w:rPr>
          <w:rFonts w:ascii="Times New Roman" w:hAnsi="Times New Roman" w:cs="Times New Roman"/>
          <w:sz w:val="24"/>
          <w:szCs w:val="24"/>
        </w:rPr>
        <w:t>Programme</w:t>
      </w:r>
    </w:p>
    <w:p w14:paraId="266DB17F" w14:textId="77777777" w:rsidR="005C21FD" w:rsidRPr="0022397B" w:rsidRDefault="005C21FD" w:rsidP="005C21FD">
      <w:pPr>
        <w:pStyle w:val="ListParagraph"/>
        <w:numPr>
          <w:ilvl w:val="1"/>
          <w:numId w:val="6"/>
        </w:numPr>
        <w:spacing w:line="240" w:lineRule="auto"/>
        <w:rPr>
          <w:rFonts w:ascii="Times New Roman" w:hAnsi="Times New Roman" w:cs="Times New Roman"/>
          <w:sz w:val="24"/>
          <w:szCs w:val="24"/>
        </w:rPr>
      </w:pPr>
      <w:r w:rsidRPr="0022397B">
        <w:rPr>
          <w:rFonts w:ascii="Times New Roman" w:hAnsi="Times New Roman" w:cs="Times New Roman"/>
          <w:sz w:val="24"/>
          <w:szCs w:val="24"/>
        </w:rPr>
        <w:t>Resolution</w:t>
      </w:r>
    </w:p>
    <w:p w14:paraId="593F0A2F" w14:textId="77777777" w:rsidR="005C21FD" w:rsidRPr="0022397B" w:rsidRDefault="005C21FD" w:rsidP="005C21FD">
      <w:pPr>
        <w:pStyle w:val="ListParagraph"/>
        <w:spacing w:line="240" w:lineRule="auto"/>
        <w:ind w:left="1440"/>
        <w:rPr>
          <w:rFonts w:ascii="Times New Roman" w:hAnsi="Times New Roman" w:cs="Times New Roman"/>
          <w:sz w:val="24"/>
          <w:szCs w:val="24"/>
        </w:rPr>
      </w:pPr>
    </w:p>
    <w:p w14:paraId="62769DFD" w14:textId="77777777" w:rsidR="005C21FD" w:rsidRPr="0022397B" w:rsidRDefault="005C21FD" w:rsidP="005C21FD">
      <w:pPr>
        <w:pStyle w:val="ListParagraph"/>
        <w:numPr>
          <w:ilvl w:val="0"/>
          <w:numId w:val="6"/>
        </w:numPr>
        <w:spacing w:line="240" w:lineRule="auto"/>
        <w:rPr>
          <w:rFonts w:ascii="Times New Roman" w:hAnsi="Times New Roman" w:cs="Times New Roman"/>
          <w:sz w:val="24"/>
          <w:szCs w:val="24"/>
        </w:rPr>
      </w:pPr>
      <w:r w:rsidRPr="0022397B">
        <w:rPr>
          <w:rFonts w:ascii="Times New Roman" w:hAnsi="Times New Roman" w:cs="Times New Roman"/>
          <w:sz w:val="24"/>
          <w:szCs w:val="24"/>
          <w:u w:val="single"/>
        </w:rPr>
        <w:t>States’ shared expectations cannot be legally binding.</w:t>
      </w:r>
      <w:r w:rsidRPr="0022397B">
        <w:rPr>
          <w:rFonts w:ascii="Times New Roman" w:hAnsi="Times New Roman" w:cs="Times New Roman"/>
          <w:sz w:val="24"/>
          <w:szCs w:val="24"/>
        </w:rPr>
        <w:t xml:space="preserve"> The key disqualifier is whether the group was established by an international treaty (recorded in the UN Treaty Series).</w:t>
      </w:r>
    </w:p>
    <w:p w14:paraId="7B97E8D8" w14:textId="77777777" w:rsidR="005C21FD" w:rsidRPr="0022397B" w:rsidRDefault="005C21FD" w:rsidP="005C21FD">
      <w:pPr>
        <w:pStyle w:val="ListParagraph"/>
        <w:spacing w:line="240" w:lineRule="auto"/>
        <w:rPr>
          <w:rFonts w:ascii="Times New Roman" w:hAnsi="Times New Roman" w:cs="Times New Roman"/>
          <w:sz w:val="24"/>
          <w:szCs w:val="24"/>
        </w:rPr>
      </w:pPr>
    </w:p>
    <w:p w14:paraId="0DCCA2EE" w14:textId="3203BD12" w:rsidR="005C21FD" w:rsidRDefault="005C21FD" w:rsidP="005C21FD">
      <w:pPr>
        <w:pStyle w:val="ListParagraph"/>
        <w:numPr>
          <w:ilvl w:val="0"/>
          <w:numId w:val="6"/>
        </w:numPr>
        <w:spacing w:line="240" w:lineRule="auto"/>
        <w:rPr>
          <w:rFonts w:ascii="Times New Roman" w:hAnsi="Times New Roman" w:cs="Times New Roman"/>
          <w:sz w:val="24"/>
          <w:szCs w:val="24"/>
        </w:rPr>
      </w:pPr>
      <w:r w:rsidRPr="0022397B">
        <w:rPr>
          <w:rFonts w:ascii="Times New Roman" w:hAnsi="Times New Roman" w:cs="Times New Roman"/>
          <w:sz w:val="24"/>
          <w:szCs w:val="24"/>
        </w:rPr>
        <w:t>States’ shared expectations should be related to an ongoing and open-ended purpose. This contrasts with ad hoc meetings to address problems and with conference series that have an immediate and specific purpose and are limited in duration. For example, we exclude the 19</w:t>
      </w:r>
      <w:r w:rsidRPr="0022397B">
        <w:rPr>
          <w:rFonts w:ascii="Times New Roman" w:hAnsi="Times New Roman" w:cs="Times New Roman"/>
          <w:sz w:val="24"/>
          <w:szCs w:val="24"/>
          <w:vertAlign w:val="superscript"/>
        </w:rPr>
        <w:t>th</w:t>
      </w:r>
      <w:r w:rsidRPr="0022397B">
        <w:rPr>
          <w:rFonts w:ascii="Times New Roman" w:hAnsi="Times New Roman" w:cs="Times New Roman"/>
          <w:sz w:val="24"/>
          <w:szCs w:val="24"/>
        </w:rPr>
        <w:t xml:space="preserve"> century international monetary conference series which states used to negotiate institutions to regulate the international monetary and financial world order.  </w:t>
      </w:r>
    </w:p>
    <w:p w14:paraId="5F76D9AA" w14:textId="77777777" w:rsidR="008E6A40" w:rsidRPr="008E6A40" w:rsidRDefault="008E6A40" w:rsidP="008E6A40">
      <w:pPr>
        <w:pStyle w:val="ListParagraph"/>
        <w:rPr>
          <w:rFonts w:ascii="Times New Roman" w:hAnsi="Times New Roman" w:cs="Times New Roman"/>
          <w:sz w:val="24"/>
          <w:szCs w:val="24"/>
        </w:rPr>
      </w:pPr>
    </w:p>
    <w:p w14:paraId="7E932CB2" w14:textId="64F2C4C8" w:rsidR="005C21FD" w:rsidRPr="0022397B" w:rsidRDefault="008E6A40" w:rsidP="005C21FD">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Ascription of ‘</w:t>
      </w:r>
      <w:r w:rsidR="005C21FD" w:rsidRPr="0022397B">
        <w:rPr>
          <w:rFonts w:ascii="Times New Roman" w:hAnsi="Times New Roman" w:cs="Times New Roman"/>
          <w:sz w:val="24"/>
          <w:szCs w:val="24"/>
        </w:rPr>
        <w:t xml:space="preserve">groupness’ by third parties do not establish shared </w:t>
      </w:r>
      <w:r>
        <w:rPr>
          <w:rFonts w:ascii="Times New Roman" w:hAnsi="Times New Roman" w:cs="Times New Roman"/>
          <w:sz w:val="24"/>
          <w:szCs w:val="24"/>
        </w:rPr>
        <w:t xml:space="preserve">expectations of group members. </w:t>
      </w:r>
      <w:r w:rsidR="005C21FD" w:rsidRPr="0022397B">
        <w:rPr>
          <w:rFonts w:ascii="Times New Roman" w:hAnsi="Times New Roman" w:cs="Times New Roman"/>
          <w:sz w:val="24"/>
          <w:szCs w:val="24"/>
        </w:rPr>
        <w:t>For example, we do not include the Asian Tigers.</w:t>
      </w:r>
    </w:p>
    <w:p w14:paraId="6F269741" w14:textId="77777777" w:rsidR="005C21FD" w:rsidRPr="0022397B" w:rsidRDefault="005C21FD" w:rsidP="005C21FD">
      <w:pPr>
        <w:pStyle w:val="ListParagraph"/>
        <w:spacing w:line="240" w:lineRule="auto"/>
        <w:ind w:left="360"/>
        <w:rPr>
          <w:rFonts w:ascii="Times New Roman" w:hAnsi="Times New Roman" w:cs="Times New Roman"/>
          <w:sz w:val="24"/>
          <w:szCs w:val="24"/>
        </w:rPr>
      </w:pPr>
    </w:p>
    <w:p w14:paraId="36859CB6" w14:textId="0BDF9DC0" w:rsidR="005C21FD" w:rsidRPr="0022397B" w:rsidRDefault="008E6A40" w:rsidP="005C21FD">
      <w:pPr>
        <w:pStyle w:val="ListParagraph"/>
        <w:numPr>
          <w:ilvl w:val="0"/>
          <w:numId w:val="4"/>
        </w:numPr>
        <w:spacing w:line="240" w:lineRule="auto"/>
        <w:ind w:left="360" w:hanging="360"/>
        <w:rPr>
          <w:rFonts w:ascii="Times New Roman" w:hAnsi="Times New Roman" w:cs="Times New Roman"/>
          <w:b/>
          <w:sz w:val="24"/>
          <w:szCs w:val="24"/>
        </w:rPr>
      </w:pPr>
      <w:r>
        <w:rPr>
          <w:rFonts w:ascii="Times New Roman" w:hAnsi="Times New Roman" w:cs="Times New Roman"/>
          <w:b/>
          <w:sz w:val="24"/>
          <w:szCs w:val="24"/>
        </w:rPr>
        <w:t xml:space="preserve"> </w:t>
      </w:r>
      <w:r w:rsidR="005C21FD" w:rsidRPr="0022397B">
        <w:rPr>
          <w:rFonts w:ascii="Times New Roman" w:hAnsi="Times New Roman" w:cs="Times New Roman"/>
          <w:b/>
          <w:sz w:val="24"/>
          <w:szCs w:val="24"/>
        </w:rPr>
        <w:t>IIGOs hold recurrent meetings but have no significant formal institutionalization such as a secretariat or headquarters</w:t>
      </w:r>
    </w:p>
    <w:p w14:paraId="3ED9D4F3" w14:textId="0035C8EA" w:rsidR="005C21FD" w:rsidRPr="0022397B" w:rsidRDefault="005C21FD" w:rsidP="005C21FD">
      <w:pPr>
        <w:pStyle w:val="ListParagraph"/>
        <w:numPr>
          <w:ilvl w:val="0"/>
          <w:numId w:val="7"/>
        </w:numPr>
        <w:spacing w:line="240" w:lineRule="auto"/>
        <w:rPr>
          <w:rFonts w:ascii="Times New Roman" w:hAnsi="Times New Roman" w:cs="Times New Roman"/>
          <w:sz w:val="24"/>
          <w:szCs w:val="24"/>
        </w:rPr>
      </w:pPr>
      <w:r w:rsidRPr="0022397B">
        <w:rPr>
          <w:rFonts w:ascii="Times New Roman" w:hAnsi="Times New Roman" w:cs="Times New Roman"/>
          <w:sz w:val="24"/>
          <w:szCs w:val="24"/>
          <w:u w:val="single"/>
        </w:rPr>
        <w:t>Meetings must be recurrent.</w:t>
      </w:r>
      <w:r w:rsidRPr="0022397B">
        <w:rPr>
          <w:rFonts w:ascii="Times New Roman" w:hAnsi="Times New Roman" w:cs="Times New Roman"/>
          <w:sz w:val="24"/>
          <w:szCs w:val="24"/>
        </w:rPr>
        <w:t xml:space="preserve"> States need not meet at </w:t>
      </w:r>
      <w:r w:rsidRPr="0022397B">
        <w:rPr>
          <w:rFonts w:ascii="Times New Roman" w:hAnsi="Times New Roman" w:cs="Times New Roman"/>
          <w:i/>
          <w:sz w:val="24"/>
          <w:szCs w:val="24"/>
        </w:rPr>
        <w:t xml:space="preserve">regular </w:t>
      </w:r>
      <w:r w:rsidRPr="0022397B">
        <w:rPr>
          <w:rFonts w:ascii="Times New Roman" w:hAnsi="Times New Roman" w:cs="Times New Roman"/>
          <w:sz w:val="24"/>
          <w:szCs w:val="24"/>
        </w:rPr>
        <w:t xml:space="preserve">intervals but there must be the expectation of future interactions related to the shared group expectations. Some IIGOs may take a hiatus for a long </w:t>
      </w:r>
      <w:r w:rsidR="008E6A40" w:rsidRPr="0022397B">
        <w:rPr>
          <w:rFonts w:ascii="Times New Roman" w:hAnsi="Times New Roman" w:cs="Times New Roman"/>
          <w:sz w:val="24"/>
          <w:szCs w:val="24"/>
        </w:rPr>
        <w:t>period</w:t>
      </w:r>
      <w:r w:rsidRPr="0022397B">
        <w:rPr>
          <w:rFonts w:ascii="Times New Roman" w:hAnsi="Times New Roman" w:cs="Times New Roman"/>
          <w:sz w:val="24"/>
          <w:szCs w:val="24"/>
        </w:rPr>
        <w:t xml:space="preserve"> and pick back up when conditions are more favorable or issues </w:t>
      </w:r>
      <w:r w:rsidR="008E6A40">
        <w:rPr>
          <w:rFonts w:ascii="Times New Roman" w:hAnsi="Times New Roman" w:cs="Times New Roman"/>
          <w:sz w:val="24"/>
          <w:szCs w:val="24"/>
        </w:rPr>
        <w:t xml:space="preserve">are </w:t>
      </w:r>
      <w:r w:rsidRPr="0022397B">
        <w:rPr>
          <w:rFonts w:ascii="Times New Roman" w:hAnsi="Times New Roman" w:cs="Times New Roman"/>
          <w:sz w:val="24"/>
          <w:szCs w:val="24"/>
        </w:rPr>
        <w:t xml:space="preserve">more pressing. </w:t>
      </w:r>
    </w:p>
    <w:p w14:paraId="45CB3828" w14:textId="77777777" w:rsidR="005C21FD" w:rsidRPr="0022397B" w:rsidRDefault="005C21FD" w:rsidP="005C21FD">
      <w:pPr>
        <w:pStyle w:val="ListParagraph"/>
        <w:spacing w:line="240" w:lineRule="auto"/>
        <w:rPr>
          <w:rFonts w:ascii="Times New Roman" w:hAnsi="Times New Roman" w:cs="Times New Roman"/>
          <w:sz w:val="24"/>
          <w:szCs w:val="24"/>
        </w:rPr>
      </w:pPr>
    </w:p>
    <w:p w14:paraId="2036341E" w14:textId="77777777" w:rsidR="005C21FD" w:rsidRPr="0022397B" w:rsidRDefault="005C21FD" w:rsidP="005C21FD">
      <w:pPr>
        <w:pStyle w:val="ListParagraph"/>
        <w:numPr>
          <w:ilvl w:val="0"/>
          <w:numId w:val="7"/>
        </w:numPr>
        <w:spacing w:line="240" w:lineRule="auto"/>
        <w:rPr>
          <w:rFonts w:ascii="Times New Roman" w:hAnsi="Times New Roman" w:cs="Times New Roman"/>
          <w:sz w:val="24"/>
          <w:szCs w:val="24"/>
        </w:rPr>
      </w:pPr>
      <w:r w:rsidRPr="0022397B">
        <w:rPr>
          <w:rFonts w:ascii="Times New Roman" w:hAnsi="Times New Roman" w:cs="Times New Roman"/>
          <w:sz w:val="24"/>
          <w:szCs w:val="24"/>
          <w:u w:val="single"/>
        </w:rPr>
        <w:lastRenderedPageBreak/>
        <w:t>An IIGO does not have significant formal (permanent) institutionalization such as a secretariat or headquarters.</w:t>
      </w:r>
      <w:r w:rsidRPr="0022397B">
        <w:rPr>
          <w:rFonts w:ascii="Times New Roman" w:hAnsi="Times New Roman" w:cs="Times New Roman"/>
          <w:sz w:val="24"/>
          <w:szCs w:val="24"/>
        </w:rPr>
        <w:t xml:space="preserve"> </w:t>
      </w:r>
    </w:p>
    <w:p w14:paraId="5A7A37B7" w14:textId="77777777" w:rsidR="005C21FD" w:rsidRPr="0022397B" w:rsidRDefault="005C21FD" w:rsidP="005C21FD">
      <w:pPr>
        <w:pStyle w:val="ListParagraph"/>
        <w:numPr>
          <w:ilvl w:val="1"/>
          <w:numId w:val="7"/>
        </w:numPr>
        <w:spacing w:line="240" w:lineRule="auto"/>
        <w:rPr>
          <w:rFonts w:ascii="Times New Roman" w:hAnsi="Times New Roman" w:cs="Times New Roman"/>
          <w:sz w:val="24"/>
          <w:szCs w:val="24"/>
        </w:rPr>
      </w:pPr>
      <w:r w:rsidRPr="0022397B">
        <w:rPr>
          <w:rFonts w:ascii="Times New Roman" w:hAnsi="Times New Roman" w:cs="Times New Roman"/>
          <w:sz w:val="24"/>
          <w:szCs w:val="24"/>
        </w:rPr>
        <w:t>Entities are excluded if they have a named secretariat that is housed in its own structure with a permanent address. For example, the Regional Cooperation Council does not qualify because it has a Secretariat based in Sarajevo, and a Liaison Office in Brussels.</w:t>
      </w:r>
    </w:p>
    <w:p w14:paraId="1DB85900" w14:textId="77777777" w:rsidR="005C21FD" w:rsidRPr="0022397B" w:rsidRDefault="005C21FD" w:rsidP="005C21FD">
      <w:pPr>
        <w:pStyle w:val="ListParagraph"/>
        <w:numPr>
          <w:ilvl w:val="1"/>
          <w:numId w:val="7"/>
        </w:numPr>
        <w:spacing w:line="240" w:lineRule="auto"/>
        <w:rPr>
          <w:rFonts w:ascii="Times New Roman" w:hAnsi="Times New Roman" w:cs="Times New Roman"/>
          <w:sz w:val="24"/>
          <w:szCs w:val="24"/>
        </w:rPr>
      </w:pPr>
      <w:r w:rsidRPr="0022397B">
        <w:rPr>
          <w:rFonts w:ascii="Times New Roman" w:hAnsi="Times New Roman" w:cs="Times New Roman"/>
          <w:sz w:val="24"/>
          <w:szCs w:val="24"/>
        </w:rPr>
        <w:t xml:space="preserve">Entities are excluded if they have permanent staff (including a Secretary or Secretary General) that are hired by the organization itself (i.e. not on secondment from member states). For example, we exclude the Indian Ocean Rim Association because it has a permanent Secretary General responsible for assigning work, managing the budget, and facilitating meetings.  </w:t>
      </w:r>
    </w:p>
    <w:p w14:paraId="443B0F98" w14:textId="77777777" w:rsidR="005C21FD" w:rsidRPr="0022397B" w:rsidRDefault="005C21FD" w:rsidP="005C21FD">
      <w:pPr>
        <w:pStyle w:val="ListParagraph"/>
        <w:numPr>
          <w:ilvl w:val="1"/>
          <w:numId w:val="7"/>
        </w:numPr>
        <w:spacing w:line="240" w:lineRule="auto"/>
        <w:rPr>
          <w:rFonts w:ascii="Times New Roman" w:hAnsi="Times New Roman" w:cs="Times New Roman"/>
          <w:sz w:val="24"/>
          <w:szCs w:val="24"/>
        </w:rPr>
      </w:pPr>
      <w:r w:rsidRPr="0022397B">
        <w:rPr>
          <w:rFonts w:ascii="Times New Roman" w:hAnsi="Times New Roman" w:cs="Times New Roman"/>
          <w:sz w:val="24"/>
          <w:szCs w:val="24"/>
        </w:rPr>
        <w:t>Many IIGOs engage a FIGO or member state to provide administrative functions; they qualify as IIGOs if the relationship is not permanent (e.g. set up as a temporary service agreement, even if renewable) and if support positions are only to assist IIGO interactions rather than to exercise control. For example, the Global Forum on Migration and Development is chaired and hosted alternately by a developed country and a developing country, and has no permanent location. The annual Chair’s work plan may be implemented in different places – most preparatory meetings are held in Geneva, while the final meeting is usually held in the host county. But it has a rudimentary administrative support structure – the Geneva-based GFMD Support Unit provides administrative and logistical support to the Chair-in-Office. The Support Unit is hosted by the International Organization for Migration (IOM) but the IOM has no influence on the GFMD.</w:t>
      </w:r>
    </w:p>
    <w:p w14:paraId="28D215B5" w14:textId="77777777" w:rsidR="005C21FD" w:rsidRPr="0022397B" w:rsidRDefault="005C21FD" w:rsidP="005C21FD">
      <w:pPr>
        <w:pStyle w:val="ListParagraph"/>
        <w:numPr>
          <w:ilvl w:val="1"/>
          <w:numId w:val="7"/>
        </w:numPr>
        <w:spacing w:line="240" w:lineRule="auto"/>
        <w:rPr>
          <w:rFonts w:ascii="Times New Roman" w:hAnsi="Times New Roman" w:cs="Times New Roman"/>
          <w:sz w:val="24"/>
          <w:szCs w:val="24"/>
        </w:rPr>
      </w:pPr>
      <w:r w:rsidRPr="0022397B">
        <w:rPr>
          <w:rFonts w:ascii="Times New Roman" w:hAnsi="Times New Roman" w:cs="Times New Roman"/>
          <w:sz w:val="24"/>
          <w:szCs w:val="24"/>
        </w:rPr>
        <w:t xml:space="preserve">The use of rotating chairs or meeting hosts who provide a “temporary secretariat” (as in the G20) often indicates an IIGO. </w:t>
      </w:r>
    </w:p>
    <w:p w14:paraId="1E979247" w14:textId="6A595FF8" w:rsidR="005C21FD" w:rsidRPr="0022397B" w:rsidRDefault="008E6A40" w:rsidP="005C21FD">
      <w:pPr>
        <w:pStyle w:val="ListParagraph"/>
        <w:numPr>
          <w:ilvl w:val="1"/>
          <w:numId w:val="7"/>
        </w:numPr>
        <w:spacing w:line="240" w:lineRule="auto"/>
        <w:rPr>
          <w:rFonts w:ascii="Times New Roman" w:hAnsi="Times New Roman" w:cs="Times New Roman"/>
          <w:sz w:val="24"/>
          <w:szCs w:val="24"/>
        </w:rPr>
      </w:pPr>
      <w:r>
        <w:rPr>
          <w:rFonts w:ascii="Times New Roman" w:hAnsi="Times New Roman" w:cs="Times New Roman"/>
          <w:sz w:val="24"/>
          <w:szCs w:val="24"/>
        </w:rPr>
        <w:t>Some IIGOs rely on ‘virtual’</w:t>
      </w:r>
      <w:r w:rsidR="005C21FD" w:rsidRPr="0022397B">
        <w:rPr>
          <w:rFonts w:ascii="Times New Roman" w:hAnsi="Times New Roman" w:cs="Times New Roman"/>
          <w:sz w:val="24"/>
          <w:szCs w:val="24"/>
        </w:rPr>
        <w:t xml:space="preserve"> secretariats that facilitate the organization of or hosting of (virtual) meetings.</w:t>
      </w:r>
    </w:p>
    <w:p w14:paraId="453DFD0E" w14:textId="77777777" w:rsidR="001619A3" w:rsidRPr="0022397B" w:rsidRDefault="001619A3" w:rsidP="005C21FD">
      <w:pPr>
        <w:spacing w:line="240" w:lineRule="auto"/>
        <w:rPr>
          <w:b/>
        </w:rPr>
      </w:pPr>
    </w:p>
    <w:p w14:paraId="37D3793F" w14:textId="77777777" w:rsidR="005C21FD" w:rsidRPr="0022397B" w:rsidRDefault="005C21FD" w:rsidP="001619A3">
      <w:pPr>
        <w:spacing w:line="240" w:lineRule="auto"/>
        <w:ind w:firstLine="0"/>
        <w:rPr>
          <w:b/>
        </w:rPr>
      </w:pPr>
      <w:r w:rsidRPr="0022397B">
        <w:rPr>
          <w:b/>
        </w:rPr>
        <w:t>Variables</w:t>
      </w:r>
    </w:p>
    <w:p w14:paraId="7621CCF0" w14:textId="77777777" w:rsidR="001619A3" w:rsidRPr="0022397B" w:rsidRDefault="001619A3" w:rsidP="001619A3">
      <w:pPr>
        <w:spacing w:line="240" w:lineRule="auto"/>
        <w:ind w:firstLine="0"/>
        <w:rPr>
          <w:b/>
        </w:rPr>
      </w:pPr>
    </w:p>
    <w:p w14:paraId="46DF3C5B" w14:textId="77777777" w:rsidR="005C21FD" w:rsidRPr="0022397B" w:rsidRDefault="005C21FD" w:rsidP="001619A3">
      <w:pPr>
        <w:spacing w:line="240" w:lineRule="auto"/>
        <w:ind w:firstLine="0"/>
        <w:rPr>
          <w:b/>
        </w:rPr>
      </w:pPr>
      <w:r w:rsidRPr="0022397B">
        <w:rPr>
          <w:b/>
        </w:rPr>
        <w:t xml:space="preserve">The IIGO 2.0 dataset includes the following variables. </w:t>
      </w:r>
    </w:p>
    <w:p w14:paraId="09BFFEA3" w14:textId="77777777" w:rsidR="001619A3" w:rsidRPr="0022397B" w:rsidRDefault="001619A3" w:rsidP="001619A3">
      <w:pPr>
        <w:spacing w:line="240" w:lineRule="auto"/>
        <w:ind w:firstLine="0"/>
        <w:rPr>
          <w:b/>
        </w:rPr>
      </w:pPr>
    </w:p>
    <w:p w14:paraId="7D1B3A0F" w14:textId="77777777" w:rsidR="005C21FD" w:rsidRPr="0022397B" w:rsidRDefault="005C21FD" w:rsidP="001619A3">
      <w:pPr>
        <w:spacing w:line="240" w:lineRule="auto"/>
        <w:ind w:firstLine="0"/>
        <w:rPr>
          <w:b/>
        </w:rPr>
      </w:pPr>
      <w:r w:rsidRPr="0022397B">
        <w:rPr>
          <w:b/>
        </w:rPr>
        <w:t>Name</w:t>
      </w:r>
    </w:p>
    <w:p w14:paraId="722B91C5" w14:textId="77777777" w:rsidR="001619A3" w:rsidRPr="0022397B" w:rsidRDefault="001619A3" w:rsidP="001619A3">
      <w:pPr>
        <w:spacing w:line="240" w:lineRule="auto"/>
        <w:ind w:firstLine="0"/>
        <w:rPr>
          <w:b/>
        </w:rPr>
      </w:pPr>
    </w:p>
    <w:p w14:paraId="188F4AD6" w14:textId="77777777" w:rsidR="005C21FD" w:rsidRPr="0022397B" w:rsidRDefault="005C21FD" w:rsidP="001619A3">
      <w:pPr>
        <w:spacing w:line="240" w:lineRule="auto"/>
        <w:ind w:firstLine="0"/>
      </w:pPr>
      <w:r w:rsidRPr="0022397B">
        <w:t xml:space="preserve">The full name of the IIGO. Some IIGOs have changed names over time, often to add new mandates or modify aims. When there is a clear link and continuity from one entity to the next (i.e. they cover the same general issues, include some membership and do not exist at the same time), we group the organizations into one record so as to not artificially inflate the dataset with extra IIGOs. For example, we group the G22, 33, and 20 into the same record. </w:t>
      </w:r>
    </w:p>
    <w:p w14:paraId="4C36B11C" w14:textId="77777777" w:rsidR="005C21FD" w:rsidRPr="0022397B" w:rsidRDefault="005C21FD" w:rsidP="005C21FD">
      <w:pPr>
        <w:spacing w:line="240" w:lineRule="auto"/>
      </w:pPr>
    </w:p>
    <w:p w14:paraId="69354FF1" w14:textId="77777777" w:rsidR="005C21FD" w:rsidRPr="0022397B" w:rsidRDefault="005C21FD" w:rsidP="001619A3">
      <w:pPr>
        <w:spacing w:line="240" w:lineRule="auto"/>
        <w:ind w:firstLine="0"/>
        <w:rPr>
          <w:b/>
        </w:rPr>
      </w:pPr>
      <w:r w:rsidRPr="0022397B">
        <w:rPr>
          <w:b/>
        </w:rPr>
        <w:t>Abbrev</w:t>
      </w:r>
    </w:p>
    <w:p w14:paraId="3D48C969" w14:textId="77777777" w:rsidR="005C21FD" w:rsidRPr="0022397B" w:rsidRDefault="005C21FD" w:rsidP="001619A3">
      <w:pPr>
        <w:spacing w:line="240" w:lineRule="auto"/>
        <w:ind w:firstLine="0"/>
      </w:pPr>
      <w:r w:rsidRPr="0022397B">
        <w:t xml:space="preserve">The abbreviation (or abbreviations) of the IIGO. </w:t>
      </w:r>
    </w:p>
    <w:p w14:paraId="2C639A76" w14:textId="77777777" w:rsidR="005C21FD" w:rsidRPr="0022397B" w:rsidRDefault="005C21FD" w:rsidP="001619A3">
      <w:pPr>
        <w:spacing w:line="240" w:lineRule="auto"/>
        <w:ind w:firstLine="0"/>
      </w:pPr>
    </w:p>
    <w:p w14:paraId="04296821" w14:textId="69DF68B5" w:rsidR="005C21FD" w:rsidRPr="0022397B" w:rsidRDefault="00B60A6F" w:rsidP="001619A3">
      <w:pPr>
        <w:spacing w:line="240" w:lineRule="auto"/>
        <w:ind w:firstLine="0"/>
        <w:rPr>
          <w:b/>
        </w:rPr>
      </w:pPr>
      <w:r w:rsidRPr="0022397B">
        <w:rPr>
          <w:b/>
        </w:rPr>
        <w:t>Issue Area</w:t>
      </w:r>
    </w:p>
    <w:p w14:paraId="0C843399" w14:textId="77777777" w:rsidR="001619A3" w:rsidRPr="0022397B" w:rsidRDefault="001619A3" w:rsidP="001619A3">
      <w:pPr>
        <w:spacing w:line="240" w:lineRule="auto"/>
        <w:ind w:firstLine="0"/>
      </w:pPr>
    </w:p>
    <w:p w14:paraId="438C6380" w14:textId="77777777" w:rsidR="005C21FD" w:rsidRPr="0022397B" w:rsidRDefault="005C21FD" w:rsidP="001619A3">
      <w:pPr>
        <w:spacing w:line="240" w:lineRule="auto"/>
        <w:ind w:firstLine="0"/>
      </w:pPr>
      <w:r w:rsidRPr="0022397B">
        <w:lastRenderedPageBreak/>
        <w:t xml:space="preserve">We code each IIGO into one of four mutually exclusive issue areas: Political, Economic, Security, and Social Affairs. We base this on a refinement of the three COW issue area categories where we separate the Security cases out of the Politics category. </w:t>
      </w:r>
    </w:p>
    <w:p w14:paraId="46BC1FF7" w14:textId="77777777" w:rsidR="001619A3" w:rsidRPr="0022397B" w:rsidRDefault="001619A3" w:rsidP="001619A3">
      <w:pPr>
        <w:spacing w:line="240" w:lineRule="auto"/>
        <w:ind w:firstLine="0"/>
      </w:pPr>
    </w:p>
    <w:p w14:paraId="7BD1F119" w14:textId="5B2E9889" w:rsidR="005C21FD" w:rsidRPr="0022397B" w:rsidRDefault="005C21FD" w:rsidP="001619A3">
      <w:pPr>
        <w:spacing w:line="240" w:lineRule="auto"/>
        <w:ind w:firstLine="0"/>
      </w:pPr>
      <w:r w:rsidRPr="0022397B">
        <w:t>Since many IIGOs cover multiple areas, we code issue areas a</w:t>
      </w:r>
      <w:r w:rsidR="008E6A40">
        <w:t>ccording to what the IIGO does ‘most’</w:t>
      </w:r>
      <w:r w:rsidRPr="0022397B">
        <w:t>. If it is truly a wide ra</w:t>
      </w:r>
      <w:r w:rsidR="008E6A40">
        <w:t>nge, we code the issue area as ‘political’</w:t>
      </w:r>
      <w:r w:rsidRPr="0022397B">
        <w:t>. This has implications: the security category, for example, is a conservative estimate of how many IIGOs handle security because IIGOs that handle security plus other issues are put in the political category.</w:t>
      </w:r>
    </w:p>
    <w:p w14:paraId="3A232717" w14:textId="77777777" w:rsidR="001619A3" w:rsidRPr="0022397B" w:rsidRDefault="001619A3" w:rsidP="001619A3">
      <w:pPr>
        <w:spacing w:line="240" w:lineRule="auto"/>
        <w:ind w:firstLine="0"/>
      </w:pPr>
    </w:p>
    <w:p w14:paraId="401B56D9" w14:textId="77777777" w:rsidR="005C21FD" w:rsidRPr="0022397B" w:rsidRDefault="005C21FD" w:rsidP="001619A3">
      <w:pPr>
        <w:spacing w:line="240" w:lineRule="auto"/>
        <w:ind w:firstLine="0"/>
      </w:pPr>
      <w:r w:rsidRPr="0022397B">
        <w:t>The security category includes topics related to human security. For example, the Budapest Process is coded as 'security' because it is related to border management and asylum processes.</w:t>
      </w:r>
    </w:p>
    <w:p w14:paraId="73DFABF4" w14:textId="07269BEC" w:rsidR="005C21FD" w:rsidRPr="0022397B" w:rsidRDefault="005C21FD" w:rsidP="001619A3">
      <w:pPr>
        <w:spacing w:line="240" w:lineRule="auto"/>
        <w:ind w:firstLine="0"/>
      </w:pPr>
      <w:r w:rsidRPr="0022397B">
        <w:t xml:space="preserve">IIGOs </w:t>
      </w:r>
      <w:r w:rsidR="00A732C2">
        <w:t>related to energy are coded as ‘economic’</w:t>
      </w:r>
      <w:r w:rsidRPr="0022397B">
        <w:t xml:space="preserve"> to follow the COW coding (for example, which codes the IAEA as economic). </w:t>
      </w:r>
    </w:p>
    <w:p w14:paraId="719F6775" w14:textId="77777777" w:rsidR="001619A3" w:rsidRPr="0022397B" w:rsidRDefault="001619A3" w:rsidP="001619A3">
      <w:pPr>
        <w:spacing w:line="240" w:lineRule="auto"/>
        <w:ind w:firstLine="0"/>
      </w:pPr>
    </w:p>
    <w:p w14:paraId="66D4A9C6" w14:textId="77777777" w:rsidR="005C21FD" w:rsidRPr="0022397B" w:rsidRDefault="005C21FD" w:rsidP="001619A3">
      <w:pPr>
        <w:spacing w:line="240" w:lineRule="auto"/>
        <w:ind w:firstLine="0"/>
      </w:pPr>
      <w:r w:rsidRPr="0022397B">
        <w:t>The Social affairs issue area includes a wide array of topics such as education, health, the environment etc.). If the entity is not obviously economic or political, we categorize it as social.</w:t>
      </w:r>
    </w:p>
    <w:p w14:paraId="0781EDC5" w14:textId="77777777" w:rsidR="005C21FD" w:rsidRPr="0022397B" w:rsidRDefault="005C21FD" w:rsidP="005C21FD">
      <w:pPr>
        <w:spacing w:line="240" w:lineRule="auto"/>
        <w:rPr>
          <w:b/>
        </w:rPr>
      </w:pPr>
    </w:p>
    <w:p w14:paraId="1E8B5411" w14:textId="77777777" w:rsidR="005C21FD" w:rsidRPr="0022397B" w:rsidRDefault="005C21FD" w:rsidP="001619A3">
      <w:pPr>
        <w:spacing w:line="240" w:lineRule="auto"/>
        <w:ind w:firstLine="0"/>
        <w:rPr>
          <w:b/>
        </w:rPr>
      </w:pPr>
      <w:r w:rsidRPr="0022397B">
        <w:rPr>
          <w:b/>
        </w:rPr>
        <w:t>Regional</w:t>
      </w:r>
    </w:p>
    <w:p w14:paraId="0A888F2F" w14:textId="77777777" w:rsidR="001619A3" w:rsidRPr="0022397B" w:rsidRDefault="001619A3" w:rsidP="001619A3">
      <w:pPr>
        <w:spacing w:line="240" w:lineRule="auto"/>
        <w:ind w:firstLine="0"/>
        <w:rPr>
          <w:b/>
        </w:rPr>
      </w:pPr>
    </w:p>
    <w:p w14:paraId="6224DE2D" w14:textId="77777777" w:rsidR="005C21FD" w:rsidRPr="0022397B" w:rsidRDefault="005C21FD" w:rsidP="001619A3">
      <w:pPr>
        <w:spacing w:line="240" w:lineRule="auto"/>
        <w:ind w:firstLine="0"/>
      </w:pPr>
      <w:r w:rsidRPr="0022397B">
        <w:t>Coded 1 if the IIGO is comprised of geographically contiguous states</w:t>
      </w:r>
    </w:p>
    <w:p w14:paraId="33E9C123" w14:textId="77777777" w:rsidR="001619A3" w:rsidRPr="0022397B" w:rsidRDefault="001619A3" w:rsidP="001619A3">
      <w:pPr>
        <w:spacing w:line="240" w:lineRule="auto"/>
        <w:ind w:firstLine="0"/>
      </w:pPr>
    </w:p>
    <w:p w14:paraId="3B6C418F" w14:textId="77777777" w:rsidR="005C21FD" w:rsidRPr="0022397B" w:rsidRDefault="005C21FD" w:rsidP="001619A3">
      <w:pPr>
        <w:spacing w:line="240" w:lineRule="auto"/>
        <w:ind w:firstLine="0"/>
      </w:pPr>
      <w:r w:rsidRPr="0022397B">
        <w:t>Coded 0 otherwise</w:t>
      </w:r>
    </w:p>
    <w:p w14:paraId="431BE34A" w14:textId="77777777" w:rsidR="005C21FD" w:rsidRPr="0022397B" w:rsidRDefault="005C21FD" w:rsidP="001619A3">
      <w:pPr>
        <w:spacing w:line="240" w:lineRule="auto"/>
        <w:ind w:firstLine="0"/>
        <w:rPr>
          <w:b/>
        </w:rPr>
      </w:pPr>
    </w:p>
    <w:p w14:paraId="1FEB6DA5" w14:textId="77777777" w:rsidR="005C21FD" w:rsidRPr="0022397B" w:rsidRDefault="005C21FD" w:rsidP="001619A3">
      <w:pPr>
        <w:spacing w:line="240" w:lineRule="auto"/>
        <w:ind w:firstLine="0"/>
        <w:rPr>
          <w:b/>
        </w:rPr>
      </w:pPr>
      <w:r w:rsidRPr="0022397B">
        <w:rPr>
          <w:b/>
        </w:rPr>
        <w:t>Nbr_State_Mbrs_2017_or_end</w:t>
      </w:r>
    </w:p>
    <w:p w14:paraId="29A324FF" w14:textId="77777777" w:rsidR="001619A3" w:rsidRPr="0022397B" w:rsidRDefault="001619A3" w:rsidP="001619A3">
      <w:pPr>
        <w:spacing w:line="240" w:lineRule="auto"/>
        <w:ind w:firstLine="0"/>
        <w:rPr>
          <w:b/>
        </w:rPr>
      </w:pPr>
    </w:p>
    <w:p w14:paraId="25DA0BAA" w14:textId="77777777" w:rsidR="005C21FD" w:rsidRPr="0022397B" w:rsidRDefault="005C21FD" w:rsidP="001619A3">
      <w:pPr>
        <w:spacing w:line="240" w:lineRule="auto"/>
        <w:ind w:firstLine="0"/>
      </w:pPr>
      <w:r w:rsidRPr="0022397B">
        <w:t xml:space="preserve">Count of the number of member states in the IIGO in 2017 or when the IIGO ended (either formalized or died). While it would be optimal to record member states by year, this information was not systematically available across most IIGOs. </w:t>
      </w:r>
    </w:p>
    <w:p w14:paraId="72CF16D6" w14:textId="77777777" w:rsidR="001619A3" w:rsidRPr="0022397B" w:rsidRDefault="001619A3" w:rsidP="001619A3">
      <w:pPr>
        <w:spacing w:line="240" w:lineRule="auto"/>
        <w:ind w:firstLine="0"/>
      </w:pPr>
    </w:p>
    <w:p w14:paraId="38FE3F7E" w14:textId="77777777" w:rsidR="005C21FD" w:rsidRPr="0022397B" w:rsidRDefault="005C21FD" w:rsidP="001619A3">
      <w:pPr>
        <w:spacing w:line="240" w:lineRule="auto"/>
        <w:ind w:firstLine="0"/>
      </w:pPr>
      <w:r w:rsidRPr="0022397B">
        <w:t>Observers, FIGO ‘members’ (such as the EU) are not considered in this count.</w:t>
      </w:r>
    </w:p>
    <w:p w14:paraId="0CD68A3C" w14:textId="77777777" w:rsidR="005C21FD" w:rsidRPr="0022397B" w:rsidRDefault="005C21FD" w:rsidP="001619A3">
      <w:pPr>
        <w:spacing w:line="240" w:lineRule="auto"/>
        <w:ind w:firstLine="0"/>
        <w:rPr>
          <w:b/>
        </w:rPr>
      </w:pPr>
    </w:p>
    <w:p w14:paraId="1D81E1E3" w14:textId="356ADE7A" w:rsidR="005C21FD" w:rsidRPr="0022397B" w:rsidRDefault="00B60A6F" w:rsidP="001619A3">
      <w:pPr>
        <w:spacing w:line="240" w:lineRule="auto"/>
        <w:ind w:firstLine="0"/>
        <w:rPr>
          <w:b/>
        </w:rPr>
      </w:pPr>
      <w:r w:rsidRPr="0022397B">
        <w:rPr>
          <w:b/>
        </w:rPr>
        <w:t>Beg Year</w:t>
      </w:r>
    </w:p>
    <w:p w14:paraId="0DAC0588" w14:textId="77777777" w:rsidR="001619A3" w:rsidRPr="0022397B" w:rsidRDefault="001619A3" w:rsidP="001619A3">
      <w:pPr>
        <w:spacing w:line="240" w:lineRule="auto"/>
        <w:ind w:firstLine="0"/>
        <w:rPr>
          <w:b/>
        </w:rPr>
      </w:pPr>
    </w:p>
    <w:p w14:paraId="1AC37CE3" w14:textId="58EF7FCD" w:rsidR="005C21FD" w:rsidRPr="0022397B" w:rsidRDefault="005C21FD" w:rsidP="001619A3">
      <w:pPr>
        <w:spacing w:line="240" w:lineRule="auto"/>
        <w:ind w:firstLine="0"/>
      </w:pPr>
      <w:r w:rsidRPr="0022397B">
        <w:t xml:space="preserve">The earliest year the IIGO member states started to meet recurrently or showed evidence of coordinating shared </w:t>
      </w:r>
      <w:r w:rsidR="00B60A6F" w:rsidRPr="0022397B">
        <w:t xml:space="preserve">expectations. </w:t>
      </w:r>
      <w:r w:rsidRPr="0022397B">
        <w:t>Often this is the first summit meeting when a joint communique is released or the year a joint declaration is announced.</w:t>
      </w:r>
    </w:p>
    <w:p w14:paraId="589AC583" w14:textId="77777777" w:rsidR="005C21FD" w:rsidRPr="0022397B" w:rsidRDefault="005C21FD" w:rsidP="001619A3">
      <w:pPr>
        <w:spacing w:line="240" w:lineRule="auto"/>
        <w:ind w:firstLine="0"/>
        <w:rPr>
          <w:b/>
        </w:rPr>
      </w:pPr>
    </w:p>
    <w:p w14:paraId="44982382" w14:textId="77777777" w:rsidR="005C21FD" w:rsidRPr="0022397B" w:rsidRDefault="005C21FD" w:rsidP="001619A3">
      <w:pPr>
        <w:spacing w:line="240" w:lineRule="auto"/>
        <w:ind w:firstLine="0"/>
        <w:rPr>
          <w:b/>
        </w:rPr>
      </w:pPr>
      <w:r w:rsidRPr="0022397B">
        <w:rPr>
          <w:b/>
        </w:rPr>
        <w:t>Formal_1_or_Dead_2</w:t>
      </w:r>
    </w:p>
    <w:p w14:paraId="1B5CFA91" w14:textId="77777777" w:rsidR="001619A3" w:rsidRPr="0022397B" w:rsidRDefault="001619A3" w:rsidP="001619A3">
      <w:pPr>
        <w:spacing w:line="240" w:lineRule="auto"/>
        <w:ind w:firstLine="0"/>
        <w:rPr>
          <w:b/>
        </w:rPr>
      </w:pPr>
    </w:p>
    <w:p w14:paraId="1B9701CE" w14:textId="77777777" w:rsidR="005C21FD" w:rsidRPr="0022397B" w:rsidRDefault="005C21FD" w:rsidP="001619A3">
      <w:pPr>
        <w:spacing w:line="240" w:lineRule="auto"/>
        <w:ind w:firstLine="0"/>
      </w:pPr>
      <w:r w:rsidRPr="0022397B">
        <w:t>Coded 1 if the IIGO has formalized (by obtaining a secretariat or legalized treaty among member states).</w:t>
      </w:r>
    </w:p>
    <w:p w14:paraId="59053D14" w14:textId="77777777" w:rsidR="001619A3" w:rsidRPr="0022397B" w:rsidRDefault="001619A3" w:rsidP="001619A3">
      <w:pPr>
        <w:spacing w:line="240" w:lineRule="auto"/>
        <w:ind w:firstLine="0"/>
      </w:pPr>
    </w:p>
    <w:p w14:paraId="0B2CEB92" w14:textId="77777777" w:rsidR="005C21FD" w:rsidRPr="0022397B" w:rsidRDefault="005C21FD" w:rsidP="001619A3">
      <w:pPr>
        <w:spacing w:line="240" w:lineRule="auto"/>
        <w:ind w:firstLine="0"/>
      </w:pPr>
      <w:r w:rsidRPr="0022397B">
        <w:t>Coded 2 if the IIGO has died. See below.</w:t>
      </w:r>
    </w:p>
    <w:p w14:paraId="39050F25" w14:textId="77777777" w:rsidR="001619A3" w:rsidRPr="0022397B" w:rsidRDefault="001619A3" w:rsidP="001619A3">
      <w:pPr>
        <w:spacing w:line="240" w:lineRule="auto"/>
        <w:ind w:firstLine="0"/>
      </w:pPr>
    </w:p>
    <w:p w14:paraId="5555E833" w14:textId="77777777" w:rsidR="005C21FD" w:rsidRPr="0022397B" w:rsidRDefault="005C21FD" w:rsidP="001619A3">
      <w:pPr>
        <w:spacing w:line="240" w:lineRule="auto"/>
        <w:ind w:firstLine="0"/>
      </w:pPr>
      <w:r w:rsidRPr="0022397B">
        <w:t>Otherwise, 0.</w:t>
      </w:r>
    </w:p>
    <w:p w14:paraId="5BB9D427" w14:textId="77777777" w:rsidR="005C21FD" w:rsidRPr="0022397B" w:rsidRDefault="005C21FD" w:rsidP="001619A3">
      <w:pPr>
        <w:spacing w:line="240" w:lineRule="auto"/>
        <w:ind w:firstLine="0"/>
        <w:rPr>
          <w:b/>
        </w:rPr>
      </w:pPr>
    </w:p>
    <w:p w14:paraId="030CBE07" w14:textId="77777777" w:rsidR="005C21FD" w:rsidRPr="0022397B" w:rsidRDefault="005C21FD" w:rsidP="001619A3">
      <w:pPr>
        <w:spacing w:line="240" w:lineRule="auto"/>
        <w:ind w:firstLine="0"/>
        <w:rPr>
          <w:b/>
        </w:rPr>
      </w:pPr>
      <w:r w:rsidRPr="0022397B">
        <w:rPr>
          <w:b/>
        </w:rPr>
        <w:lastRenderedPageBreak/>
        <w:t>End_IIGO_Year</w:t>
      </w:r>
    </w:p>
    <w:p w14:paraId="1222C0FB" w14:textId="77777777" w:rsidR="001619A3" w:rsidRPr="0022397B" w:rsidRDefault="001619A3" w:rsidP="001619A3">
      <w:pPr>
        <w:spacing w:line="240" w:lineRule="auto"/>
        <w:ind w:firstLine="0"/>
        <w:rPr>
          <w:b/>
        </w:rPr>
      </w:pPr>
    </w:p>
    <w:p w14:paraId="1AE2CE90" w14:textId="1CF0E153" w:rsidR="005C21FD" w:rsidRPr="0022397B" w:rsidRDefault="005C21FD" w:rsidP="001619A3">
      <w:pPr>
        <w:spacing w:line="240" w:lineRule="auto"/>
        <w:ind w:firstLine="0"/>
      </w:pPr>
      <w:r w:rsidRPr="0022397B">
        <w:t xml:space="preserve">If the IIGO is no </w:t>
      </w:r>
      <w:r w:rsidR="00A732C2">
        <w:t xml:space="preserve">longer considered a ‘pure case’ </w:t>
      </w:r>
      <w:r w:rsidRPr="0022397B">
        <w:t>IIGO (adhering to all three criteria above)</w:t>
      </w:r>
      <w:r w:rsidR="00A732C2">
        <w:t xml:space="preserve"> and either formalizes or ‘dies’</w:t>
      </w:r>
      <w:r w:rsidRPr="0022397B">
        <w:t xml:space="preserve">), the year is recorded (see </w:t>
      </w:r>
      <w:r w:rsidR="00A732C2">
        <w:t>below). The IIGO is considered ‘dead’</w:t>
      </w:r>
      <w:r w:rsidRPr="0022397B">
        <w:t xml:space="preserve"> after </w:t>
      </w:r>
      <w:r w:rsidR="00483190">
        <w:t>10</w:t>
      </w:r>
      <w:r w:rsidR="00483190" w:rsidRPr="0022397B">
        <w:t xml:space="preserve"> </w:t>
      </w:r>
      <w:r w:rsidRPr="0022397B">
        <w:t>consecutive years of no activity related to the group’s shared expectations.</w:t>
      </w:r>
      <w:r w:rsidR="00483190">
        <w:t xml:space="preserve"> Last meeting is taken as date of death.</w:t>
      </w:r>
    </w:p>
    <w:p w14:paraId="5A521C0C" w14:textId="77777777" w:rsidR="001619A3" w:rsidRPr="0022397B" w:rsidRDefault="001619A3" w:rsidP="001619A3">
      <w:pPr>
        <w:spacing w:line="240" w:lineRule="auto"/>
        <w:ind w:firstLine="0"/>
      </w:pPr>
    </w:p>
    <w:p w14:paraId="0A1B30C0" w14:textId="340F5AE2" w:rsidR="005C21FD" w:rsidRPr="0022397B" w:rsidRDefault="005C21FD" w:rsidP="001619A3">
      <w:pPr>
        <w:spacing w:line="240" w:lineRule="auto"/>
        <w:ind w:firstLine="0"/>
      </w:pPr>
      <w:r w:rsidRPr="0022397B">
        <w:t>If we know the IIGO has died but cannot confi</w:t>
      </w:r>
      <w:r w:rsidR="00A732C2">
        <w:t>rm the date, it is recorded as ‘UK’</w:t>
      </w:r>
      <w:r w:rsidRPr="0022397B">
        <w:t xml:space="preserve"> (unknown).</w:t>
      </w:r>
    </w:p>
    <w:p w14:paraId="1B0AE169" w14:textId="77777777" w:rsidR="001619A3" w:rsidRPr="0022397B" w:rsidRDefault="001619A3" w:rsidP="001619A3">
      <w:pPr>
        <w:spacing w:line="240" w:lineRule="auto"/>
        <w:ind w:firstLine="0"/>
      </w:pPr>
    </w:p>
    <w:p w14:paraId="5029F656" w14:textId="77777777" w:rsidR="005C21FD" w:rsidRPr="0022397B" w:rsidRDefault="005C21FD" w:rsidP="001619A3">
      <w:pPr>
        <w:spacing w:line="240" w:lineRule="auto"/>
        <w:ind w:firstLine="0"/>
      </w:pPr>
      <w:r w:rsidRPr="0022397B">
        <w:t>Otherwise, missing.</w:t>
      </w:r>
    </w:p>
    <w:p w14:paraId="74DC311B" w14:textId="77777777" w:rsidR="005C21FD" w:rsidRPr="0022397B" w:rsidRDefault="005C21FD" w:rsidP="001619A3">
      <w:pPr>
        <w:spacing w:line="240" w:lineRule="auto"/>
        <w:ind w:firstLine="0"/>
        <w:rPr>
          <w:b/>
        </w:rPr>
      </w:pPr>
    </w:p>
    <w:p w14:paraId="3E54E048" w14:textId="77777777" w:rsidR="005C21FD" w:rsidRPr="0022397B" w:rsidRDefault="005C21FD" w:rsidP="001619A3">
      <w:pPr>
        <w:spacing w:line="240" w:lineRule="auto"/>
        <w:ind w:firstLine="0"/>
        <w:rPr>
          <w:b/>
        </w:rPr>
      </w:pPr>
      <w:r w:rsidRPr="0022397B">
        <w:rPr>
          <w:b/>
        </w:rPr>
        <w:t>Ind._Sec_Year</w:t>
      </w:r>
    </w:p>
    <w:p w14:paraId="0B7645F3" w14:textId="77777777" w:rsidR="001619A3" w:rsidRPr="0022397B" w:rsidRDefault="001619A3" w:rsidP="001619A3">
      <w:pPr>
        <w:spacing w:line="240" w:lineRule="auto"/>
        <w:ind w:firstLine="0"/>
        <w:rPr>
          <w:b/>
        </w:rPr>
      </w:pPr>
    </w:p>
    <w:p w14:paraId="592CED37" w14:textId="0733E56D" w:rsidR="005C21FD" w:rsidRPr="0022397B" w:rsidRDefault="005C21FD" w:rsidP="001619A3">
      <w:pPr>
        <w:spacing w:line="240" w:lineRule="auto"/>
        <w:ind w:firstLine="0"/>
      </w:pPr>
      <w:r w:rsidRPr="0022397B">
        <w:t>If member states set up a permanent, formal secretariat with agency, the year is recorded. At this point in time, it is no</w:t>
      </w:r>
      <w:r w:rsidR="00A732C2">
        <w:t xml:space="preserve"> longer considered a ‘pure case’</w:t>
      </w:r>
      <w:r w:rsidRPr="0022397B">
        <w:t xml:space="preserve"> IIGO.</w:t>
      </w:r>
    </w:p>
    <w:p w14:paraId="536635B8" w14:textId="77777777" w:rsidR="001619A3" w:rsidRPr="0022397B" w:rsidRDefault="001619A3" w:rsidP="001619A3">
      <w:pPr>
        <w:spacing w:line="240" w:lineRule="auto"/>
        <w:ind w:firstLine="0"/>
      </w:pPr>
    </w:p>
    <w:p w14:paraId="2B9546A0" w14:textId="77777777" w:rsidR="005C21FD" w:rsidRPr="0022397B" w:rsidRDefault="005C21FD" w:rsidP="001619A3">
      <w:pPr>
        <w:spacing w:line="240" w:lineRule="auto"/>
        <w:ind w:firstLine="0"/>
      </w:pPr>
      <w:r w:rsidRPr="0022397B">
        <w:t>Otherwise, missing.</w:t>
      </w:r>
    </w:p>
    <w:p w14:paraId="18C33454" w14:textId="77777777" w:rsidR="005C21FD" w:rsidRPr="0022397B" w:rsidRDefault="005C21FD" w:rsidP="001619A3">
      <w:pPr>
        <w:spacing w:line="240" w:lineRule="auto"/>
        <w:ind w:firstLine="0"/>
        <w:rPr>
          <w:b/>
        </w:rPr>
      </w:pPr>
    </w:p>
    <w:p w14:paraId="13BB49F1" w14:textId="77777777" w:rsidR="005C21FD" w:rsidRPr="0022397B" w:rsidRDefault="005C21FD" w:rsidP="001619A3">
      <w:pPr>
        <w:spacing w:line="240" w:lineRule="auto"/>
        <w:ind w:firstLine="0"/>
        <w:rPr>
          <w:b/>
        </w:rPr>
      </w:pPr>
      <w:r w:rsidRPr="0022397B">
        <w:rPr>
          <w:b/>
        </w:rPr>
        <w:t>Formal_Treaty_Year</w:t>
      </w:r>
    </w:p>
    <w:p w14:paraId="1327C7C3" w14:textId="77777777" w:rsidR="001619A3" w:rsidRPr="0022397B" w:rsidRDefault="001619A3" w:rsidP="001619A3">
      <w:pPr>
        <w:spacing w:line="240" w:lineRule="auto"/>
        <w:ind w:firstLine="0"/>
      </w:pPr>
    </w:p>
    <w:p w14:paraId="13106AB6" w14:textId="44CA1B3E" w:rsidR="005C21FD" w:rsidRPr="0022397B" w:rsidRDefault="005C21FD" w:rsidP="001619A3">
      <w:pPr>
        <w:spacing w:line="240" w:lineRule="auto"/>
        <w:ind w:firstLine="0"/>
      </w:pPr>
      <w:r w:rsidRPr="0022397B">
        <w:t>If member states sign a legalized treaty, the year the treaty goes into force is recorded. At this point in time</w:t>
      </w:r>
      <w:r w:rsidR="00A732C2">
        <w:t>, it is no longer considered a ‘pure case’</w:t>
      </w:r>
      <w:r w:rsidRPr="0022397B">
        <w:t xml:space="preserve"> IIGO.</w:t>
      </w:r>
    </w:p>
    <w:p w14:paraId="7827373D" w14:textId="77777777" w:rsidR="001619A3" w:rsidRPr="0022397B" w:rsidRDefault="001619A3" w:rsidP="001619A3">
      <w:pPr>
        <w:spacing w:line="240" w:lineRule="auto"/>
        <w:ind w:firstLine="0"/>
      </w:pPr>
    </w:p>
    <w:p w14:paraId="77DA7885" w14:textId="77777777" w:rsidR="005C21FD" w:rsidRPr="0022397B" w:rsidRDefault="005C21FD" w:rsidP="001619A3">
      <w:pPr>
        <w:spacing w:line="240" w:lineRule="auto"/>
        <w:ind w:firstLine="0"/>
      </w:pPr>
      <w:r w:rsidRPr="0022397B">
        <w:t>Otherwise, missing.</w:t>
      </w:r>
    </w:p>
    <w:p w14:paraId="134E6D32" w14:textId="77777777" w:rsidR="005C21FD" w:rsidRPr="0022397B" w:rsidRDefault="005C21FD" w:rsidP="001619A3">
      <w:pPr>
        <w:spacing w:line="240" w:lineRule="auto"/>
        <w:ind w:firstLine="0"/>
        <w:rPr>
          <w:b/>
        </w:rPr>
      </w:pPr>
    </w:p>
    <w:p w14:paraId="42BFD9C7" w14:textId="77777777" w:rsidR="005C21FD" w:rsidRPr="0022397B" w:rsidRDefault="005C21FD" w:rsidP="001619A3">
      <w:pPr>
        <w:spacing w:line="240" w:lineRule="auto"/>
        <w:ind w:firstLine="0"/>
        <w:rPr>
          <w:b/>
        </w:rPr>
      </w:pPr>
      <w:r w:rsidRPr="0022397B">
        <w:rPr>
          <w:b/>
        </w:rPr>
        <w:t>Follow_on_org</w:t>
      </w:r>
    </w:p>
    <w:p w14:paraId="137F103B" w14:textId="77777777" w:rsidR="001619A3" w:rsidRPr="0022397B" w:rsidRDefault="001619A3" w:rsidP="001619A3">
      <w:pPr>
        <w:spacing w:line="240" w:lineRule="auto"/>
        <w:ind w:firstLine="0"/>
      </w:pPr>
    </w:p>
    <w:p w14:paraId="55126D20" w14:textId="77777777" w:rsidR="005C21FD" w:rsidRPr="0022397B" w:rsidRDefault="005C21FD" w:rsidP="001619A3">
      <w:pPr>
        <w:spacing w:line="240" w:lineRule="auto"/>
        <w:ind w:firstLine="0"/>
      </w:pPr>
      <w:r w:rsidRPr="0022397B">
        <w:t xml:space="preserve">If the IIGO is preceded or superseded by another entity, the name is listed here. Otherwise coded as 0. </w:t>
      </w:r>
    </w:p>
    <w:p w14:paraId="10EA639C" w14:textId="77777777" w:rsidR="00C95296" w:rsidRPr="0022397B" w:rsidRDefault="00C95296" w:rsidP="001619A3">
      <w:pPr>
        <w:spacing w:line="240" w:lineRule="auto"/>
        <w:ind w:firstLine="0"/>
      </w:pPr>
    </w:p>
    <w:p w14:paraId="3EF1498E" w14:textId="77777777" w:rsidR="005C21FD" w:rsidRPr="0022397B" w:rsidRDefault="005C21FD" w:rsidP="001619A3">
      <w:pPr>
        <w:spacing w:line="240" w:lineRule="auto"/>
        <w:ind w:firstLine="0"/>
        <w:rPr>
          <w:b/>
        </w:rPr>
      </w:pPr>
    </w:p>
    <w:p w14:paraId="499F99C3" w14:textId="77777777" w:rsidR="005C21FD" w:rsidRPr="0022397B" w:rsidRDefault="005C21FD" w:rsidP="001619A3">
      <w:pPr>
        <w:spacing w:line="240" w:lineRule="auto"/>
        <w:ind w:firstLine="0"/>
        <w:rPr>
          <w:b/>
        </w:rPr>
      </w:pPr>
      <w:r w:rsidRPr="0022397B">
        <w:rPr>
          <w:b/>
        </w:rPr>
        <w:t>Three data files are stored separately as .xls files:</w:t>
      </w:r>
    </w:p>
    <w:p w14:paraId="0C9E5EA9" w14:textId="77777777" w:rsidR="001619A3" w:rsidRPr="0022397B" w:rsidRDefault="001619A3" w:rsidP="001619A3">
      <w:pPr>
        <w:spacing w:line="240" w:lineRule="auto"/>
        <w:ind w:firstLine="0"/>
        <w:rPr>
          <w:b/>
        </w:rPr>
      </w:pPr>
    </w:p>
    <w:p w14:paraId="0ADAAB21" w14:textId="1354BC7D" w:rsidR="005C21FD" w:rsidRPr="0022397B" w:rsidRDefault="005C21FD" w:rsidP="00C95296">
      <w:pPr>
        <w:pStyle w:val="ListParagraph"/>
        <w:numPr>
          <w:ilvl w:val="0"/>
          <w:numId w:val="8"/>
        </w:numPr>
        <w:spacing w:after="240" w:line="240" w:lineRule="auto"/>
        <w:ind w:firstLine="0"/>
        <w:contextualSpacing w:val="0"/>
        <w:rPr>
          <w:rFonts w:ascii="Times New Roman" w:hAnsi="Times New Roman" w:cs="Times New Roman"/>
          <w:b/>
          <w:sz w:val="24"/>
          <w:szCs w:val="24"/>
        </w:rPr>
      </w:pPr>
      <w:r w:rsidRPr="0022397B">
        <w:rPr>
          <w:rFonts w:ascii="Times New Roman" w:hAnsi="Times New Roman" w:cs="Times New Roman"/>
          <w:b/>
          <w:sz w:val="24"/>
          <w:szCs w:val="24"/>
        </w:rPr>
        <w:t xml:space="preserve">Appendix Table </w:t>
      </w:r>
      <w:r w:rsidR="008965CB" w:rsidRPr="0022397B">
        <w:rPr>
          <w:rFonts w:ascii="Times New Roman" w:hAnsi="Times New Roman" w:cs="Times New Roman"/>
          <w:b/>
          <w:sz w:val="24"/>
          <w:szCs w:val="24"/>
        </w:rPr>
        <w:t>I</w:t>
      </w:r>
      <w:r w:rsidRPr="0022397B">
        <w:rPr>
          <w:rFonts w:ascii="Times New Roman" w:hAnsi="Times New Roman" w:cs="Times New Roman"/>
          <w:b/>
          <w:sz w:val="24"/>
          <w:szCs w:val="24"/>
        </w:rPr>
        <w:t>: IIGO 2.0 dataset</w:t>
      </w:r>
    </w:p>
    <w:p w14:paraId="01E3C9F0" w14:textId="70931EE0" w:rsidR="005C21FD" w:rsidRPr="0022397B" w:rsidRDefault="005C21FD" w:rsidP="00C95296">
      <w:pPr>
        <w:pStyle w:val="ListParagraph"/>
        <w:numPr>
          <w:ilvl w:val="0"/>
          <w:numId w:val="8"/>
        </w:numPr>
        <w:spacing w:line="240" w:lineRule="auto"/>
        <w:ind w:firstLine="0"/>
        <w:contextualSpacing w:val="0"/>
        <w:rPr>
          <w:rFonts w:ascii="Times New Roman" w:hAnsi="Times New Roman" w:cs="Times New Roman"/>
          <w:b/>
          <w:sz w:val="24"/>
          <w:szCs w:val="24"/>
        </w:rPr>
      </w:pPr>
      <w:r w:rsidRPr="0022397B">
        <w:rPr>
          <w:rFonts w:ascii="Times New Roman" w:hAnsi="Times New Roman" w:cs="Times New Roman"/>
          <w:b/>
          <w:sz w:val="24"/>
          <w:szCs w:val="24"/>
        </w:rPr>
        <w:t xml:space="preserve">Appendix Table </w:t>
      </w:r>
      <w:r w:rsidR="008965CB" w:rsidRPr="0022397B">
        <w:rPr>
          <w:rFonts w:ascii="Times New Roman" w:hAnsi="Times New Roman" w:cs="Times New Roman"/>
          <w:b/>
          <w:sz w:val="24"/>
          <w:szCs w:val="24"/>
        </w:rPr>
        <w:t>II</w:t>
      </w:r>
      <w:r w:rsidR="00821E47">
        <w:rPr>
          <w:rFonts w:ascii="Times New Roman" w:hAnsi="Times New Roman" w:cs="Times New Roman"/>
          <w:b/>
          <w:sz w:val="24"/>
          <w:szCs w:val="24"/>
        </w:rPr>
        <w:t>: ‘Close Calls’</w:t>
      </w:r>
      <w:r w:rsidRPr="0022397B">
        <w:rPr>
          <w:rFonts w:ascii="Times New Roman" w:hAnsi="Times New Roman" w:cs="Times New Roman"/>
          <w:b/>
          <w:sz w:val="24"/>
          <w:szCs w:val="24"/>
        </w:rPr>
        <w:t xml:space="preserve"> for IIGO 2.0 dataset</w:t>
      </w:r>
    </w:p>
    <w:p w14:paraId="1AC6B177" w14:textId="55036C4A" w:rsidR="005C21FD" w:rsidRPr="0022397B" w:rsidRDefault="00821E47" w:rsidP="00C95296">
      <w:pPr>
        <w:spacing w:line="240" w:lineRule="auto"/>
        <w:ind w:left="1440" w:firstLine="0"/>
      </w:pPr>
      <w:r>
        <w:t>We provide a list of ‘close call’</w:t>
      </w:r>
      <w:r w:rsidR="005C21FD" w:rsidRPr="0022397B">
        <w:t xml:space="preserve"> cases that were considered for inclusion but ultimately rejected.  The list includes the reason we did not include the case but there may be other reasons as well – we stopped the moment we found grounds not to include it. However, the reasons may provide insight to the coding in practice.</w:t>
      </w:r>
    </w:p>
    <w:p w14:paraId="0E7F4ABA" w14:textId="77777777" w:rsidR="001619A3" w:rsidRPr="009D2C24" w:rsidRDefault="001619A3" w:rsidP="001619A3">
      <w:pPr>
        <w:spacing w:line="240" w:lineRule="auto"/>
        <w:ind w:left="1440" w:firstLine="0"/>
        <w:rPr>
          <w:i/>
        </w:rPr>
      </w:pPr>
    </w:p>
    <w:p w14:paraId="5E1FB96F" w14:textId="0B8B8E6E" w:rsidR="005C21FD" w:rsidRPr="0022397B" w:rsidRDefault="005C21FD" w:rsidP="0070162C">
      <w:pPr>
        <w:pStyle w:val="ListParagraph"/>
        <w:numPr>
          <w:ilvl w:val="0"/>
          <w:numId w:val="8"/>
        </w:numPr>
        <w:spacing w:line="240" w:lineRule="auto"/>
        <w:ind w:firstLine="0"/>
      </w:pPr>
      <w:r w:rsidRPr="0070162C">
        <w:rPr>
          <w:rFonts w:ascii="Times New Roman" w:hAnsi="Times New Roman" w:cs="Times New Roman"/>
          <w:b/>
          <w:sz w:val="24"/>
          <w:szCs w:val="24"/>
        </w:rPr>
        <w:t xml:space="preserve">Appendix Table </w:t>
      </w:r>
      <w:r w:rsidR="008965CB" w:rsidRPr="0070162C">
        <w:rPr>
          <w:rFonts w:ascii="Times New Roman" w:hAnsi="Times New Roman" w:cs="Times New Roman"/>
          <w:b/>
          <w:sz w:val="24"/>
          <w:szCs w:val="24"/>
        </w:rPr>
        <w:t>III</w:t>
      </w:r>
      <w:r w:rsidRPr="0070162C">
        <w:rPr>
          <w:rFonts w:ascii="Times New Roman" w:hAnsi="Times New Roman" w:cs="Times New Roman"/>
          <w:b/>
          <w:sz w:val="24"/>
          <w:szCs w:val="24"/>
        </w:rPr>
        <w:t>: IIGO by state 2017 (or end).</w:t>
      </w:r>
    </w:p>
    <w:sectPr w:rsidR="005C21FD" w:rsidRPr="0022397B" w:rsidSect="003313CA">
      <w:headerReference w:type="default" r:id="rId9"/>
      <w:footerReference w:type="default" r:id="rId10"/>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360365" w14:textId="77777777" w:rsidR="009F1587" w:rsidRDefault="009F1587" w:rsidP="005E1489">
      <w:r>
        <w:separator/>
      </w:r>
    </w:p>
  </w:endnote>
  <w:endnote w:type="continuationSeparator" w:id="0">
    <w:p w14:paraId="26CFB995" w14:textId="77777777" w:rsidR="009F1587" w:rsidRDefault="009F1587" w:rsidP="005E1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082DF" w14:textId="79E9C225" w:rsidR="00CB2098" w:rsidRDefault="00CB2098" w:rsidP="005E1489">
    <w:pPr>
      <w:pStyle w:val="Footer"/>
    </w:pPr>
  </w:p>
  <w:p w14:paraId="4905638C" w14:textId="77777777" w:rsidR="00CB2098" w:rsidRDefault="00CB2098" w:rsidP="005E14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DAEC8C" w14:textId="77777777" w:rsidR="009F1587" w:rsidRDefault="009F1587" w:rsidP="005E1489">
      <w:r>
        <w:separator/>
      </w:r>
    </w:p>
  </w:footnote>
  <w:footnote w:type="continuationSeparator" w:id="0">
    <w:p w14:paraId="442BF5AD" w14:textId="77777777" w:rsidR="009F1587" w:rsidRDefault="009F1587" w:rsidP="005E14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6958635"/>
      <w:docPartObj>
        <w:docPartGallery w:val="Page Numbers (Top of Page)"/>
        <w:docPartUnique/>
      </w:docPartObj>
    </w:sdtPr>
    <w:sdtEndPr>
      <w:rPr>
        <w:noProof/>
      </w:rPr>
    </w:sdtEndPr>
    <w:sdtContent>
      <w:p w14:paraId="65C6393F" w14:textId="42D69D5A" w:rsidR="00CB2098" w:rsidRDefault="00CB2098">
        <w:pPr>
          <w:pStyle w:val="Header"/>
          <w:jc w:val="right"/>
        </w:pPr>
        <w:r>
          <w:fldChar w:fldCharType="begin"/>
        </w:r>
        <w:r>
          <w:instrText xml:space="preserve"> PAGE   \* MERGEFORMAT </w:instrText>
        </w:r>
        <w:r>
          <w:fldChar w:fldCharType="separate"/>
        </w:r>
        <w:r w:rsidR="003241CE">
          <w:rPr>
            <w:noProof/>
          </w:rPr>
          <w:t>5</w:t>
        </w:r>
        <w:r>
          <w:rPr>
            <w:noProof/>
          </w:rPr>
          <w:fldChar w:fldCharType="end"/>
        </w:r>
      </w:p>
    </w:sdtContent>
  </w:sdt>
  <w:p w14:paraId="458EA43A" w14:textId="77777777" w:rsidR="00CB2098" w:rsidRDefault="00CB2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57E47"/>
    <w:multiLevelType w:val="hybridMultilevel"/>
    <w:tmpl w:val="F44454B4"/>
    <w:lvl w:ilvl="0" w:tplc="C5A01D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9F03F8"/>
    <w:multiLevelType w:val="hybridMultilevel"/>
    <w:tmpl w:val="988A9340"/>
    <w:lvl w:ilvl="0" w:tplc="41A019A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4F5D9D"/>
    <w:multiLevelType w:val="hybridMultilevel"/>
    <w:tmpl w:val="6EE47844"/>
    <w:lvl w:ilvl="0" w:tplc="5C84B9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D40EEA"/>
    <w:multiLevelType w:val="hybridMultilevel"/>
    <w:tmpl w:val="30323F14"/>
    <w:lvl w:ilvl="0" w:tplc="210E747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9434A0"/>
    <w:multiLevelType w:val="hybridMultilevel"/>
    <w:tmpl w:val="F9FCBCDA"/>
    <w:lvl w:ilvl="0" w:tplc="14F09D3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B17A05"/>
    <w:multiLevelType w:val="hybridMultilevel"/>
    <w:tmpl w:val="C966CA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D30D7E"/>
    <w:multiLevelType w:val="hybridMultilevel"/>
    <w:tmpl w:val="DC38146A"/>
    <w:lvl w:ilvl="0" w:tplc="C21E80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8D7E3E"/>
    <w:multiLevelType w:val="hybridMultilevel"/>
    <w:tmpl w:val="05C48B48"/>
    <w:lvl w:ilvl="0" w:tplc="971EE96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6"/>
  </w:num>
  <w:num w:numId="5">
    <w:abstractNumId w:val="4"/>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CE9"/>
    <w:rsid w:val="00001D76"/>
    <w:rsid w:val="00003CCA"/>
    <w:rsid w:val="00006A11"/>
    <w:rsid w:val="00006E6D"/>
    <w:rsid w:val="0001120F"/>
    <w:rsid w:val="00013761"/>
    <w:rsid w:val="0001606B"/>
    <w:rsid w:val="00017D65"/>
    <w:rsid w:val="000273A2"/>
    <w:rsid w:val="00032B23"/>
    <w:rsid w:val="00037E6E"/>
    <w:rsid w:val="0005282A"/>
    <w:rsid w:val="000538DD"/>
    <w:rsid w:val="00054D7E"/>
    <w:rsid w:val="000603A3"/>
    <w:rsid w:val="00063365"/>
    <w:rsid w:val="00066C04"/>
    <w:rsid w:val="000719CF"/>
    <w:rsid w:val="0007481C"/>
    <w:rsid w:val="00074981"/>
    <w:rsid w:val="00075F3E"/>
    <w:rsid w:val="00077699"/>
    <w:rsid w:val="000806A7"/>
    <w:rsid w:val="00083B7C"/>
    <w:rsid w:val="000844FB"/>
    <w:rsid w:val="000864D2"/>
    <w:rsid w:val="00091997"/>
    <w:rsid w:val="00096A30"/>
    <w:rsid w:val="000A12CE"/>
    <w:rsid w:val="000A29C3"/>
    <w:rsid w:val="000A2E73"/>
    <w:rsid w:val="000A68FB"/>
    <w:rsid w:val="000B13A3"/>
    <w:rsid w:val="000B1D81"/>
    <w:rsid w:val="000B3529"/>
    <w:rsid w:val="000C44CC"/>
    <w:rsid w:val="000C6D41"/>
    <w:rsid w:val="000D3319"/>
    <w:rsid w:val="000D49BB"/>
    <w:rsid w:val="000D6359"/>
    <w:rsid w:val="000D6EC8"/>
    <w:rsid w:val="000D7136"/>
    <w:rsid w:val="000E2308"/>
    <w:rsid w:val="000E7082"/>
    <w:rsid w:val="000F1412"/>
    <w:rsid w:val="000F3E35"/>
    <w:rsid w:val="000F60B0"/>
    <w:rsid w:val="000F6C2E"/>
    <w:rsid w:val="000F7223"/>
    <w:rsid w:val="000F77F4"/>
    <w:rsid w:val="00101253"/>
    <w:rsid w:val="001039C2"/>
    <w:rsid w:val="001118C8"/>
    <w:rsid w:val="001134A3"/>
    <w:rsid w:val="001207C1"/>
    <w:rsid w:val="00120854"/>
    <w:rsid w:val="00122390"/>
    <w:rsid w:val="00122E85"/>
    <w:rsid w:val="00123132"/>
    <w:rsid w:val="0012700C"/>
    <w:rsid w:val="001318DD"/>
    <w:rsid w:val="001426F2"/>
    <w:rsid w:val="00145689"/>
    <w:rsid w:val="001456F3"/>
    <w:rsid w:val="00152200"/>
    <w:rsid w:val="00154CB2"/>
    <w:rsid w:val="00157AF3"/>
    <w:rsid w:val="00160849"/>
    <w:rsid w:val="001619A3"/>
    <w:rsid w:val="001645E5"/>
    <w:rsid w:val="00170E21"/>
    <w:rsid w:val="00172E60"/>
    <w:rsid w:val="00174E45"/>
    <w:rsid w:val="00182A6C"/>
    <w:rsid w:val="00186417"/>
    <w:rsid w:val="001866C0"/>
    <w:rsid w:val="00186E55"/>
    <w:rsid w:val="0018706C"/>
    <w:rsid w:val="001913D9"/>
    <w:rsid w:val="00191D03"/>
    <w:rsid w:val="001934B3"/>
    <w:rsid w:val="00197DC3"/>
    <w:rsid w:val="001A08B0"/>
    <w:rsid w:val="001A0BB6"/>
    <w:rsid w:val="001A2872"/>
    <w:rsid w:val="001A5B05"/>
    <w:rsid w:val="001A6C10"/>
    <w:rsid w:val="001B249F"/>
    <w:rsid w:val="001B5C9F"/>
    <w:rsid w:val="001C1D61"/>
    <w:rsid w:val="001C2E9D"/>
    <w:rsid w:val="001D0EF1"/>
    <w:rsid w:val="001D150E"/>
    <w:rsid w:val="001D16D0"/>
    <w:rsid w:val="001D205F"/>
    <w:rsid w:val="001D5808"/>
    <w:rsid w:val="001D7704"/>
    <w:rsid w:val="001E0E6F"/>
    <w:rsid w:val="001F0FC4"/>
    <w:rsid w:val="00200615"/>
    <w:rsid w:val="0020150D"/>
    <w:rsid w:val="00201A58"/>
    <w:rsid w:val="002044BB"/>
    <w:rsid w:val="002223CB"/>
    <w:rsid w:val="0022397B"/>
    <w:rsid w:val="0022398C"/>
    <w:rsid w:val="00223F0E"/>
    <w:rsid w:val="002331D8"/>
    <w:rsid w:val="0024204D"/>
    <w:rsid w:val="00242CEC"/>
    <w:rsid w:val="00256F06"/>
    <w:rsid w:val="002627F6"/>
    <w:rsid w:val="002628B4"/>
    <w:rsid w:val="002654B0"/>
    <w:rsid w:val="002656FF"/>
    <w:rsid w:val="00277E59"/>
    <w:rsid w:val="00280D28"/>
    <w:rsid w:val="002813AA"/>
    <w:rsid w:val="002845A9"/>
    <w:rsid w:val="00284AAD"/>
    <w:rsid w:val="00290B2C"/>
    <w:rsid w:val="002929A8"/>
    <w:rsid w:val="002971C7"/>
    <w:rsid w:val="002A233D"/>
    <w:rsid w:val="002A2F4D"/>
    <w:rsid w:val="002A5EF6"/>
    <w:rsid w:val="002A60F6"/>
    <w:rsid w:val="002A64D9"/>
    <w:rsid w:val="002B274F"/>
    <w:rsid w:val="002B62F6"/>
    <w:rsid w:val="002B6CBC"/>
    <w:rsid w:val="002D208D"/>
    <w:rsid w:val="002D255C"/>
    <w:rsid w:val="002D2E25"/>
    <w:rsid w:val="002E0850"/>
    <w:rsid w:val="002E0CA0"/>
    <w:rsid w:val="002E2E93"/>
    <w:rsid w:val="002F2031"/>
    <w:rsid w:val="002F2943"/>
    <w:rsid w:val="002F58FA"/>
    <w:rsid w:val="002F6D05"/>
    <w:rsid w:val="00300E78"/>
    <w:rsid w:val="003020A8"/>
    <w:rsid w:val="003020E1"/>
    <w:rsid w:val="00306966"/>
    <w:rsid w:val="00310566"/>
    <w:rsid w:val="003241CE"/>
    <w:rsid w:val="003313CA"/>
    <w:rsid w:val="003367C5"/>
    <w:rsid w:val="00336ED7"/>
    <w:rsid w:val="00340C03"/>
    <w:rsid w:val="00340E23"/>
    <w:rsid w:val="003417DB"/>
    <w:rsid w:val="00344266"/>
    <w:rsid w:val="00345CEB"/>
    <w:rsid w:val="00347210"/>
    <w:rsid w:val="00350671"/>
    <w:rsid w:val="0035270E"/>
    <w:rsid w:val="003535B7"/>
    <w:rsid w:val="00354B52"/>
    <w:rsid w:val="00355179"/>
    <w:rsid w:val="00360D15"/>
    <w:rsid w:val="003617DA"/>
    <w:rsid w:val="00362584"/>
    <w:rsid w:val="0036545B"/>
    <w:rsid w:val="00367BC9"/>
    <w:rsid w:val="00367E02"/>
    <w:rsid w:val="00370E8D"/>
    <w:rsid w:val="00375A28"/>
    <w:rsid w:val="003808AA"/>
    <w:rsid w:val="003835C0"/>
    <w:rsid w:val="00384465"/>
    <w:rsid w:val="00384A0F"/>
    <w:rsid w:val="003911E8"/>
    <w:rsid w:val="00392CF1"/>
    <w:rsid w:val="0039738E"/>
    <w:rsid w:val="003A0C9D"/>
    <w:rsid w:val="003A4E23"/>
    <w:rsid w:val="003A55F7"/>
    <w:rsid w:val="003A62C0"/>
    <w:rsid w:val="003A674B"/>
    <w:rsid w:val="003B0F31"/>
    <w:rsid w:val="003B21B4"/>
    <w:rsid w:val="003B313C"/>
    <w:rsid w:val="003B31BF"/>
    <w:rsid w:val="003B45D5"/>
    <w:rsid w:val="003C6900"/>
    <w:rsid w:val="003D1502"/>
    <w:rsid w:val="003D20DD"/>
    <w:rsid w:val="003D3067"/>
    <w:rsid w:val="003D3157"/>
    <w:rsid w:val="003E0228"/>
    <w:rsid w:val="003E0D31"/>
    <w:rsid w:val="003E5791"/>
    <w:rsid w:val="003E5EF7"/>
    <w:rsid w:val="003E63B2"/>
    <w:rsid w:val="003F1BC2"/>
    <w:rsid w:val="003F3774"/>
    <w:rsid w:val="003F4047"/>
    <w:rsid w:val="003F52EC"/>
    <w:rsid w:val="003F7878"/>
    <w:rsid w:val="003F7ED6"/>
    <w:rsid w:val="00400921"/>
    <w:rsid w:val="004014E9"/>
    <w:rsid w:val="00401538"/>
    <w:rsid w:val="00401CE2"/>
    <w:rsid w:val="00405C83"/>
    <w:rsid w:val="00416D68"/>
    <w:rsid w:val="004203C4"/>
    <w:rsid w:val="0042124D"/>
    <w:rsid w:val="004239FA"/>
    <w:rsid w:val="00427DC2"/>
    <w:rsid w:val="00434932"/>
    <w:rsid w:val="00436098"/>
    <w:rsid w:val="00437978"/>
    <w:rsid w:val="0044446A"/>
    <w:rsid w:val="00445ACA"/>
    <w:rsid w:val="00454973"/>
    <w:rsid w:val="004673DF"/>
    <w:rsid w:val="004713D3"/>
    <w:rsid w:val="004745D5"/>
    <w:rsid w:val="00475D55"/>
    <w:rsid w:val="00476550"/>
    <w:rsid w:val="00483190"/>
    <w:rsid w:val="00483E8A"/>
    <w:rsid w:val="004853E3"/>
    <w:rsid w:val="00485498"/>
    <w:rsid w:val="00490831"/>
    <w:rsid w:val="004A1677"/>
    <w:rsid w:val="004A4C10"/>
    <w:rsid w:val="004A6DA2"/>
    <w:rsid w:val="004B15F7"/>
    <w:rsid w:val="004B5043"/>
    <w:rsid w:val="004B5978"/>
    <w:rsid w:val="004C6C4B"/>
    <w:rsid w:val="004D1D5B"/>
    <w:rsid w:val="004D24C5"/>
    <w:rsid w:val="004D3F98"/>
    <w:rsid w:val="004D56C5"/>
    <w:rsid w:val="004D7F7C"/>
    <w:rsid w:val="004E06EA"/>
    <w:rsid w:val="004E0B54"/>
    <w:rsid w:val="004E25D7"/>
    <w:rsid w:val="004E2DFA"/>
    <w:rsid w:val="004E7605"/>
    <w:rsid w:val="004E77D5"/>
    <w:rsid w:val="004F1468"/>
    <w:rsid w:val="004F271C"/>
    <w:rsid w:val="004F55A4"/>
    <w:rsid w:val="00500718"/>
    <w:rsid w:val="00501E3C"/>
    <w:rsid w:val="00505855"/>
    <w:rsid w:val="0050766B"/>
    <w:rsid w:val="005079AC"/>
    <w:rsid w:val="00511AE3"/>
    <w:rsid w:val="00515674"/>
    <w:rsid w:val="00515FA1"/>
    <w:rsid w:val="005217C8"/>
    <w:rsid w:val="0052197F"/>
    <w:rsid w:val="00522526"/>
    <w:rsid w:val="005237DE"/>
    <w:rsid w:val="00531D5E"/>
    <w:rsid w:val="005321D4"/>
    <w:rsid w:val="005349AF"/>
    <w:rsid w:val="00535C6B"/>
    <w:rsid w:val="0054145B"/>
    <w:rsid w:val="005417FE"/>
    <w:rsid w:val="00542A00"/>
    <w:rsid w:val="005467D8"/>
    <w:rsid w:val="00547295"/>
    <w:rsid w:val="00547337"/>
    <w:rsid w:val="0055101B"/>
    <w:rsid w:val="005523E4"/>
    <w:rsid w:val="00553F10"/>
    <w:rsid w:val="00561F4C"/>
    <w:rsid w:val="00566357"/>
    <w:rsid w:val="00567BAA"/>
    <w:rsid w:val="005712A4"/>
    <w:rsid w:val="00571914"/>
    <w:rsid w:val="00571C7B"/>
    <w:rsid w:val="00573046"/>
    <w:rsid w:val="00576D4B"/>
    <w:rsid w:val="00584088"/>
    <w:rsid w:val="005902F6"/>
    <w:rsid w:val="00593160"/>
    <w:rsid w:val="00594513"/>
    <w:rsid w:val="0059459A"/>
    <w:rsid w:val="0059501F"/>
    <w:rsid w:val="005A0245"/>
    <w:rsid w:val="005A03BA"/>
    <w:rsid w:val="005A0B5B"/>
    <w:rsid w:val="005A551C"/>
    <w:rsid w:val="005A6E14"/>
    <w:rsid w:val="005B0662"/>
    <w:rsid w:val="005B35B7"/>
    <w:rsid w:val="005B57DB"/>
    <w:rsid w:val="005C008E"/>
    <w:rsid w:val="005C1622"/>
    <w:rsid w:val="005C21FD"/>
    <w:rsid w:val="005C2886"/>
    <w:rsid w:val="005C29F8"/>
    <w:rsid w:val="005C75E3"/>
    <w:rsid w:val="005D0E47"/>
    <w:rsid w:val="005D2661"/>
    <w:rsid w:val="005D313C"/>
    <w:rsid w:val="005E1489"/>
    <w:rsid w:val="005E438C"/>
    <w:rsid w:val="005E7E40"/>
    <w:rsid w:val="005F1634"/>
    <w:rsid w:val="005F1CCC"/>
    <w:rsid w:val="005F5452"/>
    <w:rsid w:val="005F5B6F"/>
    <w:rsid w:val="006008AE"/>
    <w:rsid w:val="00611CD1"/>
    <w:rsid w:val="006172E8"/>
    <w:rsid w:val="00617584"/>
    <w:rsid w:val="00621676"/>
    <w:rsid w:val="006218D2"/>
    <w:rsid w:val="00634482"/>
    <w:rsid w:val="00635FC2"/>
    <w:rsid w:val="0063647E"/>
    <w:rsid w:val="0063782F"/>
    <w:rsid w:val="00640186"/>
    <w:rsid w:val="006409C9"/>
    <w:rsid w:val="006413CB"/>
    <w:rsid w:val="00641BDF"/>
    <w:rsid w:val="00641BE2"/>
    <w:rsid w:val="00647EE9"/>
    <w:rsid w:val="00650F71"/>
    <w:rsid w:val="00653852"/>
    <w:rsid w:val="006643D5"/>
    <w:rsid w:val="006656D3"/>
    <w:rsid w:val="006738AA"/>
    <w:rsid w:val="006746D2"/>
    <w:rsid w:val="00674F92"/>
    <w:rsid w:val="00681C58"/>
    <w:rsid w:val="006836F9"/>
    <w:rsid w:val="0068482B"/>
    <w:rsid w:val="00685E38"/>
    <w:rsid w:val="006868A8"/>
    <w:rsid w:val="00686DAE"/>
    <w:rsid w:val="006879CC"/>
    <w:rsid w:val="00687BB4"/>
    <w:rsid w:val="0069045F"/>
    <w:rsid w:val="00690BBA"/>
    <w:rsid w:val="00694BDA"/>
    <w:rsid w:val="00697FCC"/>
    <w:rsid w:val="006A1FDE"/>
    <w:rsid w:val="006B1596"/>
    <w:rsid w:val="006B1D16"/>
    <w:rsid w:val="006B5378"/>
    <w:rsid w:val="006B5982"/>
    <w:rsid w:val="006C1218"/>
    <w:rsid w:val="006C1BC5"/>
    <w:rsid w:val="006C3194"/>
    <w:rsid w:val="006D3325"/>
    <w:rsid w:val="006D4086"/>
    <w:rsid w:val="006E2D26"/>
    <w:rsid w:val="006E5121"/>
    <w:rsid w:val="006E5438"/>
    <w:rsid w:val="006F0EDC"/>
    <w:rsid w:val="006F33C9"/>
    <w:rsid w:val="006F3F96"/>
    <w:rsid w:val="006F4E5E"/>
    <w:rsid w:val="006F5F7C"/>
    <w:rsid w:val="0070162C"/>
    <w:rsid w:val="007040DE"/>
    <w:rsid w:val="00712614"/>
    <w:rsid w:val="00713C50"/>
    <w:rsid w:val="00713DBC"/>
    <w:rsid w:val="00714343"/>
    <w:rsid w:val="00714DA5"/>
    <w:rsid w:val="007206DA"/>
    <w:rsid w:val="00727BB3"/>
    <w:rsid w:val="00735AD0"/>
    <w:rsid w:val="00740CE9"/>
    <w:rsid w:val="00741EE5"/>
    <w:rsid w:val="00742B72"/>
    <w:rsid w:val="00752DE5"/>
    <w:rsid w:val="007561E3"/>
    <w:rsid w:val="00756581"/>
    <w:rsid w:val="007604AD"/>
    <w:rsid w:val="00762254"/>
    <w:rsid w:val="0076282B"/>
    <w:rsid w:val="007639D6"/>
    <w:rsid w:val="0076400D"/>
    <w:rsid w:val="0076708F"/>
    <w:rsid w:val="0078305B"/>
    <w:rsid w:val="0078307B"/>
    <w:rsid w:val="00783AC3"/>
    <w:rsid w:val="007855ED"/>
    <w:rsid w:val="007858CD"/>
    <w:rsid w:val="00786178"/>
    <w:rsid w:val="00791C28"/>
    <w:rsid w:val="00794B94"/>
    <w:rsid w:val="007A03EF"/>
    <w:rsid w:val="007A1F73"/>
    <w:rsid w:val="007A3833"/>
    <w:rsid w:val="007A60F1"/>
    <w:rsid w:val="007A6958"/>
    <w:rsid w:val="007B3569"/>
    <w:rsid w:val="007B7408"/>
    <w:rsid w:val="007C302A"/>
    <w:rsid w:val="007C420E"/>
    <w:rsid w:val="007C4DD8"/>
    <w:rsid w:val="007D2E01"/>
    <w:rsid w:val="007D3812"/>
    <w:rsid w:val="007D3C3E"/>
    <w:rsid w:val="007E3CB6"/>
    <w:rsid w:val="007E3F29"/>
    <w:rsid w:val="007E4ABB"/>
    <w:rsid w:val="007E7A58"/>
    <w:rsid w:val="007F5AD1"/>
    <w:rsid w:val="00801012"/>
    <w:rsid w:val="00801E00"/>
    <w:rsid w:val="00804FDC"/>
    <w:rsid w:val="008059F4"/>
    <w:rsid w:val="00805C17"/>
    <w:rsid w:val="00807D77"/>
    <w:rsid w:val="00814AF7"/>
    <w:rsid w:val="00821E47"/>
    <w:rsid w:val="00826720"/>
    <w:rsid w:val="00831644"/>
    <w:rsid w:val="00831F72"/>
    <w:rsid w:val="0083740C"/>
    <w:rsid w:val="00837B26"/>
    <w:rsid w:val="008430CE"/>
    <w:rsid w:val="00844AAA"/>
    <w:rsid w:val="00844F07"/>
    <w:rsid w:val="00845FE8"/>
    <w:rsid w:val="0085049F"/>
    <w:rsid w:val="00853DE7"/>
    <w:rsid w:val="00854576"/>
    <w:rsid w:val="00870FFE"/>
    <w:rsid w:val="00872FB9"/>
    <w:rsid w:val="008732F6"/>
    <w:rsid w:val="00875EBB"/>
    <w:rsid w:val="0087733B"/>
    <w:rsid w:val="00880F12"/>
    <w:rsid w:val="0088645D"/>
    <w:rsid w:val="008933F5"/>
    <w:rsid w:val="008965CB"/>
    <w:rsid w:val="00897626"/>
    <w:rsid w:val="008A42A4"/>
    <w:rsid w:val="008B0200"/>
    <w:rsid w:val="008B18B8"/>
    <w:rsid w:val="008B34B8"/>
    <w:rsid w:val="008B72A3"/>
    <w:rsid w:val="008C23E5"/>
    <w:rsid w:val="008C2FD5"/>
    <w:rsid w:val="008C5E36"/>
    <w:rsid w:val="008C74AF"/>
    <w:rsid w:val="008D3356"/>
    <w:rsid w:val="008D68F6"/>
    <w:rsid w:val="008D71D3"/>
    <w:rsid w:val="008E0BE2"/>
    <w:rsid w:val="008E6A40"/>
    <w:rsid w:val="008E7201"/>
    <w:rsid w:val="008E7CB7"/>
    <w:rsid w:val="008F64B0"/>
    <w:rsid w:val="008F6C5E"/>
    <w:rsid w:val="008F7AE1"/>
    <w:rsid w:val="00902EF3"/>
    <w:rsid w:val="00904245"/>
    <w:rsid w:val="009044A4"/>
    <w:rsid w:val="00910453"/>
    <w:rsid w:val="00917108"/>
    <w:rsid w:val="00922C7F"/>
    <w:rsid w:val="00931062"/>
    <w:rsid w:val="0093264D"/>
    <w:rsid w:val="009347AC"/>
    <w:rsid w:val="009428A8"/>
    <w:rsid w:val="009456FF"/>
    <w:rsid w:val="00951404"/>
    <w:rsid w:val="00954FBF"/>
    <w:rsid w:val="0095641D"/>
    <w:rsid w:val="00956B6B"/>
    <w:rsid w:val="00966E8D"/>
    <w:rsid w:val="00970505"/>
    <w:rsid w:val="00970BC8"/>
    <w:rsid w:val="00974216"/>
    <w:rsid w:val="0098330B"/>
    <w:rsid w:val="00984538"/>
    <w:rsid w:val="00992472"/>
    <w:rsid w:val="00993E94"/>
    <w:rsid w:val="00993F74"/>
    <w:rsid w:val="009941D5"/>
    <w:rsid w:val="00996D89"/>
    <w:rsid w:val="009A0AA3"/>
    <w:rsid w:val="009A0E26"/>
    <w:rsid w:val="009A0EA7"/>
    <w:rsid w:val="009A3631"/>
    <w:rsid w:val="009A4B3F"/>
    <w:rsid w:val="009A6EDE"/>
    <w:rsid w:val="009B1657"/>
    <w:rsid w:val="009C02B9"/>
    <w:rsid w:val="009C1148"/>
    <w:rsid w:val="009C158B"/>
    <w:rsid w:val="009C2FD3"/>
    <w:rsid w:val="009C5FF0"/>
    <w:rsid w:val="009D1012"/>
    <w:rsid w:val="009D2C24"/>
    <w:rsid w:val="009D3872"/>
    <w:rsid w:val="009E2791"/>
    <w:rsid w:val="009E3692"/>
    <w:rsid w:val="009E42D1"/>
    <w:rsid w:val="009F0ACE"/>
    <w:rsid w:val="009F1587"/>
    <w:rsid w:val="009F3880"/>
    <w:rsid w:val="009F4CE2"/>
    <w:rsid w:val="009F666A"/>
    <w:rsid w:val="00A01026"/>
    <w:rsid w:val="00A1058D"/>
    <w:rsid w:val="00A12755"/>
    <w:rsid w:val="00A13110"/>
    <w:rsid w:val="00A136F7"/>
    <w:rsid w:val="00A35F3B"/>
    <w:rsid w:val="00A37421"/>
    <w:rsid w:val="00A37A80"/>
    <w:rsid w:val="00A415C2"/>
    <w:rsid w:val="00A47A0B"/>
    <w:rsid w:val="00A51C36"/>
    <w:rsid w:val="00A53FA5"/>
    <w:rsid w:val="00A55DC1"/>
    <w:rsid w:val="00A56AB2"/>
    <w:rsid w:val="00A60DBA"/>
    <w:rsid w:val="00A637CA"/>
    <w:rsid w:val="00A63CB2"/>
    <w:rsid w:val="00A6695E"/>
    <w:rsid w:val="00A70B30"/>
    <w:rsid w:val="00A70D98"/>
    <w:rsid w:val="00A732C2"/>
    <w:rsid w:val="00A75F25"/>
    <w:rsid w:val="00A76AF7"/>
    <w:rsid w:val="00A806DA"/>
    <w:rsid w:val="00A819C5"/>
    <w:rsid w:val="00A869D1"/>
    <w:rsid w:val="00A90FB5"/>
    <w:rsid w:val="00A91C4E"/>
    <w:rsid w:val="00A92233"/>
    <w:rsid w:val="00A9340C"/>
    <w:rsid w:val="00A9469C"/>
    <w:rsid w:val="00A960E5"/>
    <w:rsid w:val="00A969DB"/>
    <w:rsid w:val="00A977EA"/>
    <w:rsid w:val="00AA0BB7"/>
    <w:rsid w:val="00AA13F0"/>
    <w:rsid w:val="00AA20DE"/>
    <w:rsid w:val="00AA3A28"/>
    <w:rsid w:val="00AB6396"/>
    <w:rsid w:val="00AB6714"/>
    <w:rsid w:val="00AC46C7"/>
    <w:rsid w:val="00AC47E3"/>
    <w:rsid w:val="00AC4A08"/>
    <w:rsid w:val="00AC6275"/>
    <w:rsid w:val="00AD7923"/>
    <w:rsid w:val="00AD7F11"/>
    <w:rsid w:val="00AE0B5A"/>
    <w:rsid w:val="00AE0FED"/>
    <w:rsid w:val="00AE1A10"/>
    <w:rsid w:val="00AE36C4"/>
    <w:rsid w:val="00AE50C3"/>
    <w:rsid w:val="00AF066E"/>
    <w:rsid w:val="00AF1B87"/>
    <w:rsid w:val="00AF3C42"/>
    <w:rsid w:val="00AF74CD"/>
    <w:rsid w:val="00AF7B24"/>
    <w:rsid w:val="00B0515D"/>
    <w:rsid w:val="00B062A0"/>
    <w:rsid w:val="00B064AF"/>
    <w:rsid w:val="00B07DAA"/>
    <w:rsid w:val="00B23C75"/>
    <w:rsid w:val="00B278E3"/>
    <w:rsid w:val="00B27E47"/>
    <w:rsid w:val="00B30900"/>
    <w:rsid w:val="00B310D5"/>
    <w:rsid w:val="00B3372A"/>
    <w:rsid w:val="00B3465C"/>
    <w:rsid w:val="00B35B46"/>
    <w:rsid w:val="00B37185"/>
    <w:rsid w:val="00B40624"/>
    <w:rsid w:val="00B46817"/>
    <w:rsid w:val="00B47156"/>
    <w:rsid w:val="00B50A37"/>
    <w:rsid w:val="00B52642"/>
    <w:rsid w:val="00B52F9A"/>
    <w:rsid w:val="00B5305F"/>
    <w:rsid w:val="00B55573"/>
    <w:rsid w:val="00B563CA"/>
    <w:rsid w:val="00B57F74"/>
    <w:rsid w:val="00B606CC"/>
    <w:rsid w:val="00B60A6F"/>
    <w:rsid w:val="00B66546"/>
    <w:rsid w:val="00B6765D"/>
    <w:rsid w:val="00B741E6"/>
    <w:rsid w:val="00B83D41"/>
    <w:rsid w:val="00B846FA"/>
    <w:rsid w:val="00B902B6"/>
    <w:rsid w:val="00B9061F"/>
    <w:rsid w:val="00B91452"/>
    <w:rsid w:val="00B92006"/>
    <w:rsid w:val="00B9344D"/>
    <w:rsid w:val="00B93E4C"/>
    <w:rsid w:val="00B96D9C"/>
    <w:rsid w:val="00BA02E0"/>
    <w:rsid w:val="00BA1A3F"/>
    <w:rsid w:val="00BA1EA8"/>
    <w:rsid w:val="00BA2324"/>
    <w:rsid w:val="00BA553D"/>
    <w:rsid w:val="00BA747A"/>
    <w:rsid w:val="00BB0462"/>
    <w:rsid w:val="00BB06C7"/>
    <w:rsid w:val="00BB30E9"/>
    <w:rsid w:val="00BB389B"/>
    <w:rsid w:val="00BB49E5"/>
    <w:rsid w:val="00BB5DC2"/>
    <w:rsid w:val="00BB7D93"/>
    <w:rsid w:val="00BB7F08"/>
    <w:rsid w:val="00BC19AA"/>
    <w:rsid w:val="00BC23C7"/>
    <w:rsid w:val="00BD0B44"/>
    <w:rsid w:val="00BD1E2A"/>
    <w:rsid w:val="00BD5FE2"/>
    <w:rsid w:val="00BF2B39"/>
    <w:rsid w:val="00BF2B80"/>
    <w:rsid w:val="00BF3109"/>
    <w:rsid w:val="00C02A69"/>
    <w:rsid w:val="00C04CB7"/>
    <w:rsid w:val="00C0667E"/>
    <w:rsid w:val="00C074AE"/>
    <w:rsid w:val="00C10780"/>
    <w:rsid w:val="00C17E04"/>
    <w:rsid w:val="00C262C6"/>
    <w:rsid w:val="00C31541"/>
    <w:rsid w:val="00C36968"/>
    <w:rsid w:val="00C36FDA"/>
    <w:rsid w:val="00C379C1"/>
    <w:rsid w:val="00C52CE3"/>
    <w:rsid w:val="00C54124"/>
    <w:rsid w:val="00C55C01"/>
    <w:rsid w:val="00C57466"/>
    <w:rsid w:val="00C63CA6"/>
    <w:rsid w:val="00C65500"/>
    <w:rsid w:val="00C7169C"/>
    <w:rsid w:val="00C71ADA"/>
    <w:rsid w:val="00C75312"/>
    <w:rsid w:val="00C779D5"/>
    <w:rsid w:val="00C913AC"/>
    <w:rsid w:val="00C95296"/>
    <w:rsid w:val="00C96F88"/>
    <w:rsid w:val="00CA72A2"/>
    <w:rsid w:val="00CA7F2B"/>
    <w:rsid w:val="00CB2098"/>
    <w:rsid w:val="00CB2C64"/>
    <w:rsid w:val="00CB4E9E"/>
    <w:rsid w:val="00CB6D42"/>
    <w:rsid w:val="00CB72E3"/>
    <w:rsid w:val="00CC1265"/>
    <w:rsid w:val="00CD202E"/>
    <w:rsid w:val="00CD4BAE"/>
    <w:rsid w:val="00CD62AD"/>
    <w:rsid w:val="00CE00BF"/>
    <w:rsid w:val="00CE1B09"/>
    <w:rsid w:val="00CE2808"/>
    <w:rsid w:val="00CE77FF"/>
    <w:rsid w:val="00CE7B64"/>
    <w:rsid w:val="00CF0FA7"/>
    <w:rsid w:val="00CF1D03"/>
    <w:rsid w:val="00CF2F30"/>
    <w:rsid w:val="00CF3C60"/>
    <w:rsid w:val="00CF5A3E"/>
    <w:rsid w:val="00D019B9"/>
    <w:rsid w:val="00D055A6"/>
    <w:rsid w:val="00D12008"/>
    <w:rsid w:val="00D13F74"/>
    <w:rsid w:val="00D22EF1"/>
    <w:rsid w:val="00D25C23"/>
    <w:rsid w:val="00D45A20"/>
    <w:rsid w:val="00D47922"/>
    <w:rsid w:val="00D50397"/>
    <w:rsid w:val="00D50612"/>
    <w:rsid w:val="00D5177C"/>
    <w:rsid w:val="00D51B6C"/>
    <w:rsid w:val="00D51C50"/>
    <w:rsid w:val="00D56758"/>
    <w:rsid w:val="00D57F11"/>
    <w:rsid w:val="00D623A3"/>
    <w:rsid w:val="00D62CF0"/>
    <w:rsid w:val="00D702F0"/>
    <w:rsid w:val="00D714A0"/>
    <w:rsid w:val="00D745FC"/>
    <w:rsid w:val="00D83C95"/>
    <w:rsid w:val="00D852EA"/>
    <w:rsid w:val="00D86534"/>
    <w:rsid w:val="00D9131B"/>
    <w:rsid w:val="00D95C05"/>
    <w:rsid w:val="00D97140"/>
    <w:rsid w:val="00DB029E"/>
    <w:rsid w:val="00DB32D7"/>
    <w:rsid w:val="00DC00F0"/>
    <w:rsid w:val="00DC2032"/>
    <w:rsid w:val="00DC2085"/>
    <w:rsid w:val="00DC433E"/>
    <w:rsid w:val="00DD12B1"/>
    <w:rsid w:val="00DD582D"/>
    <w:rsid w:val="00DD6141"/>
    <w:rsid w:val="00DE2892"/>
    <w:rsid w:val="00DF0D70"/>
    <w:rsid w:val="00DF5EA3"/>
    <w:rsid w:val="00DF6708"/>
    <w:rsid w:val="00DF7839"/>
    <w:rsid w:val="00E05FB2"/>
    <w:rsid w:val="00E074F6"/>
    <w:rsid w:val="00E14556"/>
    <w:rsid w:val="00E15334"/>
    <w:rsid w:val="00E160B4"/>
    <w:rsid w:val="00E26DE5"/>
    <w:rsid w:val="00E30784"/>
    <w:rsid w:val="00E30D61"/>
    <w:rsid w:val="00E313F7"/>
    <w:rsid w:val="00E316E5"/>
    <w:rsid w:val="00E31B7E"/>
    <w:rsid w:val="00E344FD"/>
    <w:rsid w:val="00E35DC9"/>
    <w:rsid w:val="00E36F74"/>
    <w:rsid w:val="00E476AA"/>
    <w:rsid w:val="00E63D46"/>
    <w:rsid w:val="00E71083"/>
    <w:rsid w:val="00E75B32"/>
    <w:rsid w:val="00E75BCA"/>
    <w:rsid w:val="00E810D6"/>
    <w:rsid w:val="00E814C3"/>
    <w:rsid w:val="00E87CFC"/>
    <w:rsid w:val="00E91B1F"/>
    <w:rsid w:val="00E946FC"/>
    <w:rsid w:val="00E96CE9"/>
    <w:rsid w:val="00E971CC"/>
    <w:rsid w:val="00EA16EE"/>
    <w:rsid w:val="00EA18CF"/>
    <w:rsid w:val="00EA2802"/>
    <w:rsid w:val="00EA5E30"/>
    <w:rsid w:val="00EA736F"/>
    <w:rsid w:val="00EC0354"/>
    <w:rsid w:val="00EC0E20"/>
    <w:rsid w:val="00EC1835"/>
    <w:rsid w:val="00EC2718"/>
    <w:rsid w:val="00EC6750"/>
    <w:rsid w:val="00EC6BCC"/>
    <w:rsid w:val="00ED20A6"/>
    <w:rsid w:val="00ED216A"/>
    <w:rsid w:val="00ED648B"/>
    <w:rsid w:val="00EE10A8"/>
    <w:rsid w:val="00EE6A93"/>
    <w:rsid w:val="00EE739C"/>
    <w:rsid w:val="00EF2ED1"/>
    <w:rsid w:val="00EF6025"/>
    <w:rsid w:val="00F03A94"/>
    <w:rsid w:val="00F11B37"/>
    <w:rsid w:val="00F20F5E"/>
    <w:rsid w:val="00F2342A"/>
    <w:rsid w:val="00F33609"/>
    <w:rsid w:val="00F33C9A"/>
    <w:rsid w:val="00F3636F"/>
    <w:rsid w:val="00F429D2"/>
    <w:rsid w:val="00F43A4B"/>
    <w:rsid w:val="00F45CD6"/>
    <w:rsid w:val="00F51A83"/>
    <w:rsid w:val="00F53F0C"/>
    <w:rsid w:val="00F5607E"/>
    <w:rsid w:val="00F56C1A"/>
    <w:rsid w:val="00F6049A"/>
    <w:rsid w:val="00F608DD"/>
    <w:rsid w:val="00F633D7"/>
    <w:rsid w:val="00F65A41"/>
    <w:rsid w:val="00F66BAB"/>
    <w:rsid w:val="00F70532"/>
    <w:rsid w:val="00F7223D"/>
    <w:rsid w:val="00F72294"/>
    <w:rsid w:val="00F74207"/>
    <w:rsid w:val="00F770A3"/>
    <w:rsid w:val="00F83731"/>
    <w:rsid w:val="00F8602E"/>
    <w:rsid w:val="00F86890"/>
    <w:rsid w:val="00F86C01"/>
    <w:rsid w:val="00F87049"/>
    <w:rsid w:val="00F939EC"/>
    <w:rsid w:val="00F943A8"/>
    <w:rsid w:val="00FA5801"/>
    <w:rsid w:val="00FA6F59"/>
    <w:rsid w:val="00FB1095"/>
    <w:rsid w:val="00FB27B2"/>
    <w:rsid w:val="00FB76EC"/>
    <w:rsid w:val="00FC2D1A"/>
    <w:rsid w:val="00FC47EF"/>
    <w:rsid w:val="00FD0563"/>
    <w:rsid w:val="00FD2BDF"/>
    <w:rsid w:val="00FD43E1"/>
    <w:rsid w:val="00FE21F9"/>
    <w:rsid w:val="00FE7EF2"/>
    <w:rsid w:val="00FF1AB6"/>
    <w:rsid w:val="00FF28F1"/>
    <w:rsid w:val="00FF3641"/>
    <w:rsid w:val="00FF3D35"/>
    <w:rsid w:val="00FF4E26"/>
    <w:rsid w:val="00FF559C"/>
    <w:rsid w:val="00FF6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1002F"/>
  <w15:chartTrackingRefBased/>
  <w15:docId w15:val="{6D479DC0-8E53-440A-9A12-6789E9DDC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489"/>
    <w:pPr>
      <w:spacing w:after="0" w:line="480" w:lineRule="auto"/>
      <w:ind w:firstLine="540"/>
    </w:pPr>
    <w:rPr>
      <w:rFonts w:ascii="Times New Roman" w:hAnsi="Times New Roman" w:cs="Times New Roman"/>
      <w:sz w:val="24"/>
      <w:szCs w:val="24"/>
    </w:rPr>
  </w:style>
  <w:style w:type="paragraph" w:styleId="Heading3">
    <w:name w:val="heading 3"/>
    <w:basedOn w:val="Normal"/>
    <w:next w:val="Normal"/>
    <w:link w:val="Heading3Char"/>
    <w:uiPriority w:val="9"/>
    <w:qFormat/>
    <w:rsid w:val="006738AA"/>
    <w:pPr>
      <w:keepNext/>
      <w:keepLines/>
      <w:spacing w:before="240" w:after="180" w:line="240" w:lineRule="auto"/>
      <w:ind w:firstLine="0"/>
      <w:jc w:val="both"/>
      <w:outlineLvl w:val="2"/>
    </w:pPr>
    <w:rPr>
      <w:rFonts w:eastAsia="Times New Roman"/>
      <w:b/>
      <w:i/>
      <w:color w:val="000000" w:themeColor="text1"/>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75B32"/>
    <w:pPr>
      <w:spacing w:line="240" w:lineRule="auto"/>
    </w:pPr>
    <w:rPr>
      <w:sz w:val="20"/>
      <w:szCs w:val="20"/>
    </w:rPr>
  </w:style>
  <w:style w:type="character" w:customStyle="1" w:styleId="FootnoteTextChar">
    <w:name w:val="Footnote Text Char"/>
    <w:basedOn w:val="DefaultParagraphFont"/>
    <w:link w:val="FootnoteText"/>
    <w:uiPriority w:val="99"/>
    <w:rsid w:val="00E75B32"/>
    <w:rPr>
      <w:sz w:val="20"/>
      <w:szCs w:val="20"/>
    </w:rPr>
  </w:style>
  <w:style w:type="character" w:styleId="FootnoteReference">
    <w:name w:val="footnote reference"/>
    <w:basedOn w:val="DefaultParagraphFont"/>
    <w:uiPriority w:val="99"/>
    <w:semiHidden/>
    <w:unhideWhenUsed/>
    <w:rsid w:val="00E75B32"/>
    <w:rPr>
      <w:vertAlign w:val="superscript"/>
    </w:rPr>
  </w:style>
  <w:style w:type="paragraph" w:styleId="BalloonText">
    <w:name w:val="Balloon Text"/>
    <w:basedOn w:val="Normal"/>
    <w:link w:val="BalloonTextChar"/>
    <w:uiPriority w:val="99"/>
    <w:semiHidden/>
    <w:unhideWhenUsed/>
    <w:rsid w:val="00E75B3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5B32"/>
    <w:rPr>
      <w:rFonts w:ascii="Segoe UI" w:hAnsi="Segoe UI" w:cs="Segoe UI"/>
      <w:sz w:val="18"/>
      <w:szCs w:val="18"/>
    </w:rPr>
  </w:style>
  <w:style w:type="character" w:styleId="Hyperlink">
    <w:name w:val="Hyperlink"/>
    <w:basedOn w:val="DefaultParagraphFont"/>
    <w:uiPriority w:val="99"/>
    <w:unhideWhenUsed/>
    <w:rsid w:val="00E75B32"/>
    <w:rPr>
      <w:color w:val="0563C1" w:themeColor="hyperlink"/>
      <w:u w:val="single"/>
    </w:rPr>
  </w:style>
  <w:style w:type="character" w:styleId="CommentReference">
    <w:name w:val="annotation reference"/>
    <w:basedOn w:val="DefaultParagraphFont"/>
    <w:uiPriority w:val="99"/>
    <w:semiHidden/>
    <w:unhideWhenUsed/>
    <w:rsid w:val="00370E8D"/>
    <w:rPr>
      <w:sz w:val="16"/>
      <w:szCs w:val="16"/>
    </w:rPr>
  </w:style>
  <w:style w:type="paragraph" w:customStyle="1" w:styleId="Footnote">
    <w:name w:val="Footnote"/>
    <w:basedOn w:val="FootnoteText"/>
    <w:link w:val="FootnoteChar"/>
    <w:qFormat/>
    <w:rsid w:val="00501E3C"/>
    <w:pPr>
      <w:spacing w:after="40"/>
      <w:ind w:firstLine="0"/>
    </w:pPr>
  </w:style>
  <w:style w:type="character" w:customStyle="1" w:styleId="FootnoteChar">
    <w:name w:val="Footnote Char"/>
    <w:link w:val="Footnote"/>
    <w:rsid w:val="00501E3C"/>
    <w:rPr>
      <w:rFonts w:ascii="Times New Roman" w:hAnsi="Times New Roman" w:cs="Times New Roman"/>
      <w:sz w:val="20"/>
      <w:szCs w:val="20"/>
    </w:rPr>
  </w:style>
  <w:style w:type="paragraph" w:styleId="Header">
    <w:name w:val="header"/>
    <w:basedOn w:val="Normal"/>
    <w:link w:val="HeaderChar"/>
    <w:uiPriority w:val="99"/>
    <w:unhideWhenUsed/>
    <w:rsid w:val="004E2DFA"/>
    <w:pPr>
      <w:tabs>
        <w:tab w:val="center" w:pos="4680"/>
        <w:tab w:val="right" w:pos="9360"/>
      </w:tabs>
      <w:spacing w:line="240" w:lineRule="auto"/>
    </w:pPr>
  </w:style>
  <w:style w:type="character" w:customStyle="1" w:styleId="HeaderChar">
    <w:name w:val="Header Char"/>
    <w:basedOn w:val="DefaultParagraphFont"/>
    <w:link w:val="Header"/>
    <w:uiPriority w:val="99"/>
    <w:rsid w:val="004E2DFA"/>
  </w:style>
  <w:style w:type="paragraph" w:styleId="Footer">
    <w:name w:val="footer"/>
    <w:basedOn w:val="Normal"/>
    <w:link w:val="FooterChar"/>
    <w:uiPriority w:val="99"/>
    <w:unhideWhenUsed/>
    <w:rsid w:val="004E2DFA"/>
    <w:pPr>
      <w:tabs>
        <w:tab w:val="center" w:pos="4680"/>
        <w:tab w:val="right" w:pos="9360"/>
      </w:tabs>
      <w:spacing w:line="240" w:lineRule="auto"/>
    </w:pPr>
  </w:style>
  <w:style w:type="character" w:customStyle="1" w:styleId="FooterChar">
    <w:name w:val="Footer Char"/>
    <w:basedOn w:val="DefaultParagraphFont"/>
    <w:link w:val="Footer"/>
    <w:uiPriority w:val="99"/>
    <w:rsid w:val="004E2DFA"/>
  </w:style>
  <w:style w:type="paragraph" w:styleId="CommentText">
    <w:name w:val="annotation text"/>
    <w:basedOn w:val="Normal"/>
    <w:link w:val="CommentTextChar"/>
    <w:uiPriority w:val="99"/>
    <w:unhideWhenUsed/>
    <w:rsid w:val="00B37185"/>
    <w:pPr>
      <w:spacing w:line="240" w:lineRule="auto"/>
    </w:pPr>
    <w:rPr>
      <w:sz w:val="20"/>
      <w:szCs w:val="20"/>
    </w:rPr>
  </w:style>
  <w:style w:type="character" w:customStyle="1" w:styleId="CommentTextChar">
    <w:name w:val="Comment Text Char"/>
    <w:basedOn w:val="DefaultParagraphFont"/>
    <w:link w:val="CommentText"/>
    <w:uiPriority w:val="99"/>
    <w:rsid w:val="00B37185"/>
    <w:rPr>
      <w:sz w:val="20"/>
      <w:szCs w:val="20"/>
    </w:rPr>
  </w:style>
  <w:style w:type="paragraph" w:styleId="CommentSubject">
    <w:name w:val="annotation subject"/>
    <w:basedOn w:val="CommentText"/>
    <w:next w:val="CommentText"/>
    <w:link w:val="CommentSubjectChar"/>
    <w:uiPriority w:val="99"/>
    <w:semiHidden/>
    <w:unhideWhenUsed/>
    <w:rsid w:val="00B37185"/>
    <w:rPr>
      <w:b/>
      <w:bCs/>
    </w:rPr>
  </w:style>
  <w:style w:type="character" w:customStyle="1" w:styleId="CommentSubjectChar">
    <w:name w:val="Comment Subject Char"/>
    <w:basedOn w:val="CommentTextChar"/>
    <w:link w:val="CommentSubject"/>
    <w:uiPriority w:val="99"/>
    <w:semiHidden/>
    <w:rsid w:val="00B37185"/>
    <w:rPr>
      <w:b/>
      <w:bCs/>
      <w:sz w:val="20"/>
      <w:szCs w:val="20"/>
    </w:rPr>
  </w:style>
  <w:style w:type="paragraph" w:styleId="Subtitle">
    <w:name w:val="Subtitle"/>
    <w:basedOn w:val="Normal"/>
    <w:next w:val="Normal"/>
    <w:link w:val="SubtitleChar"/>
    <w:uiPriority w:val="11"/>
    <w:qFormat/>
    <w:rsid w:val="005D2661"/>
    <w:pPr>
      <w:keepNext/>
      <w:spacing w:before="120"/>
      <w:ind w:firstLine="0"/>
    </w:pPr>
    <w:rPr>
      <w:b/>
    </w:rPr>
  </w:style>
  <w:style w:type="character" w:customStyle="1" w:styleId="SubtitleChar">
    <w:name w:val="Subtitle Char"/>
    <w:basedOn w:val="DefaultParagraphFont"/>
    <w:link w:val="Subtitle"/>
    <w:uiPriority w:val="11"/>
    <w:rsid w:val="005D2661"/>
    <w:rPr>
      <w:rFonts w:ascii="Times New Roman" w:hAnsi="Times New Roman" w:cs="Times New Roman"/>
      <w:b/>
      <w:sz w:val="24"/>
      <w:szCs w:val="24"/>
    </w:rPr>
  </w:style>
  <w:style w:type="paragraph" w:customStyle="1" w:styleId="Figuregoeshere">
    <w:name w:val="Figure goes here"/>
    <w:basedOn w:val="Normal"/>
    <w:link w:val="FiguregoeshereChar"/>
    <w:qFormat/>
    <w:rsid w:val="00BC19AA"/>
    <w:pPr>
      <w:spacing w:before="240" w:after="240"/>
      <w:jc w:val="center"/>
    </w:pPr>
    <w:rPr>
      <w:b/>
    </w:rPr>
  </w:style>
  <w:style w:type="character" w:customStyle="1" w:styleId="FiguregoeshereChar">
    <w:name w:val="Figure goes here Char"/>
    <w:basedOn w:val="DefaultParagraphFont"/>
    <w:link w:val="Figuregoeshere"/>
    <w:rsid w:val="00BC19AA"/>
    <w:rPr>
      <w:rFonts w:ascii="Times New Roman" w:hAnsi="Times New Roman" w:cs="Times New Roman"/>
      <w:b/>
      <w:sz w:val="24"/>
      <w:szCs w:val="24"/>
    </w:rPr>
  </w:style>
  <w:style w:type="paragraph" w:customStyle="1" w:styleId="Biblioentry">
    <w:name w:val="Biblio entry"/>
    <w:basedOn w:val="Normal"/>
    <w:link w:val="BiblioentryChar"/>
    <w:qFormat/>
    <w:rsid w:val="002D208D"/>
    <w:pPr>
      <w:ind w:left="864" w:hanging="432"/>
    </w:pPr>
  </w:style>
  <w:style w:type="character" w:customStyle="1" w:styleId="BiblioentryChar">
    <w:name w:val="Biblio entry Char"/>
    <w:basedOn w:val="DefaultParagraphFont"/>
    <w:link w:val="Biblioentry"/>
    <w:rsid w:val="002D208D"/>
    <w:rPr>
      <w:rFonts w:ascii="Times New Roman" w:hAnsi="Times New Roman" w:cs="Times New Roman"/>
      <w:sz w:val="24"/>
      <w:szCs w:val="24"/>
    </w:rPr>
  </w:style>
  <w:style w:type="paragraph" w:customStyle="1" w:styleId="xmsonormal">
    <w:name w:val="x_msonormal"/>
    <w:basedOn w:val="Normal"/>
    <w:rsid w:val="002A233D"/>
    <w:pPr>
      <w:spacing w:before="100" w:beforeAutospacing="1" w:after="100" w:afterAutospacing="1" w:line="240" w:lineRule="auto"/>
      <w:ind w:firstLine="0"/>
    </w:pPr>
    <w:rPr>
      <w:rFonts w:eastAsia="Times New Roman"/>
    </w:rPr>
  </w:style>
  <w:style w:type="paragraph" w:styleId="ListParagraph">
    <w:name w:val="List Paragraph"/>
    <w:basedOn w:val="Normal"/>
    <w:uiPriority w:val="34"/>
    <w:qFormat/>
    <w:rsid w:val="005C21FD"/>
    <w:pPr>
      <w:spacing w:after="160" w:line="259" w:lineRule="auto"/>
      <w:ind w:left="720" w:firstLine="0"/>
      <w:contextualSpacing/>
    </w:pPr>
    <w:rPr>
      <w:rFonts w:asciiTheme="minorHAnsi" w:hAnsiTheme="minorHAnsi" w:cstheme="minorBidi"/>
      <w:sz w:val="22"/>
      <w:szCs w:val="22"/>
    </w:rPr>
  </w:style>
  <w:style w:type="character" w:customStyle="1" w:styleId="Heading3Char">
    <w:name w:val="Heading 3 Char"/>
    <w:basedOn w:val="DefaultParagraphFont"/>
    <w:link w:val="Heading3"/>
    <w:uiPriority w:val="9"/>
    <w:rsid w:val="006738AA"/>
    <w:rPr>
      <w:rFonts w:ascii="Times New Roman" w:eastAsia="Times New Roman" w:hAnsi="Times New Roman" w:cs="Times New Roman"/>
      <w:b/>
      <w:i/>
      <w:color w:val="000000" w:themeColor="text1"/>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79337">
      <w:bodyDiv w:val="1"/>
      <w:marLeft w:val="0"/>
      <w:marRight w:val="0"/>
      <w:marTop w:val="0"/>
      <w:marBottom w:val="0"/>
      <w:divBdr>
        <w:top w:val="none" w:sz="0" w:space="0" w:color="auto"/>
        <w:left w:val="none" w:sz="0" w:space="0" w:color="auto"/>
        <w:bottom w:val="none" w:sz="0" w:space="0" w:color="auto"/>
        <w:right w:val="none" w:sz="0" w:space="0" w:color="auto"/>
      </w:divBdr>
    </w:div>
    <w:div w:id="396705647">
      <w:bodyDiv w:val="1"/>
      <w:marLeft w:val="0"/>
      <w:marRight w:val="0"/>
      <w:marTop w:val="0"/>
      <w:marBottom w:val="0"/>
      <w:divBdr>
        <w:top w:val="none" w:sz="0" w:space="0" w:color="auto"/>
        <w:left w:val="none" w:sz="0" w:space="0" w:color="auto"/>
        <w:bottom w:val="none" w:sz="0" w:space="0" w:color="auto"/>
        <w:right w:val="none" w:sz="0" w:space="0" w:color="auto"/>
      </w:divBdr>
    </w:div>
    <w:div w:id="816341516">
      <w:bodyDiv w:val="1"/>
      <w:marLeft w:val="0"/>
      <w:marRight w:val="0"/>
      <w:marTop w:val="0"/>
      <w:marBottom w:val="0"/>
      <w:divBdr>
        <w:top w:val="none" w:sz="0" w:space="0" w:color="auto"/>
        <w:left w:val="none" w:sz="0" w:space="0" w:color="auto"/>
        <w:bottom w:val="none" w:sz="0" w:space="0" w:color="auto"/>
        <w:right w:val="none" w:sz="0" w:space="0" w:color="auto"/>
      </w:divBdr>
    </w:div>
    <w:div w:id="1027295644">
      <w:bodyDiv w:val="1"/>
      <w:marLeft w:val="0"/>
      <w:marRight w:val="0"/>
      <w:marTop w:val="0"/>
      <w:marBottom w:val="0"/>
      <w:divBdr>
        <w:top w:val="none" w:sz="0" w:space="0" w:color="auto"/>
        <w:left w:val="none" w:sz="0" w:space="0" w:color="auto"/>
        <w:bottom w:val="none" w:sz="0" w:space="0" w:color="auto"/>
        <w:right w:val="none" w:sz="0" w:space="0" w:color="auto"/>
      </w:divBdr>
      <w:divsChild>
        <w:div w:id="844243826">
          <w:marLeft w:val="0"/>
          <w:marRight w:val="0"/>
          <w:marTop w:val="0"/>
          <w:marBottom w:val="0"/>
          <w:divBdr>
            <w:top w:val="none" w:sz="0" w:space="0" w:color="auto"/>
            <w:left w:val="none" w:sz="0" w:space="0" w:color="auto"/>
            <w:bottom w:val="none" w:sz="0" w:space="0" w:color="auto"/>
            <w:right w:val="none" w:sz="0" w:space="0" w:color="auto"/>
          </w:divBdr>
        </w:div>
        <w:div w:id="1562793761">
          <w:marLeft w:val="0"/>
          <w:marRight w:val="0"/>
          <w:marTop w:val="0"/>
          <w:marBottom w:val="0"/>
          <w:divBdr>
            <w:top w:val="none" w:sz="0" w:space="0" w:color="auto"/>
            <w:left w:val="none" w:sz="0" w:space="0" w:color="auto"/>
            <w:bottom w:val="none" w:sz="0" w:space="0" w:color="auto"/>
            <w:right w:val="none" w:sz="0" w:space="0" w:color="auto"/>
          </w:divBdr>
        </w:div>
        <w:div w:id="610473008">
          <w:marLeft w:val="0"/>
          <w:marRight w:val="0"/>
          <w:marTop w:val="0"/>
          <w:marBottom w:val="0"/>
          <w:divBdr>
            <w:top w:val="none" w:sz="0" w:space="0" w:color="auto"/>
            <w:left w:val="none" w:sz="0" w:space="0" w:color="auto"/>
            <w:bottom w:val="none" w:sz="0" w:space="0" w:color="auto"/>
            <w:right w:val="none" w:sz="0" w:space="0" w:color="auto"/>
          </w:divBdr>
        </w:div>
        <w:div w:id="2012758364">
          <w:marLeft w:val="0"/>
          <w:marRight w:val="0"/>
          <w:marTop w:val="0"/>
          <w:marBottom w:val="0"/>
          <w:divBdr>
            <w:top w:val="none" w:sz="0" w:space="0" w:color="auto"/>
            <w:left w:val="none" w:sz="0" w:space="0" w:color="auto"/>
            <w:bottom w:val="none" w:sz="0" w:space="0" w:color="auto"/>
            <w:right w:val="none" w:sz="0" w:space="0" w:color="auto"/>
          </w:divBdr>
        </w:div>
        <w:div w:id="106046031">
          <w:marLeft w:val="0"/>
          <w:marRight w:val="0"/>
          <w:marTop w:val="0"/>
          <w:marBottom w:val="0"/>
          <w:divBdr>
            <w:top w:val="none" w:sz="0" w:space="0" w:color="auto"/>
            <w:left w:val="none" w:sz="0" w:space="0" w:color="auto"/>
            <w:bottom w:val="none" w:sz="0" w:space="0" w:color="auto"/>
            <w:right w:val="none" w:sz="0" w:space="0" w:color="auto"/>
          </w:divBdr>
        </w:div>
        <w:div w:id="1242987940">
          <w:marLeft w:val="0"/>
          <w:marRight w:val="0"/>
          <w:marTop w:val="0"/>
          <w:marBottom w:val="0"/>
          <w:divBdr>
            <w:top w:val="none" w:sz="0" w:space="0" w:color="auto"/>
            <w:left w:val="none" w:sz="0" w:space="0" w:color="auto"/>
            <w:bottom w:val="none" w:sz="0" w:space="0" w:color="auto"/>
            <w:right w:val="none" w:sz="0" w:space="0" w:color="auto"/>
          </w:divBdr>
        </w:div>
        <w:div w:id="570432305">
          <w:marLeft w:val="0"/>
          <w:marRight w:val="0"/>
          <w:marTop w:val="0"/>
          <w:marBottom w:val="0"/>
          <w:divBdr>
            <w:top w:val="none" w:sz="0" w:space="0" w:color="auto"/>
            <w:left w:val="none" w:sz="0" w:space="0" w:color="auto"/>
            <w:bottom w:val="none" w:sz="0" w:space="0" w:color="auto"/>
            <w:right w:val="none" w:sz="0" w:space="0" w:color="auto"/>
          </w:divBdr>
        </w:div>
      </w:divsChild>
    </w:div>
    <w:div w:id="1805080497">
      <w:bodyDiv w:val="1"/>
      <w:marLeft w:val="0"/>
      <w:marRight w:val="0"/>
      <w:marTop w:val="0"/>
      <w:marBottom w:val="0"/>
      <w:divBdr>
        <w:top w:val="none" w:sz="0" w:space="0" w:color="auto"/>
        <w:left w:val="none" w:sz="0" w:space="0" w:color="auto"/>
        <w:bottom w:val="none" w:sz="0" w:space="0" w:color="auto"/>
        <w:right w:val="none" w:sz="0" w:space="0" w:color="auto"/>
      </w:divBdr>
    </w:div>
    <w:div w:id="192822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rrelatesofwar.org/data-sets/cow-country-cod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70C93-6725-4B65-BB5F-FF1DB66C2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2060</Words>
  <Characters>11744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Pepperdine University</Company>
  <LinksUpToDate>false</LinksUpToDate>
  <CharactersWithSpaces>13777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Vabulas, Felicity A</dc:creator>
  <cp:keywords/>
  <dc:description/>
  <cp:lastModifiedBy>Vabulas, Felicity A</cp:lastModifiedBy>
  <cp:revision>2</cp:revision>
  <cp:lastPrinted>2020-01-08T18:05:00Z</cp:lastPrinted>
  <dcterms:created xsi:type="dcterms:W3CDTF">2020-01-09T23:36:00Z</dcterms:created>
  <dcterms:modified xsi:type="dcterms:W3CDTF">2020-01-09T23:36:00Z</dcterms:modified>
</cp:coreProperties>
</file>