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Calibri" w:cs="Calibri" w:eastAsia="Calibri" w:hAnsi="Calibri"/>
          <w:color w:val="595959"/>
          <w:sz w:val="16"/>
          <w:szCs w:val="16"/>
        </w:rPr>
        <w:t xml:space="preserve">CONFIDENTIAL  |  PREPARED FOR OUTSIDE COUNSEL  |  NOT LEGAL ADVICE  |  NOT FOR CONSUMER USE</w:t>
      </w:r>
    </w:p>
    <w:p>
      <w:pPr>
        <w:spacing w:after="60" w:before="0"/>
      </w:pPr>
      <w:r>
        <w:rPr>
          <w:rFonts w:ascii="Calibri" w:cs="Calibri" w:eastAsia="Calibri" w:hAnsi="Calibri"/>
          <w:b/>
          <w:bCs/>
          <w:color w:val="1F3A5F"/>
          <w:sz w:val="48"/>
          <w:szCs w:val="48"/>
        </w:rPr>
        <w:t xml:space="preserve">MERIT SALE</w:t>
      </w:r>
    </w:p>
    <w:p>
      <w:pPr>
        <w:spacing w:after="300" w:before="0"/>
      </w:pPr>
      <w:r>
        <w:rPr>
          <w:rFonts w:ascii="Calibri" w:cs="Calibri" w:eastAsia="Calibri" w:hAnsi="Calibri"/>
          <w:color w:val="595959"/>
          <w:sz w:val="26"/>
          <w:szCs w:val="26"/>
        </w:rPr>
        <w:t xml:space="preserve">A new category of residential property sale through a paid-registration, objectively scored skill competition</w:t>
      </w:r>
    </w:p>
    <w:p>
      <w:pPr>
        <w:spacing w:after="300" w:before="0"/>
      </w:pPr>
      <w:r>
        <w:rPr>
          <w:rFonts w:ascii="Calibri" w:cs="Calibri" w:eastAsia="Calibri" w:hAnsi="Calibri"/>
          <w:b/>
          <w:bCs/>
          <w:sz w:val="28"/>
          <w:szCs w:val="28"/>
        </w:rPr>
        <w:t xml:space="preserve">Concept Memorandum and Questions for Counsel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Item</w:t>
            </w:r>
          </w:p>
        </w:tc>
        <w:tc>
          <w:tcPr>
            <w:tcW w:type="dxa" w:w="656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Detail</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Document status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Working concept for legal review, version 2</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September 9, 2026</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Prepared by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Dima, founder and platform operator</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Prototype jurisdiction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selected with counsel (see Section 9). Washington was the original candidate and is now considered a later-phase state.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Illustrative registration fee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$25 to $35 per person, one registration per person</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Eligibility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Adults 18+ in cleared states only</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Requested output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Written analysis of the classification question, a ranked prototype-state recommendation, and answers to the questions in Section 12</w:t>
            </w:r>
          </w:p>
        </w:tc>
      </w:tr>
    </w:tbl>
    <w:p>
      <w:pPr>
        <w:spacing w:after="60"/>
      </w:pPr>
    </w:p>
    <w:p>
      <w:pPr>
        <w:spacing w:after="200" w:before="0"/>
      </w:pPr>
      <w:r>
        <w:rPr>
          <w:rFonts w:ascii="Calibri" w:cs="Calibri" w:eastAsia="Calibri" w:hAnsi="Calibri"/>
          <w:b/>
          <w:bCs/>
          <w:sz w:val="22"/>
          <w:szCs w:val="22"/>
        </w:rPr>
        <w:t xml:space="preserve">How to read this memo. </w:t>
      </w:r>
      <w:r>
        <w:rPr>
          <w:rFonts w:ascii="Calibri" w:cs="Calibri" w:eastAsia="Calibri" w:hAnsi="Calibri"/>
          <w:sz w:val="22"/>
          <w:szCs w:val="22"/>
        </w:rPr>
        <w:t xml:space="preserve">Sections 1 to 11 describe the business exactly as we intend to run it, so counsel can analyze the actual mechanics rather than the label. Section 12 lists every question we need answered before we accept money from anyone. We would rather hear "no" or "change this" now than after launch.</w:t>
      </w:r>
    </w:p>
    <w:p>
      <w:pPr>
        <w:pStyle w:val="Heading1"/>
        <w:spacing w:after="140" w:before="320"/>
      </w:pPr>
      <w:r>
        <w:t xml:space="preserve">1. The concept in one page</w:t>
      </w:r>
    </w:p>
    <w:p>
      <w:pPr>
        <w:spacing w:after="120" w:before="0"/>
      </w:pPr>
      <w:r>
        <w:rPr>
          <w:rFonts w:ascii="Calibri" w:cs="Calibri" w:eastAsia="Calibri" w:hAnsi="Calibri"/>
          <w:sz w:val="22"/>
          <w:szCs w:val="22"/>
        </w:rPr>
        <w:t xml:space="preserve">A homeowner or builder sells a completed home through the platform. Instead of listing the property, the platform offers it as the grand prize in a paid-registration skill competition. Each eligible adult pays one fixed fee, receives exactly one registration, and competes in a series of objectively scored reasoning rounds. The highest-scoring verified entrant wins the home plus a cash component sized to cover the estimated income tax on the prize. The home is transferred through a conventional real-estate closing.</w:t>
      </w:r>
    </w:p>
    <w:p>
      <w:pPr>
        <w:spacing w:after="120" w:before="0"/>
      </w:pPr>
      <w:r>
        <w:rPr>
          <w:rFonts w:ascii="Calibri" w:cs="Calibri" w:eastAsia="Calibri" w:hAnsi="Calibri"/>
          <w:sz w:val="22"/>
          <w:szCs w:val="22"/>
        </w:rPr>
        <w:t xml:space="preserve">The platform is the sponsor, operator, and compliance owner. It owns the home (directly or through a special-purpose entity) before the first registration is accepted, and the Merit Open runs on a published schedule regardless of how many people enter. The seller receives a guaranteed price on a fixed date and takes no competition risk.</w:t>
      </w:r>
    </w:p>
    <w:p>
      <w:pPr>
        <w:spacing w:after="120" w:before="0"/>
      </w:pPr>
      <w:r>
        <w:rPr>
          <w:rFonts w:ascii="Calibri" w:cs="Calibri" w:eastAsia="Calibri" w:hAnsi="Calibri"/>
          <w:b/>
          <w:bCs/>
          <w:sz w:val="22"/>
          <w:szCs w:val="22"/>
        </w:rPr>
        <w:t xml:space="preserve">What we are asking counsel to test: </w:t>
      </w:r>
      <w:r>
        <w:rPr>
          <w:rFonts w:ascii="Calibri" w:cs="Calibri" w:eastAsia="Calibri" w:hAnsi="Calibri"/>
          <w:sz w:val="22"/>
          <w:szCs w:val="22"/>
        </w:rPr>
        <w:t xml:space="preserve">that this is a bona fide skill competition with a real-estate prize, sold as admission rather than as a chance, and therefore outside gambling and lottery prohibitions in the prototype state and in each additional state we enter.</w:t>
      </w:r>
    </w:p>
    <w:p>
      <w:pPr>
        <w:pStyle w:val="Heading2"/>
        <w:spacing w:after="100" w:before="220"/>
      </w:pPr>
      <w:r>
        <w:t xml:space="preserve">1.1 Why this is a new category, not a house raffle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Feature</w:t>
            </w:r>
          </w:p>
        </w:tc>
        <w:tc>
          <w:tcPr>
            <w:tcW w:type="dxa" w:w="238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Charity house raffle</w:t>
            </w:r>
          </w:p>
        </w:tc>
        <w:tc>
          <w:tcPr>
            <w:tcW w:type="dxa" w:w="238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Sweepstakes (Omaze model)</w:t>
            </w:r>
          </w:p>
        </w:tc>
        <w:tc>
          <w:tcPr>
            <w:tcW w:type="dxa" w:w="24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Merit Sale (this concept)</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Winner determined by</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Random drawing</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Random drawing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Objective skill score; no chance at any stage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Payment</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Ticket price = chance</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Optional donation or purchase; free entry required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Fixed fee = admission to the Merit Open</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Multiple registrations</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Yes, more tickets = more chances</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Yes, tiered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 One registration per person, ever</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Operator</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Licensed nonprofit</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For-profit with charity partner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For-profit platform; property owner</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Prize ownership</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Varies</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Sponsor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Platform SPE owns the home before registration opens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Seller relationship</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None</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Guaranteed-price purchase from a homeowner or builder</w:t>
            </w:r>
          </w:p>
        </w:tc>
      </w:tr>
    </w:tbl>
    <w:p>
      <w:pPr>
        <w:spacing w:after="60"/>
      </w:pPr>
    </w:p>
    <w:p>
      <w:pPr>
        <w:pStyle w:val="Heading2"/>
        <w:spacing w:after="100" w:before="220"/>
      </w:pPr>
      <w:r>
        <w:t xml:space="preserve">1.2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Term</w:t>
            </w:r>
          </w:p>
        </w:tc>
        <w:tc>
          <w:tcPr>
            <w:tcW w:type="dxa" w:w="676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Use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Merit Sale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category. A method of selling a home in which the buyer is selected by objective skill rather than by price or by chance. Used with sellers, counsel, press, and in this memo.</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Earn the Keys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consumer-facing platform brand (working name; trademark search pending).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[City] Merit Open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Each property event. The Official Rules define it as "a skill-based merit selection event."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Registration / Registration Fee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Replaces "entry" and "entry fee" in all documents. A registrant buys a seat at the test, not a chance.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Skill competition / contest of skill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Used in this memo only when referring to the legal classification counsel is asked to test.</w:t>
            </w:r>
          </w:p>
        </w:tc>
      </w:tr>
    </w:tbl>
    <w:p>
      <w:pPr>
        <w:spacing w:after="60"/>
      </w:pPr>
    </w:p>
    <w:p>
      <w:pPr>
        <w:spacing w:after="120" w:before="0"/>
      </w:pPr>
      <w:r>
        <w:rPr>
          <w:rFonts w:ascii="Calibri" w:cs="Calibri" w:eastAsia="Calibri" w:hAnsi="Calibri"/>
          <w:sz w:val="22"/>
          <w:szCs w:val="22"/>
        </w:rPr>
        <w:t xml:space="preserve">Consumer-facing copy avoids: win, giveaway, raffle, lottery, sweepstakes, lucky, chance, ticket, draw, contest, odds, auction, investment. It uses: register, earn, score, qualify, certified, highest score.</w:t>
      </w:r>
    </w:p>
    <w:p>
      <w:pPr>
        <w:pStyle w:val="Heading1"/>
        <w:spacing w:after="140" w:before="320"/>
      </w:pPr>
      <w:r>
        <w:t xml:space="preserve">2. Parties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Party</w:t>
            </w:r>
          </w:p>
        </w:tc>
        <w:tc>
          <w:tcPr>
            <w:tcW w:type="dxa" w:w="676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Role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Platform (sponsor / operator)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Publishes the Merit Open, owns or controls the property SPE, maintains the technology, engages all vendors, and is responsible for compliance.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Property SPE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Single-purpose entity holding title to the home, free of liens, from before registration opens until the winner closing.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Seller (homeowner / builder)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Conveys title to the SPE under a purchase agreement with a guaranteed price and payment date. Has no role in the Merit Open.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Guarantee / bridge provider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Bridge lender, surety, or insurer backing the seller payout so the seller is paid regardless of registration volume (Model B).</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Payment processor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Accepts card or other approved payments and settles directly to the custodian.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Licensed custodian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Bank trust account, FBO account, or licensed escrow holding all registration funds until defined release events.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Independent competition administrator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Third-party administration company: locks rules and answer keys, certifies advancement and the winner, handles disputes, preserves audit records. No discretion to choose a winner.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Proctoring vendor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Identity verification and live proctoring for Rounds 2 and the Final.</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Title / closing agent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Conducts the winner closing and deed transfer.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Entrant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Adult resident of a cleared state who pays one fixed fee and competes.</w:t>
            </w:r>
          </w:p>
        </w:tc>
      </w:tr>
    </w:tbl>
    <w:p>
      <w:pPr>
        <w:spacing w:after="60"/>
      </w:pPr>
    </w:p>
    <w:p>
      <w:pPr>
        <w:pStyle w:val="Heading1"/>
        <w:spacing w:after="140" w:before="320"/>
      </w:pPr>
      <w:r>
        <w:t xml:space="preserve">3. Property acquisition structure</w:t>
      </w:r>
    </w:p>
    <w:p>
      <w:pPr>
        <w:spacing w:after="120" w:before="0"/>
      </w:pPr>
      <w:r>
        <w:rPr>
          <w:rFonts w:ascii="Calibri" w:cs="Calibri" w:eastAsia="Calibri" w:hAnsi="Calibri"/>
          <w:sz w:val="22"/>
          <w:szCs w:val="22"/>
        </w:rPr>
        <w:t xml:space="preserve">The prize is owned before any registration is accepted. Two structures are proposed; a third is a fallback only.</w:t>
      </w:r>
    </w:p>
    <w:p>
      <w:pPr>
        <w:pStyle w:val="Heading2"/>
        <w:spacing w:after="100" w:before="220"/>
      </w:pPr>
      <w:r>
        <w:t xml:space="preserve">Model A: Platform-owned</w:t>
      </w:r>
    </w:p>
    <w:p>
      <w:pPr>
        <w:spacing w:after="120" w:before="0"/>
      </w:pPr>
      <w:r>
        <w:rPr>
          <w:rFonts w:ascii="Calibri" w:cs="Calibri" w:eastAsia="Calibri" w:hAnsi="Calibri"/>
          <w:sz w:val="22"/>
          <w:szCs w:val="22"/>
        </w:rPr>
        <w:t xml:space="preserve">The platform purchases the home into the SPE with its own capital or bridge financing before launch. Registration revenue reimburses the purchase. This is the intended structure for the first property.</w:t>
      </w:r>
    </w:p>
    <w:p>
      <w:pPr>
        <w:pStyle w:val="Heading2"/>
        <w:spacing w:after="100" w:before="220"/>
      </w:pPr>
      <w:r>
        <w:t xml:space="preserve">Model B: Guaranteed-purchase seller partnership</w:t>
      </w:r>
    </w:p>
    <w:p>
      <w:pPr>
        <w:spacing w:after="120" w:before="0"/>
      </w:pPr>
      <w:r>
        <w:rPr>
          <w:rFonts w:ascii="Calibri" w:cs="Calibri" w:eastAsia="Calibri" w:hAnsi="Calibri"/>
          <w:sz w:val="22"/>
          <w:szCs w:val="22"/>
        </w:rPr>
        <w:t xml:space="preserve">The seller conveys title to the SPE before registration opens under a purchase agreement providing a guaranteed price payable on a fixed date, secured by bridge financing, a surety bond, or an insurance-backed guarantee. The seller is paid whether or not registrations cover the price. The platform bears any shortfall. This is the intended scalable seller product.</w:t>
      </w:r>
    </w:p>
    <w:p>
      <w:pPr>
        <w:pStyle w:val="Heading2"/>
        <w:spacing w:after="100" w:before="220"/>
      </w:pPr>
      <w:r>
        <w:t xml:space="preserve">Model C: Threshold pre-sale (fallback only)</w:t>
      </w:r>
    </w:p>
    <w:p>
      <w:pPr>
        <w:spacing w:after="120" w:before="0"/>
      </w:pPr>
      <w:r>
        <w:rPr>
          <w:rFonts w:ascii="Calibri" w:cs="Calibri" w:eastAsia="Calibri" w:hAnsi="Calibri"/>
          <w:sz w:val="22"/>
          <w:szCs w:val="22"/>
        </w:rPr>
        <w:t xml:space="preserve">Registrations are collected and the Merit Open proceeds only if a disclosed minimum is reached by a fixed deadline, with full refunds otherwise. We understand this structure resembles a pooled-stake lottery and we do not intend to use it unless counsel approves it for a specific state and Models A and B are unavailable.</w:t>
      </w:r>
    </w:p>
    <w:p>
      <w:pPr>
        <w:pStyle w:val="Heading1"/>
        <w:spacing w:after="140" w:before="320"/>
      </w:pPr>
      <w:r>
        <w:t xml:space="preserve">4. Entrant flow</w:t>
      </w:r>
    </w:p>
    <w:p>
      <w:pPr>
        <w:pStyle w:val="ListParagraph"/>
        <w:numPr>
          <w:ilvl w:val="0"/>
          <w:numId w:val="2"/>
        </w:numPr>
        <w:spacing w:after="70"/>
      </w:pPr>
      <w:r>
        <w:rPr>
          <w:rFonts w:ascii="Calibri" w:cs="Calibri" w:eastAsia="Calibri" w:hAnsi="Calibri"/>
          <w:sz w:val="22"/>
          <w:szCs w:val="22"/>
        </w:rPr>
        <w:t xml:space="preserve">Landing page shows the specific home, the prize package (home plus tax cash), the fixed fee, eligible states, fixed round dates, official rules, and tax and closing disclosures. There is no registration threshold and no progress meter.</w:t>
      </w:r>
    </w:p>
    <w:p>
      <w:pPr>
        <w:pStyle w:val="ListParagraph"/>
        <w:numPr>
          <w:ilvl w:val="0"/>
          <w:numId w:val="2"/>
        </w:numPr>
        <w:spacing w:after="70"/>
      </w:pPr>
      <w:r>
        <w:rPr>
          <w:rFonts w:ascii="Calibri" w:cs="Calibri" w:eastAsia="Calibri" w:hAnsi="Calibri"/>
          <w:sz w:val="22"/>
          <w:szCs w:val="22"/>
        </w:rPr>
        <w:t xml:space="preserve">Account creation with age (18+), state of residence, identity verification, duplicate-account screening, prohibited-relationship screening, and geofencing to cleared states.</w:t>
      </w:r>
    </w:p>
    <w:p>
      <w:pPr>
        <w:pStyle w:val="ListParagraph"/>
        <w:numPr>
          <w:ilvl w:val="0"/>
          <w:numId w:val="2"/>
        </w:numPr>
        <w:spacing w:after="70"/>
      </w:pPr>
      <w:r>
        <w:rPr>
          <w:rFonts w:ascii="Calibri" w:cs="Calibri" w:eastAsia="Calibri" w:hAnsi="Calibri"/>
          <w:sz w:val="22"/>
          <w:szCs w:val="22"/>
        </w:rPr>
        <w:t xml:space="preserve">Affirmative acceptance of official rules, dispute terms, integrity rules, proctoring consent, and prize-acceptance obligations before payment.</w:t>
      </w:r>
    </w:p>
    <w:p>
      <w:pPr>
        <w:pStyle w:val="ListParagraph"/>
        <w:numPr>
          <w:ilvl w:val="0"/>
          <w:numId w:val="2"/>
        </w:numPr>
        <w:spacing w:after="70"/>
      </w:pPr>
      <w:r>
        <w:rPr>
          <w:rFonts w:ascii="Calibri" w:cs="Calibri" w:eastAsia="Calibri" w:hAnsi="Calibri"/>
          <w:sz w:val="22"/>
          <w:szCs w:val="22"/>
        </w:rPr>
        <w:t xml:space="preserve">Payment of one fixed fee. One registration. Settlement flows directly to the custodian.</w:t>
      </w:r>
    </w:p>
    <w:p>
      <w:pPr>
        <w:pStyle w:val="ListParagraph"/>
        <w:numPr>
          <w:ilvl w:val="0"/>
          <w:numId w:val="2"/>
        </w:numPr>
        <w:spacing w:after="70"/>
      </w:pPr>
      <w:r>
        <w:rPr>
          <w:rFonts w:ascii="Calibri" w:cs="Calibri" w:eastAsia="Calibri" w:hAnsi="Calibri"/>
          <w:sz w:val="22"/>
          <w:szCs w:val="22"/>
        </w:rPr>
        <w:t xml:space="preserve">Confirmation with registration ID, Round 1 window, technical requirements, and accommodation process.</w:t>
      </w:r>
    </w:p>
    <w:p>
      <w:pPr>
        <w:pStyle w:val="ListParagraph"/>
        <w:numPr>
          <w:ilvl w:val="0"/>
          <w:numId w:val="2"/>
        </w:numPr>
        <w:spacing w:after="70"/>
      </w:pPr>
      <w:r>
        <w:rPr>
          <w:rFonts w:ascii="Calibri" w:cs="Calibri" w:eastAsia="Calibri" w:hAnsi="Calibri"/>
          <w:sz w:val="22"/>
          <w:szCs w:val="22"/>
        </w:rPr>
        <w:t xml:space="preserve">Registration period closes on the published date with no extensions.</w:t>
      </w:r>
    </w:p>
    <w:p>
      <w:pPr>
        <w:pStyle w:val="ListParagraph"/>
        <w:numPr>
          <w:ilvl w:val="0"/>
          <w:numId w:val="2"/>
        </w:numPr>
        <w:spacing w:after="70"/>
      </w:pPr>
      <w:r>
        <w:rPr>
          <w:rFonts w:ascii="Calibri" w:cs="Calibri" w:eastAsia="Calibri" w:hAnsi="Calibri"/>
          <w:sz w:val="22"/>
          <w:szCs w:val="22"/>
        </w:rPr>
        <w:t xml:space="preserve">Round 1: 30 free-response reasoning items, one common form, one attempt, browser lockdown and statistical integrity screening. Top N advance by locked rules.</w:t>
      </w:r>
    </w:p>
    <w:p>
      <w:pPr>
        <w:pStyle w:val="ListParagraph"/>
        <w:numPr>
          <w:ilvl w:val="0"/>
          <w:numId w:val="2"/>
        </w:numPr>
        <w:spacing w:after="70"/>
      </w:pPr>
      <w:r>
        <w:rPr>
          <w:rFonts w:ascii="Calibri" w:cs="Calibri" w:eastAsia="Calibri" w:hAnsi="Calibri"/>
          <w:sz w:val="22"/>
          <w:szCs w:val="22"/>
        </w:rPr>
        <w:t xml:space="preserve">Round 2: 12 to 15 multi-step problems with formula-based partial credit, live proctored with ID check. Top M advance.</w:t>
      </w:r>
    </w:p>
    <w:p>
      <w:pPr>
        <w:pStyle w:val="ListParagraph"/>
        <w:numPr>
          <w:ilvl w:val="0"/>
          <w:numId w:val="2"/>
        </w:numPr>
        <w:spacing w:after="70"/>
      </w:pPr>
      <w:r>
        <w:rPr>
          <w:rFonts w:ascii="Calibri" w:cs="Calibri" w:eastAsia="Calibri" w:hAnsi="Calibri"/>
          <w:sz w:val="22"/>
          <w:szCs w:val="22"/>
        </w:rPr>
        <w:t xml:space="preserve">Final: one optimization problem with a continuous numerical objective, fully proctored (in person or equivalent). Highest valid score wins. Exact ties are resolved by a sealed sudden-death problem series; never by chance.</w:t>
      </w:r>
    </w:p>
    <w:p>
      <w:pPr>
        <w:pStyle w:val="ListParagraph"/>
        <w:numPr>
          <w:ilvl w:val="0"/>
          <w:numId w:val="2"/>
        </w:numPr>
        <w:spacing w:after="70"/>
      </w:pPr>
      <w:r>
        <w:rPr>
          <w:rFonts w:ascii="Calibri" w:cs="Calibri" w:eastAsia="Calibri" w:hAnsi="Calibri"/>
          <w:sz w:val="22"/>
          <w:szCs w:val="22"/>
        </w:rPr>
        <w:t xml:space="preserve">Independent administrator verifies identity, eligibility, and score integrity and issues a written winner certification.</w:t>
      </w:r>
    </w:p>
    <w:p>
      <w:pPr>
        <w:pStyle w:val="ListParagraph"/>
        <w:numPr>
          <w:ilvl w:val="0"/>
          <w:numId w:val="2"/>
        </w:numPr>
        <w:spacing w:after="70"/>
      </w:pPr>
      <w:r>
        <w:rPr>
          <w:rFonts w:ascii="Calibri" w:cs="Calibri" w:eastAsia="Calibri" w:hAnsi="Calibri"/>
          <w:sz w:val="22"/>
          <w:szCs w:val="22"/>
        </w:rPr>
        <w:t xml:space="preserve">Winner signs prize acceptance, receives the cash component at closing, and takes title through a conventional closing.</w:t>
      </w:r>
    </w:p>
    <w:p>
      <w:pPr>
        <w:pStyle w:val="ListParagraph"/>
        <w:numPr>
          <w:ilvl w:val="0"/>
          <w:numId w:val="2"/>
        </w:numPr>
        <w:spacing w:after="70"/>
      </w:pPr>
      <w:r>
        <w:rPr>
          <w:rFonts w:ascii="Calibri" w:cs="Calibri" w:eastAsia="Calibri" w:hAnsi="Calibri"/>
          <w:sz w:val="22"/>
          <w:szCs w:val="22"/>
        </w:rPr>
        <w:t xml:space="preserve">Sealed answer-key package is released publicly for verification; audit records are retained.</w:t>
      </w:r>
    </w:p>
    <w:p>
      <w:pPr>
        <w:pStyle w:val="Heading1"/>
        <w:spacing w:after="140" w:before="320"/>
      </w:pPr>
      <w:r>
        <w:t xml:space="preserve">5. Competition design (skill-only)</w:t>
      </w:r>
    </w:p>
    <w:p>
      <w:pPr>
        <w:spacing w:after="120" w:before="0"/>
      </w:pPr>
      <w:r>
        <w:rPr>
          <w:rFonts w:ascii="Calibri" w:cs="Calibri" w:eastAsia="Calibri" w:hAnsi="Calibri"/>
          <w:sz w:val="22"/>
          <w:szCs w:val="22"/>
        </w:rPr>
        <w:t xml:space="preserve">The design is built to remove chance from every stage, not merely to make skill the dominant factor. Full detail is in the separate document "Section 6: Competition Design (Revised)."</w:t>
      </w:r>
    </w:p>
    <w:p>
      <w:pPr>
        <w:pStyle w:val="ListParagraph"/>
        <w:numPr>
          <w:ilvl w:val="0"/>
          <w:numId w:val="3"/>
        </w:numPr>
        <w:spacing w:after="70"/>
      </w:pPr>
      <w:r>
        <w:rPr>
          <w:rFonts w:ascii="Calibri" w:cs="Calibri" w:eastAsia="Calibri" w:hAnsi="Calibri"/>
          <w:b/>
          <w:bCs/>
          <w:sz w:val="22"/>
          <w:szCs w:val="22"/>
        </w:rPr>
        <w:t xml:space="preserve">Free-response only. </w:t>
      </w:r>
      <w:r>
        <w:rPr>
          <w:rFonts w:ascii="Calibri" w:cs="Calibri" w:eastAsia="Calibri" w:hAnsi="Calibri"/>
          <w:sz w:val="22"/>
          <w:szCs w:val="22"/>
        </w:rPr>
        <w:t xml:space="preserve">No multiple-choice, true/false, or select-from-list items in any scored round. A produced answer cannot be correct by guessing at a fixed probability.</w:t>
      </w:r>
    </w:p>
    <w:p>
      <w:pPr>
        <w:pStyle w:val="ListParagraph"/>
        <w:numPr>
          <w:ilvl w:val="0"/>
          <w:numId w:val="3"/>
        </w:numPr>
        <w:spacing w:after="70"/>
      </w:pPr>
      <w:r>
        <w:rPr>
          <w:rFonts w:ascii="Calibri" w:cs="Calibri" w:eastAsia="Calibri" w:hAnsi="Calibri"/>
          <w:b/>
          <w:bCs/>
          <w:sz w:val="22"/>
          <w:szCs w:val="22"/>
        </w:rPr>
        <w:t xml:space="preserve">Self-contained problems. </w:t>
      </w:r>
      <w:r>
        <w:rPr>
          <w:rFonts w:ascii="Calibri" w:cs="Calibri" w:eastAsia="Calibri" w:hAnsi="Calibri"/>
          <w:sz w:val="22"/>
          <w:szCs w:val="22"/>
        </w:rPr>
        <w:t xml:space="preserve">All information needed to solve an item is supplied in the item. No trivia, current events, professional knowledge, or physical performance.</w:t>
      </w:r>
    </w:p>
    <w:p>
      <w:pPr>
        <w:pStyle w:val="ListParagraph"/>
        <w:numPr>
          <w:ilvl w:val="0"/>
          <w:numId w:val="3"/>
        </w:numPr>
        <w:spacing w:after="70"/>
      </w:pPr>
      <w:r>
        <w:rPr>
          <w:rFonts w:ascii="Calibri" w:cs="Calibri" w:eastAsia="Calibri" w:hAnsi="Calibri"/>
          <w:b/>
          <w:bCs/>
          <w:sz w:val="22"/>
          <w:szCs w:val="22"/>
        </w:rPr>
        <w:t xml:space="preserve">Deterministic scoring. </w:t>
      </w:r>
      <w:r>
        <w:rPr>
          <w:rFonts w:ascii="Calibri" w:cs="Calibri" w:eastAsia="Calibri" w:hAnsi="Calibri"/>
          <w:sz w:val="22"/>
          <w:szCs w:val="22"/>
        </w:rPr>
        <w:t xml:space="preserve">Each item has one predetermined answer or a predetermined numerical formula. No human judgment in any score.</w:t>
      </w:r>
    </w:p>
    <w:p>
      <w:pPr>
        <w:pStyle w:val="ListParagraph"/>
        <w:numPr>
          <w:ilvl w:val="0"/>
          <w:numId w:val="3"/>
        </w:numPr>
        <w:spacing w:after="70"/>
      </w:pPr>
      <w:r>
        <w:rPr>
          <w:rFonts w:ascii="Calibri" w:cs="Calibri" w:eastAsia="Calibri" w:hAnsi="Calibri"/>
          <w:b/>
          <w:bCs/>
          <w:sz w:val="22"/>
          <w:szCs w:val="22"/>
        </w:rPr>
        <w:t xml:space="preserve">Locked advancement rules. </w:t>
      </w:r>
      <w:r>
        <w:rPr>
          <w:rFonts w:ascii="Calibri" w:cs="Calibri" w:eastAsia="Calibri" w:hAnsi="Calibri"/>
          <w:sz w:val="22"/>
          <w:szCs w:val="22"/>
        </w:rPr>
        <w:t xml:space="preserve">Score, then a pre-designated hard-item subset, then elapsed time as a tertiary metric only. If more entrants tie at the cutoff than capacity allows, all of them advance. No one is ever excluded by chance.</w:t>
      </w:r>
    </w:p>
    <w:p>
      <w:pPr>
        <w:pStyle w:val="ListParagraph"/>
        <w:numPr>
          <w:ilvl w:val="0"/>
          <w:numId w:val="3"/>
        </w:numPr>
        <w:spacing w:after="70"/>
      </w:pPr>
      <w:r>
        <w:rPr>
          <w:rFonts w:ascii="Calibri" w:cs="Calibri" w:eastAsia="Calibri" w:hAnsi="Calibri"/>
          <w:b/>
          <w:bCs/>
          <w:sz w:val="22"/>
          <w:szCs w:val="22"/>
        </w:rPr>
        <w:t xml:space="preserve">Skill-only tie-break. </w:t>
      </w:r>
      <w:r>
        <w:rPr>
          <w:rFonts w:ascii="Calibri" w:cs="Calibri" w:eastAsia="Calibri" w:hAnsi="Calibri"/>
          <w:sz w:val="22"/>
          <w:szCs w:val="22"/>
        </w:rPr>
        <w:t xml:space="preserve">Sealed additional problems administered simultaneously until a single highest score exists.</w:t>
      </w:r>
    </w:p>
    <w:p>
      <w:pPr>
        <w:pStyle w:val="ListParagraph"/>
        <w:numPr>
          <w:ilvl w:val="0"/>
          <w:numId w:val="3"/>
        </w:numPr>
        <w:spacing w:after="70"/>
      </w:pPr>
      <w:r>
        <w:rPr>
          <w:rFonts w:ascii="Calibri" w:cs="Calibri" w:eastAsia="Calibri" w:hAnsi="Calibri"/>
          <w:b/>
          <w:bCs/>
          <w:sz w:val="22"/>
          <w:szCs w:val="22"/>
        </w:rPr>
        <w:t xml:space="preserve">One common form per round. </w:t>
      </w:r>
      <w:r>
        <w:rPr>
          <w:rFonts w:ascii="Calibri" w:cs="Calibri" w:eastAsia="Calibri" w:hAnsi="Calibri"/>
          <w:sz w:val="22"/>
          <w:szCs w:val="22"/>
        </w:rPr>
        <w:t xml:space="preserve">No random item selection or ordering.</w:t>
      </w:r>
    </w:p>
    <w:p>
      <w:pPr>
        <w:pStyle w:val="ListParagraph"/>
        <w:numPr>
          <w:ilvl w:val="0"/>
          <w:numId w:val="3"/>
        </w:numPr>
        <w:spacing w:after="70"/>
      </w:pPr>
      <w:r>
        <w:rPr>
          <w:rFonts w:ascii="Calibri" w:cs="Calibri" w:eastAsia="Calibri" w:hAnsi="Calibri"/>
          <w:b/>
          <w:bCs/>
          <w:sz w:val="22"/>
          <w:szCs w:val="22"/>
        </w:rPr>
        <w:t xml:space="preserve">Answer-key commitment. </w:t>
      </w:r>
      <w:r>
        <w:rPr>
          <w:rFonts w:ascii="Calibri" w:cs="Calibri" w:eastAsia="Calibri" w:hAnsi="Calibri"/>
          <w:sz w:val="22"/>
          <w:szCs w:val="22"/>
        </w:rPr>
        <w:t xml:space="preserve">A cryptographic hash of the sealed keys is published before each round; the package is released after certification so entrants can verify scoring was not altered.</w:t>
      </w:r>
    </w:p>
    <w:p>
      <w:pPr>
        <w:pStyle w:val="ListParagraph"/>
        <w:numPr>
          <w:ilvl w:val="0"/>
          <w:numId w:val="3"/>
        </w:numPr>
        <w:spacing w:after="70"/>
      </w:pPr>
      <w:r>
        <w:rPr>
          <w:rFonts w:ascii="Calibri" w:cs="Calibri" w:eastAsia="Calibri" w:hAnsi="Calibri"/>
          <w:b/>
          <w:bCs/>
          <w:sz w:val="22"/>
          <w:szCs w:val="22"/>
        </w:rPr>
        <w:t xml:space="preserve">Escalating integrity tiers. </w:t>
      </w:r>
      <w:r>
        <w:rPr>
          <w:rFonts w:ascii="Calibri" w:cs="Calibri" w:eastAsia="Calibri" w:hAnsi="Calibri"/>
          <w:sz w:val="22"/>
          <w:szCs w:val="22"/>
        </w:rPr>
        <w:t xml:space="preserve">Round 1 uses browser lockdown and statistical screening; Round 2 is live proctored; the Final is fully proctored with re-verified identity and a signed affidavit.</w:t>
      </w:r>
    </w:p>
    <w:p>
      <w:pPr>
        <w:pStyle w:val="Heading1"/>
        <w:spacing w:after="140" w:before="320"/>
      </w:pPr>
      <w:r>
        <w:t xml:space="preserve">6. Money flow and custody</w:t>
      </w:r>
    </w:p>
    <w:p>
      <w:pPr>
        <w:spacing w:after="120" w:before="0"/>
      </w:pPr>
      <w:r>
        <w:rPr>
          <w:rFonts w:ascii="Calibri" w:cs="Calibri" w:eastAsia="Calibri" w:hAnsi="Calibri"/>
          <w:sz w:val="22"/>
          <w:szCs w:val="22"/>
        </w:rPr>
        <w:t xml:space="preserve">Entrant → payment processor → licensed custodian. The platform never receives registration funds directly and has no unilateral access at any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Release event</w:t>
            </w:r>
          </w:p>
        </w:tc>
        <w:tc>
          <w:tcPr>
            <w:tcW w:type="dxa" w:w="636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Funds released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Continuously held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Refund, chargeback, and dispute reserve, held through the chargeback window</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Winner closing</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Seller payout (Model B), winner cash component, closing costs, via title company</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Defined milestones per custody agreement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Vendor payments, administrator fees, platform margin</w:t>
            </w:r>
          </w:p>
        </w:tc>
      </w:tr>
    </w:tbl>
    <w:p>
      <w:pPr>
        <w:spacing w:after="60"/>
      </w:pPr>
    </w:p>
    <w:p>
      <w:pPr>
        <w:spacing w:after="120" w:before="0"/>
      </w:pPr>
      <w:r>
        <w:rPr>
          <w:rFonts w:ascii="Calibri" w:cs="Calibri" w:eastAsia="Calibri" w:hAnsi="Calibri"/>
          <w:sz w:val="22"/>
          <w:szCs w:val="22"/>
        </w:rPr>
        <w:t xml:space="preserve">Release events, reserve sizing, and refund mechanics are written into the custody agreement before launch. We need counsel to tell us which custody form is required or advisable and whether any financial-services licensing applies (Section 12, Part C).</w:t>
      </w:r>
    </w:p>
    <w:p>
      <w:pPr>
        <w:pStyle w:val="Heading1"/>
        <w:spacing w:after="140" w:before="320"/>
      </w:pPr>
      <w:r>
        <w:t xml:space="preserve">7. Prize package and economics</w:t>
      </w:r>
    </w:p>
    <w:p>
      <w:pPr>
        <w:spacing w:after="120" w:before="0"/>
      </w:pPr>
      <w:r>
        <w:rPr>
          <w:rFonts w:ascii="Calibri" w:cs="Calibri" w:eastAsia="Calibri" w:hAnsi="Calibri"/>
          <w:b/>
          <w:bCs/>
          <w:sz w:val="22"/>
          <w:szCs w:val="22"/>
        </w:rPr>
        <w:t xml:space="preserve">Prize = home + cash component </w:t>
      </w:r>
      <w:r>
        <w:rPr>
          <w:rFonts w:ascii="Calibri" w:cs="Calibri" w:eastAsia="Calibri" w:hAnsi="Calibri"/>
          <w:sz w:val="22"/>
          <w:szCs w:val="22"/>
        </w:rPr>
        <w:t xml:space="preserve">sized to the estimated federal income tax on the total prize value. It is disclosed as a single package. We do not intend to offer a cash-only alternative unless counsel advises that one is required.</w:t>
      </w:r>
    </w:p>
    <w:p>
      <w:pPr>
        <w:spacing w:after="120" w:before="0"/>
      </w:pPr>
      <w:r>
        <w:rPr>
          <w:rFonts w:ascii="Calibri" w:cs="Calibri" w:eastAsia="Calibri" w:hAnsi="Calibri"/>
          <w:sz w:val="22"/>
          <w:szCs w:val="22"/>
        </w:rPr>
        <w:t xml:space="preserve">Because the Merit Open runs regardless of registration count, the platform carries the gap between actual registrations and the gross target. Illustrative first-property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Cost line</w:t>
            </w:r>
          </w:p>
        </w:tc>
        <w:tc>
          <w:tcPr>
            <w:tcW w:type="dxa" w:w="4360"/>
            <w:tcBorders>
              <w:top w:val="single" w:color="BFBFBF" w:sz="4"/>
              <w:left w:val="single" w:color="BFBFBF" w:sz="4"/>
              <w:bottom w:val="single" w:color="BFBFBF" w:sz="4"/>
              <w:right w:val="single" w:color="BFBFBF" w:sz="4"/>
            </w:tcBorders>
            <w:shd w:fill="EEF2F7"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Illustrative amount</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Home price / guaranteed seller payout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$500,000</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  Tax cash component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$175,000</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  Closing, title, transfer</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$20,000</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  Legal, administration, custody, technology, compliance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$150,000</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  Processing fees, chargeback and refund reserve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$60,000</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  Marketing and operating reserve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$150,000</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  Platform margin</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$100,000</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Gross target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$1,155,000</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Registrations required at $25 / at $35</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≈46,200 / ≈33,000</w:t>
            </w:r>
          </w:p>
        </w:tc>
      </w:tr>
    </w:tbl>
    <w:p>
      <w:pPr>
        <w:spacing w:after="60"/>
      </w:pPr>
    </w:p>
    <w:p>
      <w:pPr>
        <w:pStyle w:val="Heading1"/>
        <w:spacing w:after="140" w:before="320"/>
      </w:pPr>
      <w:r>
        <w:t xml:space="preserve">8. Seller-side product</w:t>
      </w:r>
    </w:p>
    <w:p>
      <w:pPr>
        <w:spacing w:after="120" w:before="0"/>
      </w:pPr>
      <w:r>
        <w:rPr>
          <w:rFonts w:ascii="Calibri" w:cs="Calibri" w:eastAsia="Calibri" w:hAnsi="Calibri"/>
          <w:sz w:val="22"/>
          <w:szCs w:val="22"/>
        </w:rPr>
        <w:t xml:space="preserve">The seller experience is what makes this a category rather than a single promotion. The seller conveys title to the SPE, receives a guaranteed price on a fixed date, and has no involvement in the Merit Open. Positioning to sellers: a guaranteed sale on a fixed date at a price agreed now, with no showings and no listing. Initial pipeline: builders with completed spec homes, investors with finished flips, and owners of newly completed properties with documented condition and no occupancy complications.</w:t>
      </w:r>
    </w:p>
    <w:p>
      <w:pPr>
        <w:pStyle w:val="Heading1"/>
        <w:spacing w:after="140" w:before="320"/>
      </w:pPr>
      <w:r>
        <w:t xml:space="preserve">9. Geographic strategy</w:t>
      </w:r>
    </w:p>
    <w:p>
      <w:pPr>
        <w:pStyle w:val="ListParagraph"/>
        <w:numPr>
          <w:ilvl w:val="0"/>
          <w:numId w:val="3"/>
        </w:numPr>
        <w:spacing w:after="70"/>
      </w:pPr>
      <w:r>
        <w:rPr>
          <w:rFonts w:ascii="Calibri" w:cs="Calibri" w:eastAsia="Calibri" w:hAnsi="Calibri"/>
          <w:sz w:val="22"/>
          <w:szCs w:val="22"/>
        </w:rPr>
        <w:t xml:space="preserve">Counsel produces a ranked state matrix covering the skill-contest legal standard, treatment of real-estate prizes, registration, bonding and filing requirements, tax withholding, and advertising rules.</w:t>
      </w:r>
    </w:p>
    <w:p>
      <w:pPr>
        <w:pStyle w:val="ListParagraph"/>
        <w:numPr>
          <w:ilvl w:val="0"/>
          <w:numId w:val="3"/>
        </w:numPr>
        <w:spacing w:after="70"/>
      </w:pPr>
      <w:r>
        <w:rPr>
          <w:rFonts w:ascii="Calibri" w:cs="Calibri" w:eastAsia="Calibri" w:hAnsi="Calibri"/>
          <w:sz w:val="22"/>
          <w:szCs w:val="22"/>
        </w:rPr>
        <w:t xml:space="preserve">The prototype launches in the top-ranked state. States applying a "material degree of chance" standard, including Washington, are treated as later-phase states.</w:t>
      </w:r>
    </w:p>
    <w:p>
      <w:pPr>
        <w:pStyle w:val="ListParagraph"/>
        <w:numPr>
          <w:ilvl w:val="0"/>
          <w:numId w:val="3"/>
        </w:numPr>
        <w:spacing w:after="70"/>
      </w:pPr>
      <w:r>
        <w:rPr>
          <w:rFonts w:ascii="Calibri" w:cs="Calibri" w:eastAsia="Calibri" w:hAnsi="Calibri"/>
          <w:sz w:val="22"/>
          <w:szCs w:val="22"/>
        </w:rPr>
        <w:t xml:space="preserve">Geofencing and residency verification from day one. Paid registrations are accepted only from cleared states.</w:t>
      </w:r>
    </w:p>
    <w:p>
      <w:pPr>
        <w:pStyle w:val="ListParagraph"/>
        <w:numPr>
          <w:ilvl w:val="0"/>
          <w:numId w:val="3"/>
        </w:numPr>
        <w:spacing w:after="70"/>
      </w:pPr>
      <w:r>
        <w:rPr>
          <w:rFonts w:ascii="Calibri" w:cs="Calibri" w:eastAsia="Calibri" w:hAnsi="Calibri"/>
          <w:sz w:val="22"/>
          <w:szCs w:val="22"/>
        </w:rPr>
        <w:t xml:space="preserve">Each additional state is a separate compliance project.</w:t>
      </w:r>
    </w:p>
    <w:p>
      <w:pPr>
        <w:pStyle w:val="Heading1"/>
        <w:spacing w:after="140" w:before="320"/>
      </w:pPr>
      <w:r>
        <w:t xml:space="preserve">10. Governance and public verification</w:t>
      </w:r>
    </w:p>
    <w:p>
      <w:pPr>
        <w:pStyle w:val="ListParagraph"/>
        <w:numPr>
          <w:ilvl w:val="0"/>
          <w:numId w:val="3"/>
        </w:numPr>
        <w:spacing w:after="70"/>
      </w:pPr>
      <w:r>
        <w:rPr>
          <w:rFonts w:ascii="Calibri" w:cs="Calibri" w:eastAsia="Calibri" w:hAnsi="Calibri"/>
          <w:sz w:val="22"/>
          <w:szCs w:val="22"/>
        </w:rPr>
        <w:t xml:space="preserve">Independent administrator named in the official rules before launch, with written independence over rules lock, threshold-free activation, advancement certification, disputes, and winner certification.</w:t>
      </w:r>
    </w:p>
    <w:p>
      <w:pPr>
        <w:pStyle w:val="ListParagraph"/>
        <w:numPr>
          <w:ilvl w:val="0"/>
          <w:numId w:val="3"/>
        </w:numPr>
        <w:spacing w:after="70"/>
      </w:pPr>
      <w:r>
        <w:rPr>
          <w:rFonts w:ascii="Calibri" w:cs="Calibri" w:eastAsia="Calibri" w:hAnsi="Calibri"/>
          <w:sz w:val="22"/>
          <w:szCs w:val="22"/>
        </w:rPr>
        <w:t xml:space="preserve">Published hash of sealed answer keys before each round; package released after certification.</w:t>
      </w:r>
    </w:p>
    <w:p>
      <w:pPr>
        <w:pStyle w:val="ListParagraph"/>
        <w:numPr>
          <w:ilvl w:val="0"/>
          <w:numId w:val="3"/>
        </w:numPr>
        <w:spacing w:after="70"/>
      </w:pPr>
      <w:r>
        <w:rPr>
          <w:rFonts w:ascii="Calibri" w:cs="Calibri" w:eastAsia="Calibri" w:hAnsi="Calibri"/>
          <w:sz w:val="22"/>
          <w:szCs w:val="22"/>
        </w:rPr>
        <w:t xml:space="preserve">Public post-competition audit summary: registrant counts by state, advancement counts, integrity findings and outcomes, winner certification.</w:t>
      </w:r>
    </w:p>
    <w:p>
      <w:pPr>
        <w:pStyle w:val="ListParagraph"/>
        <w:numPr>
          <w:ilvl w:val="0"/>
          <w:numId w:val="3"/>
        </w:numPr>
        <w:spacing w:after="70"/>
      </w:pPr>
      <w:r>
        <w:rPr>
          <w:rFonts w:ascii="Calibri" w:cs="Calibri" w:eastAsia="Calibri" w:hAnsi="Calibri"/>
          <w:sz w:val="22"/>
          <w:szCs w:val="22"/>
        </w:rPr>
        <w:t xml:space="preserve">Winner verification and closing documented and summarized publicly, subject to winner consent under the rules.</w:t>
      </w:r>
    </w:p>
    <w:p>
      <w:pPr>
        <w:pStyle w:val="Heading1"/>
        <w:spacing w:after="140" w:before="320"/>
      </w:pPr>
      <w:r>
        <w:t xml:space="preserve">11. Mechanics we prohibit</w:t>
      </w:r>
    </w:p>
    <w:p>
      <w:pPr>
        <w:pStyle w:val="ListParagraph"/>
        <w:numPr>
          <w:ilvl w:val="0"/>
          <w:numId w:val="3"/>
        </w:numPr>
        <w:spacing w:after="70"/>
      </w:pPr>
      <w:r>
        <w:rPr>
          <w:rFonts w:ascii="Calibri" w:cs="Calibri" w:eastAsia="Calibri" w:hAnsi="Calibri"/>
          <w:sz w:val="22"/>
          <w:szCs w:val="22"/>
        </w:rPr>
        <w:t xml:space="preserve">Random drawing, random number generation, coin flip, or random selection at any stage, including finalist reduction and tie-breaking.</w:t>
      </w:r>
    </w:p>
    <w:p>
      <w:pPr>
        <w:pStyle w:val="ListParagraph"/>
        <w:numPr>
          <w:ilvl w:val="0"/>
          <w:numId w:val="3"/>
        </w:numPr>
        <w:spacing w:after="70"/>
      </w:pPr>
      <w:r>
        <w:rPr>
          <w:rFonts w:ascii="Calibri" w:cs="Calibri" w:eastAsia="Calibri" w:hAnsi="Calibri"/>
          <w:sz w:val="22"/>
          <w:szCs w:val="22"/>
        </w:rPr>
        <w:t xml:space="preserve">More than one registration per person; credits, bundles, or tiers of any kind.</w:t>
      </w:r>
    </w:p>
    <w:p>
      <w:pPr>
        <w:pStyle w:val="ListParagraph"/>
        <w:numPr>
          <w:ilvl w:val="0"/>
          <w:numId w:val="3"/>
        </w:numPr>
        <w:spacing w:after="70"/>
      </w:pPr>
      <w:r>
        <w:rPr>
          <w:rFonts w:ascii="Calibri" w:cs="Calibri" w:eastAsia="Calibri" w:hAnsi="Calibri"/>
          <w:sz w:val="22"/>
          <w:szCs w:val="22"/>
        </w:rPr>
        <w:t xml:space="preserve">Any payment that improves score, conditions, advancement, or probability of winning.</w:t>
      </w:r>
    </w:p>
    <w:p>
      <w:pPr>
        <w:pStyle w:val="ListParagraph"/>
        <w:numPr>
          <w:ilvl w:val="0"/>
          <w:numId w:val="3"/>
        </w:numPr>
        <w:spacing w:after="70"/>
      </w:pPr>
      <w:r>
        <w:rPr>
          <w:rFonts w:ascii="Calibri" w:cs="Calibri" w:eastAsia="Calibri" w:hAnsi="Calibri"/>
          <w:sz w:val="22"/>
          <w:szCs w:val="22"/>
        </w:rPr>
        <w:t xml:space="preserve">Random assignment of different test forms.</w:t>
      </w:r>
    </w:p>
    <w:p>
      <w:pPr>
        <w:pStyle w:val="ListParagraph"/>
        <w:numPr>
          <w:ilvl w:val="0"/>
          <w:numId w:val="3"/>
        </w:numPr>
        <w:spacing w:after="70"/>
      </w:pPr>
      <w:r>
        <w:rPr>
          <w:rFonts w:ascii="Calibri" w:cs="Calibri" w:eastAsia="Calibri" w:hAnsi="Calibri"/>
          <w:sz w:val="22"/>
          <w:szCs w:val="22"/>
        </w:rPr>
        <w:t xml:space="preserve">Changing the property, scoring formula, dates, or material rules after registration opens, except under a narrowly drafted and legally approved provision.</w:t>
      </w:r>
    </w:p>
    <w:p>
      <w:pPr>
        <w:pStyle w:val="ListParagraph"/>
        <w:numPr>
          <w:ilvl w:val="0"/>
          <w:numId w:val="3"/>
        </w:numPr>
        <w:spacing w:after="70"/>
      </w:pPr>
      <w:r>
        <w:rPr>
          <w:rFonts w:ascii="Calibri" w:cs="Calibri" w:eastAsia="Calibri" w:hAnsi="Calibri"/>
          <w:sz w:val="22"/>
          <w:szCs w:val="22"/>
        </w:rPr>
        <w:t xml:space="preserve">Accepting paid registrations from states that have not been cleared.</w:t>
      </w:r>
    </w:p>
    <w:p>
      <w:pPr>
        <w:pStyle w:val="ListParagraph"/>
        <w:numPr>
          <w:ilvl w:val="0"/>
          <w:numId w:val="3"/>
        </w:numPr>
        <w:spacing w:after="70"/>
      </w:pPr>
      <w:r>
        <w:rPr>
          <w:rFonts w:ascii="Calibri" w:cs="Calibri" w:eastAsia="Calibri" w:hAnsi="Calibri"/>
          <w:sz w:val="22"/>
          <w:szCs w:val="22"/>
        </w:rPr>
        <w:t xml:space="preserve">Relying on labels ("competition," "skill," "escrow") to change legal substance.</w:t>
      </w:r>
    </w:p>
    <w:p>
      <w:pPr>
        <w:pageBreakBefore/>
      </w:pPr>
    </w:p>
    <w:p>
      <w:pPr>
        <w:pStyle w:val="Heading1"/>
        <w:spacing w:after="140" w:before="320"/>
      </w:pPr>
      <w:r>
        <w:t xml:space="preserve">12. Questions for counsel</w:t>
      </w:r>
    </w:p>
    <w:p>
      <w:pPr>
        <w:spacing w:after="120" w:before="0"/>
      </w:pPr>
      <w:r>
        <w:rPr>
          <w:rFonts w:ascii="Calibri" w:cs="Calibri" w:eastAsia="Calibri" w:hAnsi="Calibri"/>
          <w:sz w:val="22"/>
          <w:szCs w:val="22"/>
        </w:rPr>
        <w:t xml:space="preserve">Each question is intended to be answered in writing. A "yes" on one item should not be treated as resolving any other.</w:t>
      </w:r>
    </w:p>
    <w:p>
      <w:pPr>
        <w:pStyle w:val="Heading2"/>
        <w:spacing w:after="100" w:before="220"/>
      </w:pPr>
      <w:r>
        <w:t xml:space="preserve">A. Classification: gambling, lottery, and skill</w:t>
      </w:r>
    </w:p>
    <w:p>
      <w:pPr>
        <w:pStyle w:val="ListParagraph"/>
        <w:numPr>
          <w:ilvl w:val="0"/>
          <w:numId w:val="4"/>
        </w:numPr>
        <w:spacing w:after="90"/>
      </w:pPr>
      <w:r>
        <w:rPr>
          <w:rFonts w:ascii="Calibri" w:cs="Calibri" w:eastAsia="Calibri" w:hAnsi="Calibri"/>
          <w:sz w:val="22"/>
          <w:szCs w:val="22"/>
        </w:rPr>
        <w:t xml:space="preserve">Under the prototype state's statute and case law, is a paid-registration competition with a residential real-estate prize, decided solely by the free-response, deterministically scored design in Section 5, a contest of skill rather than a contest of chance or lottery?</w:t>
      </w:r>
    </w:p>
    <w:p>
      <w:pPr>
        <w:pStyle w:val="ListParagraph"/>
        <w:numPr>
          <w:ilvl w:val="0"/>
          <w:numId w:val="4"/>
        </w:numPr>
        <w:spacing w:after="90"/>
      </w:pPr>
      <w:r>
        <w:rPr>
          <w:rFonts w:ascii="Calibri" w:cs="Calibri" w:eastAsia="Calibri" w:hAnsi="Calibri"/>
          <w:sz w:val="22"/>
          <w:szCs w:val="22"/>
        </w:rPr>
        <w:t xml:space="preserve">Does the state apply a "dominant factor," "material degree," "any chance," or other standard, and how does our design perform against that specific standard?</w:t>
      </w:r>
    </w:p>
    <w:p>
      <w:pPr>
        <w:pStyle w:val="ListParagraph"/>
        <w:numPr>
          <w:ilvl w:val="0"/>
          <w:numId w:val="4"/>
        </w:numPr>
        <w:spacing w:after="90"/>
      </w:pPr>
      <w:r>
        <w:rPr>
          <w:rFonts w:ascii="Calibri" w:cs="Calibri" w:eastAsia="Calibri" w:hAnsi="Calibri"/>
          <w:sz w:val="22"/>
          <w:szCs w:val="22"/>
        </w:rPr>
        <w:t xml:space="preserve">Does any element of the design introduce chance in the legal sense: item difficulty variation, elapsed time as a tertiary tie-order metric, the inclusion rule for cutoff ties, the sealed tie-break series, the re-administration protocol for a compromised form, or the technical-failure remedy?</w:t>
      </w:r>
    </w:p>
    <w:p>
      <w:pPr>
        <w:pStyle w:val="ListParagraph"/>
        <w:numPr>
          <w:ilvl w:val="0"/>
          <w:numId w:val="4"/>
        </w:numPr>
        <w:spacing w:after="90"/>
      </w:pPr>
      <w:r>
        <w:rPr>
          <w:rFonts w:ascii="Calibri" w:cs="Calibri" w:eastAsia="Calibri" w:hAnsi="Calibri"/>
          <w:sz w:val="22"/>
          <w:szCs w:val="22"/>
        </w:rPr>
        <w:t xml:space="preserve">Is the "one registration per person" rule legally necessary to the skill theory, or merely advisable? Would allowing a second registration under any circumstance change the classification?</w:t>
      </w:r>
    </w:p>
    <w:p>
      <w:pPr>
        <w:pStyle w:val="ListParagraph"/>
        <w:numPr>
          <w:ilvl w:val="0"/>
          <w:numId w:val="4"/>
        </w:numPr>
        <w:spacing w:after="90"/>
      </w:pPr>
      <w:r>
        <w:rPr>
          <w:rFonts w:ascii="Calibri" w:cs="Calibri" w:eastAsia="Calibri" w:hAnsi="Calibri"/>
          <w:sz w:val="22"/>
          <w:szCs w:val="22"/>
        </w:rPr>
        <w:t xml:space="preserve">Does the size or nature of the prize (a home worth several hundred thousand dollars) affect the analysis compared to a conventional skill contest with a small prize?</w:t>
      </w:r>
    </w:p>
    <w:p>
      <w:pPr>
        <w:pStyle w:val="ListParagraph"/>
        <w:numPr>
          <w:ilvl w:val="0"/>
          <w:numId w:val="4"/>
        </w:numPr>
        <w:spacing w:after="90"/>
      </w:pPr>
      <w:r>
        <w:rPr>
          <w:rFonts w:ascii="Calibri" w:cs="Calibri" w:eastAsia="Calibri" w:hAnsi="Calibri"/>
          <w:sz w:val="22"/>
          <w:szCs w:val="22"/>
        </w:rPr>
        <w:t xml:space="preserve">Does the fact that the platform is a for-profit operator, and that registration fees fund the prize and the operator's margin, affect the classification in this state?</w:t>
      </w:r>
    </w:p>
    <w:p>
      <w:pPr>
        <w:pStyle w:val="ListParagraph"/>
        <w:numPr>
          <w:ilvl w:val="0"/>
          <w:numId w:val="4"/>
        </w:numPr>
        <w:spacing w:after="90"/>
      </w:pPr>
      <w:r>
        <w:rPr>
          <w:rFonts w:ascii="Calibri" w:cs="Calibri" w:eastAsia="Calibri" w:hAnsi="Calibri"/>
          <w:sz w:val="22"/>
          <w:szCs w:val="22"/>
        </w:rPr>
        <w:t xml:space="preserve">Are there federal statutes (for example, wire, mail, or lottery statutes, UIGEA) implicated by online, interstate, paid-registration skill competitions, and how do they interact with state law?</w:t>
      </w:r>
    </w:p>
    <w:p>
      <w:pPr>
        <w:pStyle w:val="ListParagraph"/>
        <w:numPr>
          <w:ilvl w:val="0"/>
          <w:numId w:val="4"/>
        </w:numPr>
        <w:spacing w:after="90"/>
      </w:pPr>
      <w:r>
        <w:rPr>
          <w:rFonts w:ascii="Calibri" w:cs="Calibri" w:eastAsia="Calibri" w:hAnsi="Calibri"/>
          <w:sz w:val="22"/>
          <w:szCs w:val="22"/>
        </w:rPr>
        <w:t xml:space="preserve">Does the state regulator offer a pre-launch review, advisory opinion, or determination process? Do you recommend requesting one, and what should the submission contain?</w:t>
      </w:r>
    </w:p>
    <w:p>
      <w:pPr>
        <w:pStyle w:val="Heading2"/>
        <w:spacing w:after="100" w:before="220"/>
      </w:pPr>
      <w:r>
        <w:t xml:space="preserve">B. Property, prize ownership, and real estate</w:t>
      </w:r>
    </w:p>
    <w:p>
      <w:pPr>
        <w:pStyle w:val="ListParagraph"/>
        <w:numPr>
          <w:ilvl w:val="0"/>
          <w:numId w:val="4"/>
        </w:numPr>
        <w:spacing w:after="90"/>
      </w:pPr>
      <w:r>
        <w:rPr>
          <w:rFonts w:ascii="Calibri" w:cs="Calibri" w:eastAsia="Calibri" w:hAnsi="Calibri"/>
          <w:sz w:val="22"/>
          <w:szCs w:val="22"/>
        </w:rPr>
        <w:t xml:space="preserve">Does holding the home in a platform-controlled SPE, free of liens, before registration opens resolve the concern that registration fees are being pooled to purchase the prize? Does the analysis differ between Model A and Model B?</w:t>
      </w:r>
    </w:p>
    <w:p>
      <w:pPr>
        <w:pStyle w:val="ListParagraph"/>
        <w:numPr>
          <w:ilvl w:val="0"/>
          <w:numId w:val="4"/>
        </w:numPr>
        <w:spacing w:after="90"/>
      </w:pPr>
      <w:r>
        <w:rPr>
          <w:rFonts w:ascii="Calibri" w:cs="Calibri" w:eastAsia="Calibri" w:hAnsi="Calibri"/>
          <w:sz w:val="22"/>
          <w:szCs w:val="22"/>
        </w:rPr>
        <w:t xml:space="preserve">Does the Model B guaranteed-purchase agreement with a seller create any securities, lending, real-estate brokerage, or consumer-lending licensing issue for the platform or the guarantee provider?</w:t>
      </w:r>
    </w:p>
    <w:p>
      <w:pPr>
        <w:pStyle w:val="ListParagraph"/>
        <w:numPr>
          <w:ilvl w:val="0"/>
          <w:numId w:val="4"/>
        </w:numPr>
        <w:spacing w:after="90"/>
      </w:pPr>
      <w:r>
        <w:rPr>
          <w:rFonts w:ascii="Calibri" w:cs="Calibri" w:eastAsia="Calibri" w:hAnsi="Calibri"/>
          <w:sz w:val="22"/>
          <w:szCs w:val="22"/>
        </w:rPr>
        <w:t xml:space="preserve">Is any real-estate license required for the platform to acquire, hold, market, and convey homes in this manner?</w:t>
      </w:r>
    </w:p>
    <w:p>
      <w:pPr>
        <w:pStyle w:val="ListParagraph"/>
        <w:numPr>
          <w:ilvl w:val="0"/>
          <w:numId w:val="4"/>
        </w:numPr>
        <w:spacing w:after="90"/>
      </w:pPr>
      <w:r>
        <w:rPr>
          <w:rFonts w:ascii="Calibri" w:cs="Calibri" w:eastAsia="Calibri" w:hAnsi="Calibri"/>
          <w:sz w:val="22"/>
          <w:szCs w:val="22"/>
        </w:rPr>
        <w:t xml:space="preserve">What deed form, disclosures, and closing procedure apply to a prize conveyance, and how do they differ from an ordinary sale?</w:t>
      </w:r>
    </w:p>
    <w:p>
      <w:pPr>
        <w:pStyle w:val="ListParagraph"/>
        <w:numPr>
          <w:ilvl w:val="0"/>
          <w:numId w:val="4"/>
        </w:numPr>
        <w:spacing w:after="90"/>
      </w:pPr>
      <w:r>
        <w:rPr>
          <w:rFonts w:ascii="Calibri" w:cs="Calibri" w:eastAsia="Calibri" w:hAnsi="Calibri"/>
          <w:sz w:val="22"/>
          <w:szCs w:val="22"/>
        </w:rPr>
        <w:t xml:space="preserve">Who is liable for real-estate transfer or excise taxes, recording fees, and prorations on a prize conveyance, and can the rules allocate these to the winner?</w:t>
      </w:r>
    </w:p>
    <w:p>
      <w:pPr>
        <w:pStyle w:val="ListParagraph"/>
        <w:numPr>
          <w:ilvl w:val="0"/>
          <w:numId w:val="4"/>
        </w:numPr>
        <w:spacing w:after="90"/>
      </w:pPr>
      <w:r>
        <w:rPr>
          <w:rFonts w:ascii="Calibri" w:cs="Calibri" w:eastAsia="Calibri" w:hAnsi="Calibri"/>
          <w:sz w:val="22"/>
          <w:szCs w:val="22"/>
        </w:rPr>
        <w:t xml:space="preserve">Should the SPE be prohibited from encumbering the property during the Merit Open, and how should that be documented?</w:t>
      </w:r>
    </w:p>
    <w:p>
      <w:pPr>
        <w:pStyle w:val="ListParagraph"/>
        <w:numPr>
          <w:ilvl w:val="0"/>
          <w:numId w:val="4"/>
        </w:numPr>
        <w:spacing w:after="90"/>
      </w:pPr>
      <w:r>
        <w:rPr>
          <w:rFonts w:ascii="Calibri" w:cs="Calibri" w:eastAsia="Calibri" w:hAnsi="Calibri"/>
          <w:sz w:val="22"/>
          <w:szCs w:val="22"/>
        </w:rPr>
        <w:t xml:space="preserve">What must the rules and contracts provide if the property is damaged, destroyed, condemned, becomes uninsurable, or cannot be conveyed before closing?</w:t>
      </w:r>
    </w:p>
    <w:p>
      <w:pPr>
        <w:pStyle w:val="ListParagraph"/>
        <w:numPr>
          <w:ilvl w:val="0"/>
          <w:numId w:val="4"/>
        </w:numPr>
        <w:spacing w:after="90"/>
      </w:pPr>
      <w:r>
        <w:rPr>
          <w:rFonts w:ascii="Calibri" w:cs="Calibri" w:eastAsia="Calibri" w:hAnsi="Calibri"/>
          <w:sz w:val="22"/>
          <w:szCs w:val="22"/>
        </w:rPr>
        <w:t xml:space="preserve">Is a cash alternative to the home legally required, prohibited, or optional? Would offering one change the classification or advertising analysis?</w:t>
      </w:r>
    </w:p>
    <w:p>
      <w:pPr>
        <w:pStyle w:val="ListParagraph"/>
        <w:numPr>
          <w:ilvl w:val="0"/>
          <w:numId w:val="4"/>
        </w:numPr>
        <w:spacing w:after="90"/>
      </w:pPr>
      <w:r>
        <w:rPr>
          <w:rFonts w:ascii="Calibri" w:cs="Calibri" w:eastAsia="Calibri" w:hAnsi="Calibri"/>
          <w:sz w:val="22"/>
          <w:szCs w:val="22"/>
        </w:rPr>
        <w:t xml:space="preserve">May the seller remain in occupancy under a short leaseback during the registration period, and does that create any issue?</w:t>
      </w:r>
    </w:p>
    <w:p>
      <w:pPr>
        <w:pStyle w:val="Heading2"/>
        <w:spacing w:after="100" w:before="220"/>
      </w:pPr>
      <w:r>
        <w:t xml:space="preserve">C. Funds custody, payments, and financial regulation</w:t>
      </w:r>
    </w:p>
    <w:p>
      <w:pPr>
        <w:pStyle w:val="ListParagraph"/>
        <w:numPr>
          <w:ilvl w:val="0"/>
          <w:numId w:val="4"/>
        </w:numPr>
        <w:spacing w:after="90"/>
      </w:pPr>
      <w:r>
        <w:rPr>
          <w:rFonts w:ascii="Calibri" w:cs="Calibri" w:eastAsia="Calibri" w:hAnsi="Calibri"/>
          <w:sz w:val="22"/>
          <w:szCs w:val="22"/>
        </w:rPr>
        <w:t xml:space="preserve">Which custody structure is required or advisable for registration funds: bank trust account, FBO account, licensed escrow, surety bond, or another structure? Who may lawfully serve as custodian?</w:t>
      </w:r>
    </w:p>
    <w:p>
      <w:pPr>
        <w:pStyle w:val="ListParagraph"/>
        <w:numPr>
          <w:ilvl w:val="0"/>
          <w:numId w:val="4"/>
        </w:numPr>
        <w:spacing w:after="90"/>
      </w:pPr>
      <w:r>
        <w:rPr>
          <w:rFonts w:ascii="Calibri" w:cs="Calibri" w:eastAsia="Calibri" w:hAnsi="Calibri"/>
          <w:sz w:val="22"/>
          <w:szCs w:val="22"/>
        </w:rPr>
        <w:t xml:space="preserve">Do money-transmission, escrow-agent, trust-company, banking, or similar licensing rules apply to the platform, the custodian, or the processor under this money flow?</w:t>
      </w:r>
    </w:p>
    <w:p>
      <w:pPr>
        <w:pStyle w:val="ListParagraph"/>
        <w:numPr>
          <w:ilvl w:val="0"/>
          <w:numId w:val="4"/>
        </w:numPr>
        <w:spacing w:after="90"/>
      </w:pPr>
      <w:r>
        <w:rPr>
          <w:rFonts w:ascii="Calibri" w:cs="Calibri" w:eastAsia="Calibri" w:hAnsi="Calibri"/>
          <w:sz w:val="22"/>
          <w:szCs w:val="22"/>
        </w:rPr>
        <w:t xml:space="preserve">When may funds lawfully be released to the seller, the winner, vendors, the administrator, and the platform, and what documentation should trigger each release?</w:t>
      </w:r>
    </w:p>
    <w:p>
      <w:pPr>
        <w:pStyle w:val="ListParagraph"/>
        <w:numPr>
          <w:ilvl w:val="0"/>
          <w:numId w:val="4"/>
        </w:numPr>
        <w:spacing w:after="90"/>
      </w:pPr>
      <w:r>
        <w:rPr>
          <w:rFonts w:ascii="Calibri" w:cs="Calibri" w:eastAsia="Calibri" w:hAnsi="Calibri"/>
          <w:sz w:val="22"/>
          <w:szCs w:val="22"/>
        </w:rPr>
        <w:t xml:space="preserve">What refund, chargeback, and dispute reserve is required or advisable, and how should chargebacks arising after a release event be handled?</w:t>
      </w:r>
    </w:p>
    <w:p>
      <w:pPr>
        <w:pStyle w:val="ListParagraph"/>
        <w:numPr>
          <w:ilvl w:val="0"/>
          <w:numId w:val="4"/>
        </w:numPr>
        <w:spacing w:after="90"/>
      </w:pPr>
      <w:r>
        <w:rPr>
          <w:rFonts w:ascii="Calibri" w:cs="Calibri" w:eastAsia="Calibri" w:hAnsi="Calibri"/>
          <w:sz w:val="22"/>
          <w:szCs w:val="22"/>
        </w:rPr>
        <w:t xml:space="preserve">Does the card-network or processor classification of this activity (for example, gambling-adjacent merchant category codes) create legal exposure independent of state law? What disclosures must be made to the processor?</w:t>
      </w:r>
    </w:p>
    <w:p>
      <w:pPr>
        <w:pStyle w:val="ListParagraph"/>
        <w:numPr>
          <w:ilvl w:val="0"/>
          <w:numId w:val="4"/>
        </w:numPr>
        <w:spacing w:after="90"/>
      </w:pPr>
      <w:r>
        <w:rPr>
          <w:rFonts w:ascii="Calibri" w:cs="Calibri" w:eastAsia="Calibri" w:hAnsi="Calibri"/>
          <w:sz w:val="22"/>
          <w:szCs w:val="22"/>
        </w:rPr>
        <w:t xml:space="preserve">Are there restrictions on how the custodian may hold the funds (cash equivalents only, no investment, FDIC treatment)?</w:t>
      </w:r>
    </w:p>
    <w:p>
      <w:pPr>
        <w:pStyle w:val="Heading2"/>
        <w:spacing w:after="100" w:before="220"/>
      </w:pPr>
      <w:r>
        <w:t xml:space="preserve">D. Consumer protection, advertising, and disclosures</w:t>
      </w:r>
    </w:p>
    <w:p>
      <w:pPr>
        <w:pStyle w:val="ListParagraph"/>
        <w:numPr>
          <w:ilvl w:val="0"/>
          <w:numId w:val="4"/>
        </w:numPr>
        <w:spacing w:after="90"/>
      </w:pPr>
      <w:r>
        <w:rPr>
          <w:rFonts w:ascii="Calibri" w:cs="Calibri" w:eastAsia="Calibri" w:hAnsi="Calibri"/>
          <w:sz w:val="22"/>
          <w:szCs w:val="22"/>
        </w:rPr>
        <w:t xml:space="preserve">What disclosures are required on the landing page, at checkout, in paid advertising, influencer content, email, and social media under state consumer-protection and prize-promotion statutes?</w:t>
      </w:r>
    </w:p>
    <w:p>
      <w:pPr>
        <w:pStyle w:val="ListParagraph"/>
        <w:numPr>
          <w:ilvl w:val="0"/>
          <w:numId w:val="4"/>
        </w:numPr>
        <w:spacing w:after="90"/>
      </w:pPr>
      <w:r>
        <w:rPr>
          <w:rFonts w:ascii="Calibri" w:cs="Calibri" w:eastAsia="Calibri" w:hAnsi="Calibri"/>
          <w:sz w:val="22"/>
          <w:szCs w:val="22"/>
        </w:rPr>
        <w:t xml:space="preserve">What official-rules content is required by statute or regulation, and must the rules be filed, posted, or made available in a specific form?</w:t>
      </w:r>
    </w:p>
    <w:p>
      <w:pPr>
        <w:pStyle w:val="ListParagraph"/>
        <w:numPr>
          <w:ilvl w:val="0"/>
          <w:numId w:val="4"/>
        </w:numPr>
        <w:spacing w:after="90"/>
      </w:pPr>
      <w:r>
        <w:rPr>
          <w:rFonts w:ascii="Calibri" w:cs="Calibri" w:eastAsia="Calibri" w:hAnsi="Calibri"/>
          <w:sz w:val="22"/>
          <w:szCs w:val="22"/>
        </w:rPr>
        <w:t xml:space="preserve">Are there restrictions on describing the prize value, the number of entrants, or the odds or likelihood of winning in a skill competition?</w:t>
      </w:r>
    </w:p>
    <w:p>
      <w:pPr>
        <w:pStyle w:val="ListParagraph"/>
        <w:numPr>
          <w:ilvl w:val="0"/>
          <w:numId w:val="4"/>
        </w:numPr>
        <w:spacing w:after="90"/>
      </w:pPr>
      <w:r>
        <w:rPr>
          <w:rFonts w:ascii="Calibri" w:cs="Calibri" w:eastAsia="Calibri" w:hAnsi="Calibri"/>
          <w:sz w:val="22"/>
          <w:szCs w:val="22"/>
        </w:rPr>
        <w:t xml:space="preserve">What refund and cancellation rights must entrants have, including in the event of force majeure, platform failure, fraud, legal prohibition, or property casualty?</w:t>
      </w:r>
    </w:p>
    <w:p>
      <w:pPr>
        <w:pStyle w:val="ListParagraph"/>
        <w:numPr>
          <w:ilvl w:val="0"/>
          <w:numId w:val="4"/>
        </w:numPr>
        <w:spacing w:after="90"/>
      </w:pPr>
      <w:r>
        <w:rPr>
          <w:rFonts w:ascii="Calibri" w:cs="Calibri" w:eastAsia="Calibri" w:hAnsi="Calibri"/>
          <w:sz w:val="22"/>
          <w:szCs w:val="22"/>
        </w:rPr>
        <w:t xml:space="preserve">What rules must govern accessibility and accommodation requests, technical failures, and dispute resolution to satisfy consumer-protection and disability-access law?</w:t>
      </w:r>
    </w:p>
    <w:p>
      <w:pPr>
        <w:pStyle w:val="ListParagraph"/>
        <w:numPr>
          <w:ilvl w:val="0"/>
          <w:numId w:val="4"/>
        </w:numPr>
        <w:spacing w:after="90"/>
      </w:pPr>
      <w:r>
        <w:rPr>
          <w:rFonts w:ascii="Calibri" w:cs="Calibri" w:eastAsia="Calibri" w:hAnsi="Calibri"/>
          <w:sz w:val="22"/>
          <w:szCs w:val="22"/>
        </w:rPr>
        <w:t xml:space="preserve">Is a "no purchase necessary" or free alternate method of entry required for a skill competition in this state? If it were added, would it change the analysis?</w:t>
      </w:r>
    </w:p>
    <w:p>
      <w:pPr>
        <w:pStyle w:val="ListParagraph"/>
        <w:numPr>
          <w:ilvl w:val="0"/>
          <w:numId w:val="4"/>
        </w:numPr>
        <w:spacing w:after="90"/>
      </w:pPr>
      <w:r>
        <w:rPr>
          <w:rFonts w:ascii="Calibri" w:cs="Calibri" w:eastAsia="Calibri" w:hAnsi="Calibri"/>
          <w:sz w:val="22"/>
          <w:szCs w:val="22"/>
        </w:rPr>
        <w:t xml:space="preserve">Are affiliate, referral, or influencer compensation programs permissible for a paid-registration skill competition, and with what disclosures?</w:t>
      </w:r>
    </w:p>
    <w:p>
      <w:pPr>
        <w:pStyle w:val="Heading2"/>
        <w:spacing w:after="100" w:before="220"/>
      </w:pPr>
      <w:r>
        <w:t xml:space="preserve">E. Tax</w:t>
      </w:r>
    </w:p>
    <w:p>
      <w:pPr>
        <w:pStyle w:val="ListParagraph"/>
        <w:numPr>
          <w:ilvl w:val="0"/>
          <w:numId w:val="4"/>
        </w:numPr>
        <w:spacing w:after="90"/>
      </w:pPr>
      <w:r>
        <w:rPr>
          <w:rFonts w:ascii="Calibri" w:cs="Calibri" w:eastAsia="Calibri" w:hAnsi="Calibri"/>
          <w:sz w:val="22"/>
          <w:szCs w:val="22"/>
        </w:rPr>
        <w:t xml:space="preserve">What federal and state income-tax reporting and withholding obligations apply to the platform and the winner for a non-cash prize of this size, and which information return applies (for example, Form 1099-MISC versus W-2G)?</w:t>
      </w:r>
    </w:p>
    <w:p>
      <w:pPr>
        <w:pStyle w:val="ListParagraph"/>
        <w:numPr>
          <w:ilvl w:val="0"/>
          <w:numId w:val="4"/>
        </w:numPr>
        <w:spacing w:after="90"/>
      </w:pPr>
      <w:r>
        <w:rPr>
          <w:rFonts w:ascii="Calibri" w:cs="Calibri" w:eastAsia="Calibri" w:hAnsi="Calibri"/>
          <w:sz w:val="22"/>
          <w:szCs w:val="22"/>
        </w:rPr>
        <w:t xml:space="preserve">Does the cash component intended to cover the winner's tax alter prize characterization, reporting, or withholding?</w:t>
      </w:r>
    </w:p>
    <w:p>
      <w:pPr>
        <w:pStyle w:val="ListParagraph"/>
        <w:numPr>
          <w:ilvl w:val="0"/>
          <w:numId w:val="4"/>
        </w:numPr>
        <w:spacing w:after="90"/>
      </w:pPr>
      <w:r>
        <w:rPr>
          <w:rFonts w:ascii="Calibri" w:cs="Calibri" w:eastAsia="Calibri" w:hAnsi="Calibri"/>
          <w:sz w:val="22"/>
          <w:szCs w:val="22"/>
        </w:rPr>
        <w:t xml:space="preserve">How should prize value be established for tax reporting: appraisal, purchase price, or another method?</w:t>
      </w:r>
    </w:p>
    <w:p>
      <w:pPr>
        <w:pStyle w:val="ListParagraph"/>
        <w:numPr>
          <w:ilvl w:val="0"/>
          <w:numId w:val="4"/>
        </w:numPr>
        <w:spacing w:after="90"/>
      </w:pPr>
      <w:r>
        <w:rPr>
          <w:rFonts w:ascii="Calibri" w:cs="Calibri" w:eastAsia="Calibri" w:hAnsi="Calibri"/>
          <w:sz w:val="22"/>
          <w:szCs w:val="22"/>
        </w:rPr>
        <w:t xml:space="preserve">Are registration fees subject to sales tax, excise tax, or any gaming or amusement tax in the prototype state?</w:t>
      </w:r>
    </w:p>
    <w:p>
      <w:pPr>
        <w:pStyle w:val="ListParagraph"/>
        <w:numPr>
          <w:ilvl w:val="0"/>
          <w:numId w:val="4"/>
        </w:numPr>
        <w:spacing w:after="90"/>
      </w:pPr>
      <w:r>
        <w:rPr>
          <w:rFonts w:ascii="Calibri" w:cs="Calibri" w:eastAsia="Calibri" w:hAnsi="Calibri"/>
          <w:sz w:val="22"/>
          <w:szCs w:val="22"/>
        </w:rPr>
        <w:t xml:space="preserve">What tax consequences arise for the platform and the SPE on acquisition, holding, and conveyance of the home?</w:t>
      </w:r>
    </w:p>
    <w:p>
      <w:pPr>
        <w:pStyle w:val="ListParagraph"/>
        <w:numPr>
          <w:ilvl w:val="0"/>
          <w:numId w:val="4"/>
        </w:numPr>
        <w:spacing w:after="90"/>
      </w:pPr>
      <w:r>
        <w:rPr>
          <w:rFonts w:ascii="Calibri" w:cs="Calibri" w:eastAsia="Calibri" w:hAnsi="Calibri"/>
          <w:sz w:val="22"/>
          <w:szCs w:val="22"/>
        </w:rPr>
        <w:t xml:space="preserve">What tax disclosures must be made to entrants before payment and to the winner before acceptance?</w:t>
      </w:r>
    </w:p>
    <w:p>
      <w:pPr>
        <w:pStyle w:val="Heading2"/>
        <w:spacing w:after="100" w:before="220"/>
      </w:pPr>
      <w:r>
        <w:t xml:space="preserve">F. Entity structure, contracts, and insurance</w:t>
      </w:r>
    </w:p>
    <w:p>
      <w:pPr>
        <w:pStyle w:val="ListParagraph"/>
        <w:numPr>
          <w:ilvl w:val="0"/>
          <w:numId w:val="4"/>
        </w:numPr>
        <w:spacing w:after="90"/>
      </w:pPr>
      <w:r>
        <w:rPr>
          <w:rFonts w:ascii="Calibri" w:cs="Calibri" w:eastAsia="Calibri" w:hAnsi="Calibri"/>
          <w:sz w:val="22"/>
          <w:szCs w:val="22"/>
        </w:rPr>
        <w:t xml:space="preserve">What entity structure should separate the platform, the property SPE, the custodian relationship, the administrator, and the seller? Should each property have its own SPE?</w:t>
      </w:r>
    </w:p>
    <w:p>
      <w:pPr>
        <w:pStyle w:val="ListParagraph"/>
        <w:numPr>
          <w:ilvl w:val="0"/>
          <w:numId w:val="4"/>
        </w:numPr>
        <w:spacing w:after="90"/>
      </w:pPr>
      <w:r>
        <w:rPr>
          <w:rFonts w:ascii="Calibri" w:cs="Calibri" w:eastAsia="Calibri" w:hAnsi="Calibri"/>
          <w:sz w:val="22"/>
          <w:szCs w:val="22"/>
        </w:rPr>
        <w:t xml:space="preserve">What agreements are required: purchase agreement with seller, guarantee or bridge agreement, custody agreement, administrator agreement, proctoring and technology vendor agreements, and official rules and terms of use?</w:t>
      </w:r>
    </w:p>
    <w:p>
      <w:pPr>
        <w:pStyle w:val="ListParagraph"/>
        <w:numPr>
          <w:ilvl w:val="0"/>
          <w:numId w:val="4"/>
        </w:numPr>
        <w:spacing w:after="90"/>
      </w:pPr>
      <w:r>
        <w:rPr>
          <w:rFonts w:ascii="Calibri" w:cs="Calibri" w:eastAsia="Calibri" w:hAnsi="Calibri"/>
          <w:sz w:val="22"/>
          <w:szCs w:val="22"/>
        </w:rPr>
        <w:t xml:space="preserve">What insurance and bonding should the platform carry: property, general liability, cyber and data, errors and omissions, prize indemnity, surety for seller payout, and any statutory bond?</w:t>
      </w:r>
    </w:p>
    <w:p>
      <w:pPr>
        <w:pStyle w:val="ListParagraph"/>
        <w:numPr>
          <w:ilvl w:val="0"/>
          <w:numId w:val="4"/>
        </w:numPr>
        <w:spacing w:after="90"/>
      </w:pPr>
      <w:r>
        <w:rPr>
          <w:rFonts w:ascii="Calibri" w:cs="Calibri" w:eastAsia="Calibri" w:hAnsi="Calibri"/>
          <w:sz w:val="22"/>
          <w:szCs w:val="22"/>
        </w:rPr>
        <w:t xml:space="preserve">Are there restrictions on the sponsor selecting and paying the administrator while preserving its independence, and what contract provisions protect that independence?</w:t>
      </w:r>
    </w:p>
    <w:p>
      <w:pPr>
        <w:pStyle w:val="ListParagraph"/>
        <w:numPr>
          <w:ilvl w:val="0"/>
          <w:numId w:val="4"/>
        </w:numPr>
        <w:spacing w:after="90"/>
      </w:pPr>
      <w:r>
        <w:rPr>
          <w:rFonts w:ascii="Calibri" w:cs="Calibri" w:eastAsia="Calibri" w:hAnsi="Calibri"/>
          <w:sz w:val="22"/>
          <w:szCs w:val="22"/>
        </w:rPr>
        <w:t xml:space="preserve">What governing-law, dispute-resolution, arbitration, and class-action clauses are enforceable against entrants in the prototype state and in each additional state?</w:t>
      </w:r>
    </w:p>
    <w:p>
      <w:pPr>
        <w:pStyle w:val="Heading2"/>
        <w:spacing w:after="100" w:before="220"/>
      </w:pPr>
      <w:r>
        <w:t xml:space="preserve">G. Multi-state expansion</w:t>
      </w:r>
    </w:p>
    <w:p>
      <w:pPr>
        <w:pStyle w:val="ListParagraph"/>
        <w:numPr>
          <w:ilvl w:val="0"/>
          <w:numId w:val="4"/>
        </w:numPr>
        <w:spacing w:after="90"/>
      </w:pPr>
      <w:r>
        <w:rPr>
          <w:rFonts w:ascii="Calibri" w:cs="Calibri" w:eastAsia="Calibri" w:hAnsi="Calibri"/>
          <w:sz w:val="22"/>
          <w:szCs w:val="22"/>
        </w:rPr>
        <w:t xml:space="preserve">Please provide a ranked matrix of states for this design: legal standard, real-estate prize treatment, registration, bonding and filing requirements, tax withholding, and advertising rules.</w:t>
      </w:r>
    </w:p>
    <w:p>
      <w:pPr>
        <w:pStyle w:val="ListParagraph"/>
        <w:numPr>
          <w:ilvl w:val="0"/>
          <w:numId w:val="4"/>
        </w:numPr>
        <w:spacing w:after="90"/>
      </w:pPr>
      <w:r>
        <w:rPr>
          <w:rFonts w:ascii="Calibri" w:cs="Calibri" w:eastAsia="Calibri" w:hAnsi="Calibri"/>
          <w:sz w:val="22"/>
          <w:szCs w:val="22"/>
        </w:rPr>
        <w:t xml:space="preserve">Which states should be excluded outright, and which require registration, bonding, or filings before paid registrations may be accepted?</w:t>
      </w:r>
    </w:p>
    <w:p>
      <w:pPr>
        <w:pStyle w:val="ListParagraph"/>
        <w:numPr>
          <w:ilvl w:val="0"/>
          <w:numId w:val="4"/>
        </w:numPr>
        <w:spacing w:after="90"/>
      </w:pPr>
      <w:r>
        <w:rPr>
          <w:rFonts w:ascii="Calibri" w:cs="Calibri" w:eastAsia="Calibri" w:hAnsi="Calibri"/>
          <w:sz w:val="22"/>
          <w:szCs w:val="22"/>
        </w:rPr>
        <w:t xml:space="preserve">Are geofencing and residency verification legally sufficient controls, and what standard of verification is required?</w:t>
      </w:r>
    </w:p>
    <w:p>
      <w:pPr>
        <w:pStyle w:val="ListParagraph"/>
        <w:numPr>
          <w:ilvl w:val="0"/>
          <w:numId w:val="4"/>
        </w:numPr>
        <w:spacing w:after="90"/>
      </w:pPr>
      <w:r>
        <w:rPr>
          <w:rFonts w:ascii="Calibri" w:cs="Calibri" w:eastAsia="Calibri" w:hAnsi="Calibri"/>
          <w:sz w:val="22"/>
          <w:szCs w:val="22"/>
        </w:rPr>
        <w:t xml:space="preserve">Can a single set of official rules serve all cleared states, or are state-specific rules or riders needed?</w:t>
      </w:r>
    </w:p>
    <w:p>
      <w:pPr>
        <w:pStyle w:val="ListParagraph"/>
        <w:numPr>
          <w:ilvl w:val="0"/>
          <w:numId w:val="4"/>
        </w:numPr>
        <w:spacing w:after="90"/>
      </w:pPr>
      <w:r>
        <w:rPr>
          <w:rFonts w:ascii="Calibri" w:cs="Calibri" w:eastAsia="Calibri" w:hAnsi="Calibri"/>
          <w:sz w:val="22"/>
          <w:szCs w:val="22"/>
        </w:rPr>
        <w:t xml:space="preserve">Does advertising in a non-cleared state (for example, through national social media) create exposure even if registrations from that state are blocked?</w:t>
      </w:r>
    </w:p>
    <w:p>
      <w:pPr>
        <w:pStyle w:val="Heading2"/>
        <w:spacing w:after="100" w:before="220"/>
      </w:pPr>
      <w:r>
        <w:t xml:space="preserve">H. Identity, privacy, proctoring, and data</w:t>
      </w:r>
    </w:p>
    <w:p>
      <w:pPr>
        <w:pStyle w:val="ListParagraph"/>
        <w:numPr>
          <w:ilvl w:val="0"/>
          <w:numId w:val="4"/>
        </w:numPr>
        <w:spacing w:after="90"/>
      </w:pPr>
      <w:r>
        <w:rPr>
          <w:rFonts w:ascii="Calibri" w:cs="Calibri" w:eastAsia="Calibri" w:hAnsi="Calibri"/>
          <w:sz w:val="22"/>
          <w:szCs w:val="22"/>
        </w:rPr>
        <w:t xml:space="preserve">What identity-verification standard is required or advisable at registration, before Round 2, and before winner certification?</w:t>
      </w:r>
    </w:p>
    <w:p>
      <w:pPr>
        <w:pStyle w:val="ListParagraph"/>
        <w:numPr>
          <w:ilvl w:val="0"/>
          <w:numId w:val="4"/>
        </w:numPr>
        <w:spacing w:after="90"/>
      </w:pPr>
      <w:r>
        <w:rPr>
          <w:rFonts w:ascii="Calibri" w:cs="Calibri" w:eastAsia="Calibri" w:hAnsi="Calibri"/>
          <w:sz w:val="22"/>
          <w:szCs w:val="22"/>
        </w:rPr>
        <w:t xml:space="preserve">What consents are required for live proctoring, webcam and screen recording, room scans, and any biometric processing, and which state biometric-privacy statutes apply?</w:t>
      </w:r>
    </w:p>
    <w:p>
      <w:pPr>
        <w:pStyle w:val="ListParagraph"/>
        <w:numPr>
          <w:ilvl w:val="0"/>
          <w:numId w:val="4"/>
        </w:numPr>
        <w:spacing w:after="90"/>
      </w:pPr>
      <w:r>
        <w:rPr>
          <w:rFonts w:ascii="Calibri" w:cs="Calibri" w:eastAsia="Calibri" w:hAnsi="Calibri"/>
          <w:sz w:val="22"/>
          <w:szCs w:val="22"/>
        </w:rPr>
        <w:t xml:space="preserve">What privacy policy, data-retention, data-security, and breach-notification obligations apply to entrant data and proctoring recordings?</w:t>
      </w:r>
    </w:p>
    <w:p>
      <w:pPr>
        <w:pStyle w:val="ListParagraph"/>
        <w:numPr>
          <w:ilvl w:val="0"/>
          <w:numId w:val="4"/>
        </w:numPr>
        <w:spacing w:after="90"/>
      </w:pPr>
      <w:r>
        <w:rPr>
          <w:rFonts w:ascii="Calibri" w:cs="Calibri" w:eastAsia="Calibri" w:hAnsi="Calibri"/>
          <w:sz w:val="22"/>
          <w:szCs w:val="22"/>
        </w:rPr>
        <w:t xml:space="preserve">How long must scoring records, proctoring records, and audit records be retained, and may they be used in disputes and public audit summaries?</w:t>
      </w:r>
    </w:p>
    <w:p>
      <w:pPr>
        <w:pStyle w:val="ListParagraph"/>
        <w:numPr>
          <w:ilvl w:val="0"/>
          <w:numId w:val="4"/>
        </w:numPr>
        <w:spacing w:after="90"/>
      </w:pPr>
      <w:r>
        <w:rPr>
          <w:rFonts w:ascii="Calibri" w:cs="Calibri" w:eastAsia="Calibri" w:hAnsi="Calibri"/>
          <w:sz w:val="22"/>
          <w:szCs w:val="22"/>
        </w:rPr>
        <w:t xml:space="preserve">Are there age-verification obligations beyond self-attestation of 18+?</w:t>
      </w:r>
    </w:p>
    <w:p>
      <w:pPr>
        <w:pStyle w:val="Heading2"/>
        <w:spacing w:after="100" w:before="220"/>
      </w:pPr>
      <w:r>
        <w:t xml:space="preserve">I. Winner, eligibility, and prize acceptance</w:t>
      </w:r>
    </w:p>
    <w:p>
      <w:pPr>
        <w:pStyle w:val="ListParagraph"/>
        <w:numPr>
          <w:ilvl w:val="0"/>
          <w:numId w:val="4"/>
        </w:numPr>
        <w:spacing w:after="90"/>
      </w:pPr>
      <w:r>
        <w:rPr>
          <w:rFonts w:ascii="Calibri" w:cs="Calibri" w:eastAsia="Calibri" w:hAnsi="Calibri"/>
          <w:sz w:val="22"/>
          <w:szCs w:val="22"/>
        </w:rPr>
        <w:t xml:space="preserve">What eligibility exclusions are required or advisable: employees, contractors, vendors, administrator personnel, family members, sanctioned persons, non-residents?</w:t>
      </w:r>
    </w:p>
    <w:p>
      <w:pPr>
        <w:pStyle w:val="ListParagraph"/>
        <w:numPr>
          <w:ilvl w:val="0"/>
          <w:numId w:val="4"/>
        </w:numPr>
        <w:spacing w:after="90"/>
      </w:pPr>
      <w:r>
        <w:rPr>
          <w:rFonts w:ascii="Calibri" w:cs="Calibri" w:eastAsia="Calibri" w:hAnsi="Calibri"/>
          <w:sz w:val="22"/>
          <w:szCs w:val="22"/>
        </w:rPr>
        <w:t xml:space="preserve">What affidavits, releases, publicity consents, and background or eligibility checks may the platform require of the winner before announcement?</w:t>
      </w:r>
    </w:p>
    <w:p>
      <w:pPr>
        <w:pStyle w:val="ListParagraph"/>
        <w:numPr>
          <w:ilvl w:val="0"/>
          <w:numId w:val="4"/>
        </w:numPr>
        <w:spacing w:after="90"/>
      </w:pPr>
      <w:r>
        <w:rPr>
          <w:rFonts w:ascii="Calibri" w:cs="Calibri" w:eastAsia="Calibri" w:hAnsi="Calibri"/>
          <w:sz w:val="22"/>
          <w:szCs w:val="22"/>
        </w:rPr>
        <w:t xml:space="preserve">If the winner is found ineligible or declines the prize, what fallback is permissible: next-highest score, a new skill round, or another pre-announced mechanism?</w:t>
      </w:r>
    </w:p>
    <w:p>
      <w:pPr>
        <w:pStyle w:val="ListParagraph"/>
        <w:numPr>
          <w:ilvl w:val="0"/>
          <w:numId w:val="4"/>
        </w:numPr>
        <w:spacing w:after="90"/>
      </w:pPr>
      <w:r>
        <w:rPr>
          <w:rFonts w:ascii="Calibri" w:cs="Calibri" w:eastAsia="Calibri" w:hAnsi="Calibri"/>
          <w:sz w:val="22"/>
          <w:szCs w:val="22"/>
        </w:rPr>
        <w:t xml:space="preserve">May the rules require the winner to accept the home rather than a cash equivalent, and what happens if the winner cannot complete closing?</w:t>
      </w:r>
    </w:p>
    <w:p>
      <w:pPr>
        <w:pStyle w:val="ListParagraph"/>
        <w:numPr>
          <w:ilvl w:val="0"/>
          <w:numId w:val="4"/>
        </w:numPr>
        <w:spacing w:after="90"/>
      </w:pPr>
      <w:r>
        <w:rPr>
          <w:rFonts w:ascii="Calibri" w:cs="Calibri" w:eastAsia="Calibri" w:hAnsi="Calibri"/>
          <w:sz w:val="22"/>
          <w:szCs w:val="22"/>
        </w:rPr>
        <w:t xml:space="preserve">Are there restrictions on the winner reselling the home immediately, and should the platform care?</w:t>
      </w:r>
    </w:p>
    <w:p>
      <w:pPr>
        <w:pStyle w:val="Heading2"/>
        <w:spacing w:after="100" w:before="220"/>
      </w:pPr>
      <w:r>
        <w:t xml:space="preserve">J. Independent administrator</w:t>
      </w:r>
    </w:p>
    <w:p>
      <w:pPr>
        <w:pStyle w:val="ListParagraph"/>
        <w:numPr>
          <w:ilvl w:val="0"/>
          <w:numId w:val="4"/>
        </w:numPr>
        <w:spacing w:after="90"/>
      </w:pPr>
      <w:r>
        <w:rPr>
          <w:rFonts w:ascii="Calibri" w:cs="Calibri" w:eastAsia="Calibri" w:hAnsi="Calibri"/>
          <w:sz w:val="22"/>
          <w:szCs w:val="22"/>
        </w:rPr>
        <w:t xml:space="preserve">Is an independent administrator legally required for this structure in the prototype state, or is it a recommended safeguard? Do specific qualifications, licensing, or bonding apply?</w:t>
      </w:r>
    </w:p>
    <w:p>
      <w:pPr>
        <w:pStyle w:val="ListParagraph"/>
        <w:numPr>
          <w:ilvl w:val="0"/>
          <w:numId w:val="4"/>
        </w:numPr>
        <w:spacing w:after="90"/>
      </w:pPr>
      <w:r>
        <w:rPr>
          <w:rFonts w:ascii="Calibri" w:cs="Calibri" w:eastAsia="Calibri" w:hAnsi="Calibri"/>
          <w:sz w:val="22"/>
          <w:szCs w:val="22"/>
        </w:rPr>
        <w:t xml:space="preserve">Must the administrator be identified by name in the official rules or consumer disclosures before registration opens?</w:t>
      </w:r>
    </w:p>
    <w:p>
      <w:pPr>
        <w:pStyle w:val="ListParagraph"/>
        <w:numPr>
          <w:ilvl w:val="0"/>
          <w:numId w:val="4"/>
        </w:numPr>
        <w:spacing w:after="90"/>
      </w:pPr>
      <w:r>
        <w:rPr>
          <w:rFonts w:ascii="Calibri" w:cs="Calibri" w:eastAsia="Calibri" w:hAnsi="Calibri"/>
          <w:sz w:val="22"/>
          <w:szCs w:val="22"/>
        </w:rPr>
        <w:t xml:space="preserve">If all rounds use predetermined objective scoring, can the model operate without a judging panel, with the administrator acting only as overseer, auditor, dispute authority, and certifier?</w:t>
      </w:r>
    </w:p>
    <w:p>
      <w:pPr>
        <w:pStyle w:val="ListParagraph"/>
        <w:numPr>
          <w:ilvl w:val="0"/>
          <w:numId w:val="4"/>
        </w:numPr>
        <w:spacing w:after="90"/>
      </w:pPr>
      <w:r>
        <w:rPr>
          <w:rFonts w:ascii="Calibri" w:cs="Calibri" w:eastAsia="Calibri" w:hAnsi="Calibri"/>
          <w:sz w:val="22"/>
          <w:szCs w:val="22"/>
        </w:rPr>
        <w:t xml:space="preserve">What written authority should the administrator have over integrity findings, technical failures, disputes, tie-break administration, and winner certification, and what records and certification form should it produce before closing?</w:t>
      </w:r>
    </w:p>
    <w:p>
      <w:pPr>
        <w:pStyle w:val="Heading2"/>
        <w:spacing w:after="100" w:before="220"/>
      </w:pPr>
      <w:r>
        <w:t xml:space="preserve">K. Process and engagement</w:t>
      </w:r>
    </w:p>
    <w:p>
      <w:pPr>
        <w:pStyle w:val="ListParagraph"/>
        <w:numPr>
          <w:ilvl w:val="0"/>
          <w:numId w:val="4"/>
        </w:numPr>
        <w:spacing w:after="90"/>
      </w:pPr>
      <w:r>
        <w:rPr>
          <w:rFonts w:ascii="Calibri" w:cs="Calibri" w:eastAsia="Calibri" w:hAnsi="Calibri"/>
          <w:sz w:val="22"/>
          <w:szCs w:val="22"/>
        </w:rPr>
        <w:t xml:space="preserve">What is your recommended sequence: classification opinion first, then state selection, then custody and payments, then real estate and tax? Which items can proceed in parallel?</w:t>
      </w:r>
    </w:p>
    <w:p>
      <w:pPr>
        <w:pStyle w:val="ListParagraph"/>
        <w:numPr>
          <w:ilvl w:val="0"/>
          <w:numId w:val="4"/>
        </w:numPr>
        <w:spacing w:after="90"/>
      </w:pPr>
      <w:r>
        <w:rPr>
          <w:rFonts w:ascii="Calibri" w:cs="Calibri" w:eastAsia="Calibri" w:hAnsi="Calibri"/>
          <w:sz w:val="22"/>
          <w:szCs w:val="22"/>
        </w:rPr>
        <w:t xml:space="preserve">Which specialists should be engaged beyond gaming and promotions counsel: real estate, payments and financial regulation, tax, privacy, and in which order?</w:t>
      </w:r>
    </w:p>
    <w:p>
      <w:pPr>
        <w:pStyle w:val="ListParagraph"/>
        <w:numPr>
          <w:ilvl w:val="0"/>
          <w:numId w:val="4"/>
        </w:numPr>
        <w:spacing w:after="90"/>
      </w:pPr>
      <w:r>
        <w:rPr>
          <w:rFonts w:ascii="Calibri" w:cs="Calibri" w:eastAsia="Calibri" w:hAnsi="Calibri"/>
          <w:sz w:val="22"/>
          <w:szCs w:val="22"/>
        </w:rPr>
        <w:t xml:space="preserve">Which of the questions above depend on decisions we still need to make (registration fee, first property, Model A versus B, in-person versus remote Final)? Please flag them so we can decide before you spend time on them.</w:t>
      </w:r>
    </w:p>
    <w:p>
      <w:pPr>
        <w:pStyle w:val="ListParagraph"/>
        <w:numPr>
          <w:ilvl w:val="0"/>
          <w:numId w:val="4"/>
        </w:numPr>
        <w:spacing w:after="90"/>
      </w:pPr>
      <w:r>
        <w:rPr>
          <w:rFonts w:ascii="Calibri" w:cs="Calibri" w:eastAsia="Calibri" w:hAnsi="Calibri"/>
          <w:sz w:val="22"/>
          <w:szCs w:val="22"/>
        </w:rPr>
        <w:t xml:space="preserve">What would cause you to advise us not to proceed at all?</w:t>
      </w:r>
    </w:p>
    <w:p>
      <w:pPr>
        <w:pStyle w:val="Heading1"/>
        <w:spacing w:after="140" w:before="320"/>
      </w:pPr>
      <w:r>
        <w:t xml:space="preserve">13. Materials available on request</w:t>
      </w:r>
    </w:p>
    <w:p>
      <w:pPr>
        <w:pStyle w:val="ListParagraph"/>
        <w:numPr>
          <w:ilvl w:val="0"/>
          <w:numId w:val="3"/>
        </w:numPr>
        <w:spacing w:after="70"/>
      </w:pPr>
      <w:r>
        <w:rPr>
          <w:rFonts w:ascii="Calibri" w:cs="Calibri" w:eastAsia="Calibri" w:hAnsi="Calibri"/>
          <w:sz w:val="22"/>
          <w:szCs w:val="22"/>
        </w:rPr>
        <w:t xml:space="preserve">Attorney Review Memorandum, version 1 (September 9, 2026), including Washington source references.</w:t>
      </w:r>
    </w:p>
    <w:p>
      <w:pPr>
        <w:pStyle w:val="ListParagraph"/>
        <w:numPr>
          <w:ilvl w:val="0"/>
          <w:numId w:val="3"/>
        </w:numPr>
        <w:spacing w:after="70"/>
      </w:pPr>
      <w:r>
        <w:rPr>
          <w:rFonts w:ascii="Calibri" w:cs="Calibri" w:eastAsia="Calibri" w:hAnsi="Calibri"/>
          <w:sz w:val="22"/>
          <w:szCs w:val="22"/>
        </w:rPr>
        <w:t xml:space="preserve">Section 6: Competition Design (Revised), with item formats, advancement rules, tie-break protocol, integrity tiers, and answer-key commitment process.</w:t>
      </w:r>
    </w:p>
    <w:p>
      <w:pPr>
        <w:pStyle w:val="ListParagraph"/>
        <w:numPr>
          <w:ilvl w:val="0"/>
          <w:numId w:val="3"/>
        </w:numPr>
        <w:spacing w:after="70"/>
      </w:pPr>
      <w:r>
        <w:rPr>
          <w:rFonts w:ascii="Calibri" w:cs="Calibri" w:eastAsia="Calibri" w:hAnsi="Calibri"/>
          <w:sz w:val="22"/>
          <w:szCs w:val="22"/>
        </w:rPr>
        <w:t xml:space="preserve">Strategy Design v2, including acquisition models, money flow, unit economics, seller product, roadmap, and kill criteria.</w:t>
      </w:r>
    </w:p>
    <w:p>
      <w:pPr>
        <w:pStyle w:val="ListParagraph"/>
        <w:numPr>
          <w:ilvl w:val="0"/>
          <w:numId w:val="3"/>
        </w:numPr>
        <w:spacing w:after="70"/>
      </w:pPr>
      <w:r>
        <w:rPr>
          <w:rFonts w:ascii="Calibri" w:cs="Calibri" w:eastAsia="Calibri" w:hAnsi="Calibri"/>
          <w:sz w:val="22"/>
          <w:szCs w:val="22"/>
        </w:rPr>
        <w:t xml:space="preserve">Draft entrant flow and landing-page wireframes (in progress).</w:t>
      </w:r>
    </w:p>
    <w:p>
      <w:pPr>
        <w:pStyle w:val="ListParagraph"/>
        <w:numPr>
          <w:ilvl w:val="0"/>
          <w:numId w:val="3"/>
        </w:numPr>
        <w:spacing w:after="70"/>
      </w:pPr>
      <w:r>
        <w:rPr>
          <w:rFonts w:ascii="Calibri" w:cs="Calibri" w:eastAsia="Calibri" w:hAnsi="Calibri"/>
          <w:sz w:val="22"/>
          <w:szCs w:val="22"/>
        </w:rPr>
        <w:t xml:space="preserve">Sample Round 1 item bank (in progress).</w:t>
      </w:r>
    </w:p>
    <w:p>
      <w:pPr>
        <w:spacing w:after="60"/>
      </w:pPr>
    </w:p>
    <w:p>
      <w:pPr>
        <w:spacing w:after="120" w:before="0"/>
      </w:pPr>
      <w:r>
        <w:rPr>
          <w:rFonts w:ascii="Calibri" w:cs="Calibri" w:eastAsia="Calibri" w:hAnsi="Calibri"/>
          <w:b/>
          <w:bCs/>
          <w:sz w:val="22"/>
          <w:szCs w:val="22"/>
        </w:rPr>
        <w:t xml:space="preserve">Working position. </w:t>
      </w:r>
      <w:r>
        <w:rPr>
          <w:rFonts w:ascii="Calibri" w:cs="Calibri" w:eastAsia="Calibri" w:hAnsi="Calibri"/>
          <w:sz w:val="22"/>
          <w:szCs w:val="22"/>
        </w:rPr>
        <w:t xml:space="preserve">We are not trying to sell chances to win a house. We are trying to sell admission to a bona fide skill competition in which a house is the grand prize, and to build a seller product around it. Whether that is lawful, where, and under what controls is the question this memo asks counsel to answer before we accept a single payment or advertise paid participation.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Not legal advice. Not for consumer-facing use.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Calibri" w:cs="Calibri" w:eastAsia="Calibri" w:hAnsi="Calibri"/>
        <w:color w:val="595959"/>
        <w:sz w:val="16"/>
        <w:szCs w:val="16"/>
      </w:rPr>
      <w:t xml:space="preserve">MERIT SALE  |  CONCEPT MEMORANDUM FOR COUNSEL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Q%1."/>
      <w:lvlJc w:val="left"/>
      <w:pPr>
        <w:ind w:left="720" w:hanging="5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0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Merit Sale: Concept Memorandum and Questions for Counsel</dc:title>
  <dc:creator>Merit Sale Platform</dc:creator>
  <cp:lastModifiedBy>Un-named</cp:lastModifiedBy>
  <cp:revision>1</cp:revision>
  <dcterms:created xsi:type="dcterms:W3CDTF">2026-09-10T00:44:08.099Z</dcterms:created>
  <dcterms:modified xsi:type="dcterms:W3CDTF">2026-09-10T00:44:08.099Z</dcterms:modified>
</cp:coreProperties>
</file>

<file path=docProps/custom.xml><?xml version="1.0" encoding="utf-8"?>
<Properties xmlns="http://schemas.openxmlformats.org/officeDocument/2006/custom-properties" xmlns:vt="http://schemas.openxmlformats.org/officeDocument/2006/docPropsVTypes"/>
</file>