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03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40"/>
                <w:szCs w:val="40"/>
              </w:rPr>
              <w:t xml:space="preserve">Cypher Landing Page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DD4BF"/>
                <w:sz w:val="28"/>
                <w:szCs w:val="28"/>
              </w:rPr>
              <w:t xml:space="preserve">Styling Guidelines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Reference document for contributors working on the public landing page CSS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2030"/>
          <w:sz w:val="22"/>
          <w:szCs w:val="22"/>
        </w:rPr>
        <w:t xml:space="preserve">1.  Colour Palette</w:t>
      </w:r>
    </w:p>
    <w:p>
      <w:pPr>
        <w:pBdr>
          <w:bottom w:val="single" w:color="2DD4BF" w:sz="8" w:space="1"/>
        </w:pBdr>
        <w:spacing w:after="10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"/>
        <w:gridCol w:w="2523"/>
        <w:gridCol w:w="2313"/>
        <w:gridCol w:w="2943"/>
        <w:gridCol w:w="1261"/>
      </w:tblGrid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Category</w:t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Token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Value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Role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Background</w:t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--bg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#1e2030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Page background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--bg-surface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#252840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Surface / container bg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528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--bg-card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#252840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Card background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528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--bg-card-hover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#2e3150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Card hover state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E31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Border</w:t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--border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#2e3150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Standard border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E31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--border-med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rgba(46,49,80,0.8)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Medium-opacity border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E31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--border-accent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rgba(45,212,191,0.3)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Teal accent border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DD4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Text</w:t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--text-primary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#e2e8f0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Primary text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--text-secondary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#94a3b8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Secondary text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94A3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--text-tertiary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#64748b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Captions / minimum contrast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Accent</w:t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--accent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#2dd4bf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Primary teal accent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DD4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--accent-dim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rgba(45,212,191,0.12)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Low-opacity accent fill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2DD4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Semantic</w:t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--mono-green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#86efac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Success / action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86EF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--mono-amber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#fcd34d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Warning / actor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CD3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--mono-blue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#38bdf8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Info / domain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38BD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--mono-red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#f87171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Error / value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8717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47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52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5"/>
                <w:szCs w:val="15"/>
              </w:rPr>
              <w:t xml:space="preserve">--mono-purple</w:t>
            </w:r>
          </w:p>
        </w:tc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#c4b5fd</w:t>
            </w:r>
          </w:p>
        </w:tc>
        <w:tc>
          <w:tcPr>
            <w:tcW w:type="dxa" w:w="294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Location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C4B5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2030"/>
          <w:sz w:val="22"/>
          <w:szCs w:val="22"/>
        </w:rPr>
        <w:t xml:space="preserve">2.  Typography</w:t>
      </w:r>
    </w:p>
    <w:p>
      <w:pPr>
        <w:pBdr>
          <w:bottom w:val="single" w:color="2DD4BF" w:sz="8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17"/>
          <w:szCs w:val="17"/>
        </w:rPr>
        <w:t xml:space="preserve">Fonts: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UI / Body — Inter (300, 400, 500) via --font-ui     |     Monospace / Data — PT Mono via --font-mono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628"/>
        <w:gridCol w:w="946"/>
        <w:gridCol w:w="1472"/>
        <w:gridCol w:w="3153"/>
      </w:tblGrid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Element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Font Size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Weight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Line-Height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Letter-Spacing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Hero Title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clamp(44px, 6.5vw, 92px)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1.04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-0.02em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Page Title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clamp(38px, 5vw, 64px)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1.08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-0.015em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Section Heading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clamp(28px, 3.5vw, 46px)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1.12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-0.015em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Entry Heading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clamp(22px, 3vw, 32px)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1.18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-0.01em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Cap H2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clamp(24px, 3vw, 36px)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1.18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-0.01em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Page Intro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18px italic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1.75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Body Text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15px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1.82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Pull Quote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17px italic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1.70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Callout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13px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Captions / Labels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10–11px uppercase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1.4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0.12–0.16em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Monospace / Code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12–13px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1.7–2.0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313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Breadcrumb</w:t>
            </w:r>
          </w:p>
        </w:tc>
        <w:tc>
          <w:tcPr>
            <w:tcW w:type="dxa" w:w="2102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10px uppercase</w:t>
            </w:r>
          </w:p>
        </w:tc>
        <w:tc>
          <w:tcPr>
            <w:tcW w:type="dxa" w:w="105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400</w:t>
            </w:r>
          </w:p>
        </w:tc>
        <w:tc>
          <w:tcPr>
            <w:tcW w:type="dxa" w:w="1261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378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0.16em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2030"/>
          <w:sz w:val="22"/>
          <w:szCs w:val="22"/>
        </w:rPr>
        <w:t xml:space="preserve">3.  Spacing &amp; Layout</w:t>
      </w:r>
    </w:p>
    <w:p>
      <w:pPr>
        <w:pBdr>
          <w:bottom w:val="single" w:color="2DD4BF" w:sz="8" w:space="1"/>
        </w:pBdr>
        <w:spacing w:after="10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5"/>
        <w:gridCol w:w="6517"/>
      </w:tblGrid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Property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Page container max-width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1280px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Page container horiz. padding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48px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Nav height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54px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Hero padding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100px top / 80px bottom / 48px sides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Section padding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100px vertical / 48px horizontal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Entry padding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72px vertical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Footer padding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36px 48px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Background grid unit (--grid-size)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72px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Common spacing scale (px)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4  6  8  12  16  20  24  28  32  36  40  48  56  64  72  80  120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2030"/>
          <w:sz w:val="22"/>
          <w:szCs w:val="22"/>
        </w:rPr>
        <w:t xml:space="preserve">4.  Responsive Breakpoints</w:t>
      </w:r>
    </w:p>
    <w:p>
      <w:pPr>
        <w:pBdr>
          <w:bottom w:val="single" w:color="2DD4BF" w:sz="8" w:space="1"/>
        </w:pBdr>
        <w:spacing w:after="10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8620"/>
      </w:tblGrid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Max-Width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Key Changes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1200px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Hero collapses to single column; hero right panel hidden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1024px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Nav/footer padding → 24px; sidebars hidden; most grids → 1 col; hero padding → 80px 24px 64px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768px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Hero logo height → 56px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640px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All remaining grids (problem, stack, metrics) → 1 column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2030"/>
          <w:sz w:val="22"/>
          <w:szCs w:val="22"/>
        </w:rPr>
        <w:t xml:space="preserve">5.  Component Conventions</w:t>
      </w:r>
    </w:p>
    <w:p>
      <w:pPr>
        <w:pBdr>
          <w:bottom w:val="single" w:color="2DD4BF" w:sz="8" w:space="1"/>
        </w:pBdr>
        <w:spacing w:after="10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4"/>
        <w:gridCol w:w="7358"/>
      </w:tblGrid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Component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1E2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Key CSS Properties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.nav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Fixed top, z-index 100, height 54px, padding 0 48px, bg rgba(30,32,48,0.92) + blur(16px), 1px bottom border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.btn-primary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11px uppercase mono | dark text on oklch(0.78 0.10 220) teal | padding 12px 28px | hover opacity 0.88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.btn-ghost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11px uppercase mono | --text-secondary | border-bottom 1px | hover: text-primary + teal border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.aside-block / .problem-card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bg var(--bg-card) | 1px border | padding 24–32px | hover bg-card-hover | transition 0.2s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.pull-quote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border-left 2px teal | padding 28px 32px | italic 17px | line-height 1.7</w:t>
            </w:r>
          </w:p>
        </w:tc>
      </w:tr>
      <w:tr>
        <w:tc>
          <w:tcPr>
            <w:tcW w:type="dxa" w:w="3995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.callout</w:t>
            </w:r>
          </w:p>
        </w:tc>
        <w:tc>
          <w:tcPr>
            <w:tcW w:type="dxa" w:w="6517"/>
            <w:tcBorders>
              <w:top w:val="single" w:color="2E3150" w:sz="1"/>
              <w:left w:val="single" w:color="2E3150" w:sz="1"/>
              <w:bottom w:val="single" w:color="2E3150" w:sz="1"/>
              <w:right w:val="single" w:color="2E315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flex gap 20px | bg-card | 1px border | padding 24px 28px | 13px font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E2030"/>
          <w:sz w:val="22"/>
          <w:szCs w:val="22"/>
        </w:rPr>
        <w:t xml:space="preserve">6.  General Conventions</w:t>
      </w:r>
    </w:p>
    <w:p>
      <w:pPr>
        <w:pBdr>
          <w:bottom w:val="single" w:color="2DD4BF" w:sz="8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All colours, fonts, and spacing reference CSS custom properties via var(--token)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Pure vanilla CSS — no Tailwind, no preprocessor, no CSS modules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Semantic class names; no utility classes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Transitions: 0.2s for interactive states, 0.7s for scroll-reveal animations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CSS Grid for all multi-column layouts; Flexbox for intra-row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Borders are consistently 1px solid; opacity variants create visual hierarchy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Numbers and data always use PT Mono (monospace)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All headings are font-weight 300 (light) — never bold headings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Scroll-reveal: opacity 0 + translateY(20px) → .visible class adds opacity 1 + translateY(0)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Z-index stack: grid bg (0) → content (1) → nav (100) → menu backdrop (200) → menu panel (300)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Accent colour uses OKLch for perceptual uniformity: oklch(0.78 0.10 220) / #2dd4bf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2026-05-05T16:03:42.835Z</dcterms:created>
  <dcterms:modified xsi:type="dcterms:W3CDTF">2026-05-05T16:03:42.835Z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