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1984472884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PIX</w:t>
      </w:r>
      <w:r>
        <w:rPr>
          <w:rFonts w:hint="eastAsia" w:ascii="微软雅黑" w:hAnsi="微软雅黑" w:eastAsia="微软雅黑"/>
        </w:rPr>
        <w:t>方式收银台接入测试报告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_Toc1984472884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PIX</w:t>
          </w:r>
          <w:r>
            <w:rPr>
              <w:rFonts w:hint="eastAsia" w:ascii="微软雅黑" w:hAnsi="微软雅黑" w:eastAsia="微软雅黑"/>
            </w:rPr>
            <w:t>方式收银台接入测试报告</w:t>
          </w:r>
          <w:r>
            <w:tab/>
          </w:r>
          <w:r>
            <w:fldChar w:fldCharType="begin"/>
          </w:r>
          <w:r>
            <w:instrText xml:space="preserve"> PAGEREF _Toc1984472884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_Toc467239831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_Toc467239831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_Toc1699626185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_Toc1699626185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_Toc1937302548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_Toc1937302548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_Toc96868422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_Toc96868422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8" w:name="_GoBack"/>
          <w:bookmarkEnd w:id="8"/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_Toc274964128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_Toc274964128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_Toc2084774599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_Toc2084774599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_Toc463500941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_Toc463500941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467239831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能够正确出现连连收银台页面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pix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二维码页面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4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二维码页面截图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1699626185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 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1937302548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96868422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274964128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2084774599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6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463500941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387B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2DD"/>
    <w:rsid w:val="003A3AA5"/>
    <w:rsid w:val="003C51A2"/>
    <w:rsid w:val="003C60B7"/>
    <w:rsid w:val="003E3BB3"/>
    <w:rsid w:val="003F085C"/>
    <w:rsid w:val="00401358"/>
    <w:rsid w:val="00422283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A6CC2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B3615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D777D"/>
    <w:rsid w:val="00AE43CB"/>
    <w:rsid w:val="00AE514F"/>
    <w:rsid w:val="00AE77A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2FC7D0BD"/>
    <w:rsid w:val="DFDFD78E"/>
    <w:rsid w:val="DFFD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320</Words>
  <Characters>1827</Characters>
  <Lines>15</Lines>
  <Paragraphs>4</Paragraphs>
  <TotalTime>0</TotalTime>
  <ScaleCrop>false</ScaleCrop>
  <LinksUpToDate>false</LinksUpToDate>
  <CharactersWithSpaces>2143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2023-09-14T10:42:36Z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33A348E34B17C49060570165A90E2E79</vt:lpwstr>
  </property>
</Properties>
</file>