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28"/>
        </w:rPr>
        <w:t>Dr. Mohsin Kaldas Clinic</w:t>
      </w:r>
    </w:p>
    <w:p>
      <w:pPr>
        <w:spacing w:before="0" w:after="0"/>
        <w:jc w:val="center"/>
      </w:pPr>
      <w:r>
        <w:rPr>
          <w:b w:val="0"/>
          <w:sz w:val="20"/>
        </w:rPr>
        <w:t>Formulaire d'approbation</w:t>
      </w:r>
    </w:p>
    <w:p>
      <w:pPr>
        <w:spacing w:before="0" w:after="0"/>
        <w:jc w:val="center"/>
      </w:pPr>
      <w:r>
        <w:rPr>
          <w:b w:val="0"/>
          <w:sz w:val="20"/>
        </w:rPr>
        <w:t>Référence#:  11165388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03"/>
        <w:gridCol w:w="5103"/>
      </w:tblGrid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Individual Number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17318013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Card Holder Name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[REDACTED]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18/01/1981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Insurance Co.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BKIC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Physician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MOHSIN KALDAS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Approval Date</w:t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09/11/2025</w:t>
            </w:r>
          </w:p>
        </w:tc>
      </w:tr>
      <w:tr>
        <w:tc>
          <w:tcPr>
            <w:tcW w:type="dxa" w:w="368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</w:r>
          </w:p>
        </w:tc>
        <w:tc>
          <w:tcPr>
            <w:tcW w:type="dxa" w:w="5953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31/12/2025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Clm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App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CONSULTATION-CONSULTANT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Visite de consultation - Consultant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[REDACTED]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458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8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Clm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Qty App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INJECTIONS ET PERFUSIONS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LINCOCIN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INJECTIONS ET PERFUSIONS</w:t>
            </w:r>
          </w:p>
        </w:tc>
        <w:tc>
          <w:tcPr>
            <w:tcW w:type="dxa" w:w="198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Depomedrol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/>
                <w:sz w:val="20"/>
              </w:rPr>
              <w:t>Approuvé</w:t>
            </w:r>
          </w:p>
        </w:tc>
        <w:tc>
          <w:tcPr>
            <w:tcW w:type="dxa" w:w="1417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Test indiqué</w:t>
            </w:r>
          </w:p>
        </w:tc>
      </w:tr>
      <w:tr>
        <w:tc>
          <w:tcPr>
            <w:tcW w:type="dxa" w:w="9636"/>
            <w:gridSpan w:val="7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</w:rPr>
              <w:t>Détails de la couverture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9638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Notes importantes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9638"/>
          </w:tcPr>
          <w:p/>
          <w:p>
            <w:pPr>
              <w:spacing w:before="20" w:after="20"/>
            </w:pPr>
            <w:r>
              <w:rPr>
                <w:b w:val="0"/>
                <w:i/>
                <w:sz w:val="18"/>
              </w:rPr>
              <w:t>Veuillez joindre les documents requis lors de la soumission de la demande de remboursement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1-Formulaire d'approbation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2-Copie de la carte d'identité et/ou passeport, CPR, permis de conduire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3-Formulaire de demande de remboursement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4-Copie de la carte d'assurance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5-Rapport médical et résultats du test demandé - le cas échéant</w:t>
            </w:r>
          </w:p>
          <w:p>
            <w:pPr>
              <w:spacing w:before="20" w:after="20"/>
            </w:pPr>
            <w:r>
              <w:rPr>
                <w:b w:val="0"/>
                <w:sz w:val="18"/>
              </w:rPr>
              <w:t>6-Résumé de sortie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Diagnostic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Otite moyenne séreuse aiguë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Otite moyenne séreuse aiguë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0208"/>
            <w:gridSpan w:val="8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Informations médicales</w:t>
            </w:r>
          </w:p>
        </w:tc>
      </w:tr>
      <w:tr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TA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Pouls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Température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Durée de la maladie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Plaintes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Signes</w:t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Autres</w:t>
            </w:r>
          </w:p>
        </w:tc>
      </w:tr>
      <w:tr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205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Fichiers téléchargés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</w:rPr>
              <w:t>Informations supplémentaires</w:t>
            </w:r>
          </w:p>
        </w:tc>
      </w:tr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rPr>
          <w:b w:val="0"/>
          <w:sz w:val="18"/>
        </w:rPr>
        <w:t>%09%09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En cas d'approbation, cette demande est soumise à un examen concernant le tarif, les remises et la nécessité médicale – Habituel, Raisonnable et Personnalisé. Merci.</w:t>
            </w:r>
          </w:p>
        </w:tc>
      </w:tr>
    </w:tbl>
    <w:p>
      <w:pPr>
        <w:spacing w:before="0" w:after="0"/>
        <w:jc w:val="left"/>
      </w:pPr>
      <w:r>
        <w:rPr>
          <w:b/>
          <w:sz w:val="20"/>
        </w:rPr>
        <w:t>Cette demande est soumise aux termes et conditions de TVA du Royaume de Bahreïn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