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02"/>
        <w:gridCol w:w="4802"/>
      </w:tblGrid>
      <w:tr>
        <w:tc>
          <w:tcPr>
            <w:tcW w:type="dxa" w:w="4802"/>
            <w:tcW w:w="6804" w:type="dxa"/>
          </w:tcPr>
          <w:p>
            <w:pPr>
              <w:jc w:val="left"/>
              <w:spacing w:before="0" w:after="0"/>
            </w:pPr>
            <w:r>
              <w:rPr>
                <w:b/>
                <w:i w:val="0"/>
                <w:color w:val="1A2B4C"/>
                <w:sz w:val="22"/>
                <w:u w:val="none"/>
              </w:rPr>
              <w:t>Ingénieur IA</w:t>
            </w:r>
            <w:r>
              <w:rPr>
                <w:b w:val="0"/>
                <w:i w:val="0"/>
                <w:color w:val="B4B4B4"/>
                <w:sz w:val="22"/>
                <w:u w:val="none"/>
              </w:rPr>
              <w:t xml:space="preserve">  |  </w:t>
            </w:r>
            <w:r>
              <w:rPr>
                <w:b w:val="0"/>
                <w:i w:val="0"/>
                <w:color w:val="1A2B4C"/>
                <w:sz w:val="22"/>
                <w:u w:val="none"/>
              </w:rPr>
              <w:t>Inheaden - Ministry of Human Resources and Emiratization</w:t>
            </w:r>
          </w:p>
          <w:p>
            <w:pPr>
              <w:jc w:val="left"/>
              <w:spacing w:before="0" w:after="0"/>
            </w:pPr>
            <w:r>
              <w:rPr>
                <w:b w:val="0"/>
                <w:i/>
                <w:color w:val="787878"/>
                <w:sz w:val="18"/>
                <w:u w:val="none"/>
              </w:rPr>
              <w:t>Dubaï, Émirats arabes unis - Hybride</w:t>
            </w:r>
          </w:p>
        </w:tc>
        <w:tc>
          <w:tcPr>
            <w:tcW w:type="dxa" w:w="4802"/>
            <w:tcW w:w="2835" w:type="dxa"/>
          </w:tcPr>
          <w:p>
            <w:pPr>
              <w:jc w:val="right"/>
              <w:spacing w:before="0" w:after="0"/>
            </w:pPr>
            <w:r>
              <w:rPr>
                <w:b/>
                <w:i w:val="0"/>
                <w:color w:val="1A2B4C"/>
                <w:sz w:val="20"/>
                <w:u w:val="none"/>
              </w:rPr>
              <w:t>Mar 2025 – Dec 2025</w:t>
            </w:r>
          </w:p>
        </w:tc>
      </w:tr>
    </w:tbl>
    <w:p>
      <w:pPr>
        <w:jc w:val="left"/>
        <w:spacing w:before="0" w:after="20" w:line="276" w:lineRule="auto"/>
        <w:ind w:left="360" w:hanging="180"/>
      </w:pPr>
      <w:r>
        <w:rPr>
          <w:color w:val="000000"/>
          <w:sz w:val="19"/>
        </w:rPr>
        <w:t xml:space="preserve">•  </w:t>
      </w:r>
      <w:r>
        <w:rPr>
          <w:color w:val="000000"/>
          <w:sz w:val="19"/>
        </w:rPr>
        <w:t>A agi en tant que l'un des responsables de l'équipe IA dans le cadre d'un grand projet de transformation gouvernementale aux Émirats arabes unis, en assurant la conception de l'architecture et la mise en œuvre des modules IA essentiels pour MoHRE.</w:t>
      </w:r>
    </w:p>
    <w:p>
      <w:pPr>
        <w:jc w:val="left"/>
        <w:spacing w:before="0" w:after="20" w:line="276" w:lineRule="auto"/>
        <w:ind w:left="360" w:hanging="180"/>
      </w:pPr>
      <w:r>
        <w:rPr>
          <w:color w:val="000000"/>
          <w:sz w:val="19"/>
        </w:rPr>
        <w:t xml:space="preserve">•  </w:t>
      </w:r>
      <w:r>
        <w:rPr>
          <w:color w:val="000000"/>
          <w:sz w:val="19"/>
        </w:rPr>
        <w:t>A conçu et livré une plateforme d'automatisation des prévisions qui interprète les saisies utilisateur et les fichiers Excel, extrait des signaux statistiques et de métadonnées, et combine des outils déterministes avec un mécanisme de repli LLM pour la production de résultats analytiques.</w:t>
      </w:r>
    </w:p>
    <w:p>
      <w:pPr>
        <w:jc w:val="left"/>
        <w:spacing w:before="0" w:after="20" w:line="276" w:lineRule="auto"/>
        <w:ind w:left="360" w:hanging="180"/>
      </w:pPr>
      <w:r>
        <w:rPr>
          <w:color w:val="000000"/>
          <w:sz w:val="19"/>
        </w:rPr>
        <w:t xml:space="preserve">•  </w:t>
      </w:r>
      <w:r>
        <w:rPr>
          <w:color w:val="000000"/>
          <w:sz w:val="19"/>
        </w:rPr>
        <w:t>A assuré la conception et la mise en œuvre de bout en bout d'un système de dialogue avec une base de données portant sur une base de données nationale de la main-d'œuvre aux Émirats arabes unis, en tirant parti de la RAG, des flux de travail agentiques, du classement de documents et de l'appel d'outils pour fournir des réponses contextualisées avec une logique de repli et de récupération.</w:t>
      </w:r>
    </w:p>
    <w:p>
      <w:pPr>
        <w:jc w:val="left"/>
        <w:spacing w:before="0" w:after="20" w:line="276" w:lineRule="auto"/>
        <w:ind w:left="360" w:hanging="180"/>
      </w:pPr>
      <w:r>
        <w:rPr>
          <w:color w:val="000000"/>
          <w:sz w:val="19"/>
        </w:rPr>
        <w:t xml:space="preserve">•  </w:t>
      </w:r>
      <w:r>
        <w:rPr>
          <w:color w:val="000000"/>
          <w:sz w:val="19"/>
        </w:rPr>
        <w:t>A travaillé en étroite collaboration avec des analystes, des ingénieurs de données et des parties prenantes gouvernementales pour traduire des exigences complexes en systèmes d'IA évolutifs destinés à une utilisation en production.</w:t>
      </w:r>
    </w:p>
    <w:p>
      <w:pPr>
        <w:spacing w:before="120" w:after="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02"/>
        <w:gridCol w:w="4802"/>
      </w:tblGrid>
      <w:tr>
        <w:tc>
          <w:tcPr>
            <w:tcW w:type="dxa" w:w="4802"/>
            <w:tcW w:w="6804" w:type="dxa"/>
          </w:tcPr>
          <w:p>
            <w:pPr>
              <w:jc w:val="left"/>
              <w:spacing w:before="0" w:after="0"/>
            </w:pPr>
            <w:r>
              <w:rPr>
                <w:b/>
                <w:i w:val="0"/>
                <w:color w:val="1A2B4C"/>
                <w:sz w:val="22"/>
                <w:u w:val="none"/>
              </w:rPr>
              <w:t>Ingénieur en apprentissage automatique</w:t>
            </w:r>
            <w:r>
              <w:rPr>
                <w:b w:val="0"/>
                <w:i w:val="0"/>
                <w:color w:val="B4B4B4"/>
                <w:sz w:val="22"/>
                <w:u w:val="none"/>
              </w:rPr>
              <w:t xml:space="preserve">  |  </w:t>
            </w:r>
            <w:r>
              <w:rPr>
                <w:b w:val="0"/>
                <w:i w:val="0"/>
                <w:color w:val="1A2B4C"/>
                <w:sz w:val="22"/>
                <w:u w:val="none"/>
              </w:rPr>
              <w:t>GlobeMed Solutions Health Insurance</w:t>
            </w:r>
          </w:p>
          <w:p>
            <w:pPr>
              <w:jc w:val="left"/>
              <w:spacing w:before="0" w:after="0"/>
            </w:pPr>
            <w:r>
              <w:rPr>
                <w:b w:val="0"/>
                <w:i/>
                <w:color w:val="787878"/>
                <w:sz w:val="18"/>
                <w:u w:val="none"/>
              </w:rPr>
              <w:t>Beyrouth, Liban - Sur site</w:t>
            </w:r>
          </w:p>
        </w:tc>
        <w:tc>
          <w:tcPr>
            <w:tcW w:type="dxa" w:w="4802"/>
            <w:tcW w:w="2835" w:type="dxa"/>
          </w:tcPr>
          <w:p>
            <w:pPr>
              <w:jc w:val="right"/>
              <w:spacing w:before="0" w:after="0"/>
            </w:pPr>
            <w:r>
              <w:rPr>
                <w:b/>
                <w:i w:val="0"/>
                <w:color w:val="1A2B4C"/>
                <w:sz w:val="20"/>
                <w:u w:val="none"/>
              </w:rPr>
              <w:t>Sept 2024 – Mar 2025</w:t>
            </w:r>
          </w:p>
        </w:tc>
      </w:tr>
    </w:tbl>
    <w:p>
      <w:pPr>
        <w:jc w:val="left"/>
        <w:spacing w:before="0" w:after="20" w:line="276" w:lineRule="auto"/>
        <w:ind w:left="360" w:hanging="180"/>
      </w:pPr>
      <w:r>
        <w:rPr>
          <w:color w:val="000000"/>
          <w:sz w:val="19"/>
        </w:rPr>
        <w:t xml:space="preserve">•  </w:t>
      </w:r>
      <w:r>
        <w:rPr>
          <w:color w:val="000000"/>
          <w:sz w:val="19"/>
        </w:rPr>
        <w:t>A conçu et livré un système de traduction en traitement automatique du langage naturel multilingue utilisant MarianMT, Hugging Face et PyTorch pour le français, l'italien et le roumain, améliorant les flux de travail de traduction interne grâce à la recherche par faisceau, la notation de confiance et l'apprentissage semi-continu avec évaluation BLEU et BERTScore.</w:t>
      </w:r>
    </w:p>
    <w:p>
      <w:pPr>
        <w:jc w:val="left"/>
        <w:spacing w:before="0" w:after="20" w:line="276" w:lineRule="auto"/>
        <w:ind w:left="360" w:hanging="180"/>
      </w:pPr>
      <w:r>
        <w:rPr>
          <w:color w:val="000000"/>
          <w:sz w:val="19"/>
        </w:rPr>
        <w:t xml:space="preserve">•  </w:t>
      </w:r>
      <w:r>
        <w:rPr>
          <w:color w:val="000000"/>
          <w:sz w:val="19"/>
        </w:rPr>
        <w:t>A amélioré l'efficacité des flux de travail de 40 %, porté les données d'entraînement de 1 000 à 15 000 enregistrements et amélioré les performances du modèle de 22 %, renforçant la qualité des résultats malgré des données de domaine imparfaites.</w:t>
      </w:r>
    </w:p>
    <w:p>
      <w:pPr>
        <w:jc w:val="left"/>
        <w:spacing w:before="0" w:after="20" w:line="276" w:lineRule="auto"/>
        <w:ind w:left="360" w:hanging="180"/>
      </w:pPr>
      <w:r>
        <w:rPr>
          <w:color w:val="000000"/>
          <w:sz w:val="19"/>
        </w:rPr>
        <w:t xml:space="preserve">•  </w:t>
      </w:r>
      <w:r>
        <w:rPr>
          <w:color w:val="000000"/>
          <w:sz w:val="19"/>
        </w:rPr>
        <w:t>A développé une solution de résolution d'entités pour mapper les enregistrements entre les systèmes hérités et les nouveaux systèmes, réduisant le temps de débogage de 50 % et accélérant considérablement la réconciliation des données entre systèmes.</w:t>
      </w:r>
    </w:p>
    <w:p>
      <w:pPr>
        <w:spacing w:before="120" w:after="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02"/>
        <w:gridCol w:w="4802"/>
      </w:tblGrid>
      <w:tr>
        <w:tc>
          <w:tcPr>
            <w:tcW w:type="dxa" w:w="4802"/>
            <w:tcW w:w="6804" w:type="dxa"/>
          </w:tcPr>
          <w:p>
            <w:pPr>
              <w:jc w:val="left"/>
              <w:spacing w:before="0" w:after="0"/>
            </w:pPr>
            <w:r>
              <w:rPr>
                <w:b/>
                <w:i w:val="0"/>
                <w:color w:val="1A2B4C"/>
                <w:sz w:val="22"/>
                <w:u w:val="none"/>
              </w:rPr>
              <w:t>Ingénieur IA</w:t>
            </w:r>
            <w:r>
              <w:rPr>
                <w:b w:val="0"/>
                <w:i w:val="0"/>
                <w:color w:val="B4B4B4"/>
                <w:sz w:val="22"/>
                <w:u w:val="none"/>
              </w:rPr>
              <w:t xml:space="preserve">  |  </w:t>
            </w:r>
            <w:r>
              <w:rPr>
                <w:b w:val="0"/>
                <w:i w:val="0"/>
                <w:color w:val="1A2B4C"/>
                <w:sz w:val="22"/>
                <w:u w:val="none"/>
              </w:rPr>
              <w:t>Augment Digital Facilities Services</w:t>
            </w:r>
          </w:p>
          <w:p>
            <w:pPr>
              <w:jc w:val="left"/>
              <w:spacing w:before="0" w:after="0"/>
            </w:pPr>
            <w:r>
              <w:rPr>
                <w:b w:val="0"/>
                <w:i/>
                <w:color w:val="787878"/>
                <w:sz w:val="18"/>
                <w:u w:val="none"/>
              </w:rPr>
              <w:t>Luxembourg, Luxembourg - Sur site</w:t>
            </w:r>
          </w:p>
        </w:tc>
        <w:tc>
          <w:tcPr>
            <w:tcW w:type="dxa" w:w="4802"/>
            <w:tcW w:w="2835" w:type="dxa"/>
          </w:tcPr>
          <w:p>
            <w:pPr>
              <w:jc w:val="right"/>
              <w:spacing w:before="0" w:after="0"/>
            </w:pPr>
            <w:r>
              <w:rPr>
                <w:b/>
                <w:i w:val="0"/>
                <w:color w:val="1A2B4C"/>
                <w:sz w:val="20"/>
                <w:u w:val="none"/>
              </w:rPr>
              <w:t>Sept 2023 – Jun 2024</w:t>
            </w:r>
          </w:p>
        </w:tc>
      </w:tr>
    </w:tbl>
    <w:p>
      <w:pPr>
        <w:jc w:val="left"/>
        <w:spacing w:before="0" w:after="20" w:line="276" w:lineRule="auto"/>
        <w:ind w:left="360" w:hanging="180"/>
      </w:pPr>
      <w:r>
        <w:rPr>
          <w:color w:val="000000"/>
          <w:sz w:val="19"/>
        </w:rPr>
        <w:t xml:space="preserve">•  </w:t>
      </w:r>
      <w:r>
        <w:rPr>
          <w:color w:val="000000"/>
          <w:sz w:val="19"/>
        </w:rPr>
        <w:t>A développé un chatbot de conversion de texte en SQL ainsi qu'un assistant basé sur la RAG portant sur des manuels d'utilisation, améliorant l'accès aux connaissances internes structurées et non structurées.</w:t>
      </w:r>
    </w:p>
    <w:p>
      <w:pPr>
        <w:jc w:val="left"/>
        <w:spacing w:before="0" w:after="20" w:line="276" w:lineRule="auto"/>
        <w:ind w:left="360" w:hanging="180"/>
      </w:pPr>
      <w:r>
        <w:rPr>
          <w:color w:val="000000"/>
          <w:sz w:val="19"/>
        </w:rPr>
        <w:t xml:space="preserve">•  </w:t>
      </w:r>
      <w:r>
        <w:rPr>
          <w:color w:val="000000"/>
          <w:sz w:val="19"/>
        </w:rPr>
        <w:t>A développé la base de données vectorielle de support, l'orchestration basée sur LangGraph, les workflows de test d'API et la documentation technique afin d'améliorer la fiabilité et le transfert de connaissances.</w:t>
      </w:r>
    </w:p>
    <w:p>
      <w:pPr>
        <w:spacing w:before="120" w:after="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02"/>
        <w:gridCol w:w="4802"/>
      </w:tblGrid>
      <w:tr>
        <w:tc>
          <w:tcPr>
            <w:tcW w:type="dxa" w:w="4802"/>
            <w:tcW w:w="6804" w:type="dxa"/>
          </w:tcPr>
          <w:p>
            <w:pPr>
              <w:jc w:val="left"/>
              <w:spacing w:before="0" w:after="0"/>
            </w:pPr>
            <w:r>
              <w:rPr>
                <w:b/>
                <w:i w:val="0"/>
                <w:color w:val="1A2B4C"/>
                <w:sz w:val="22"/>
                <w:u w:val="none"/>
              </w:rPr>
              <w:t>Stagiaire Ingénieur en Apprentissage Automatique</w:t>
            </w:r>
            <w:r>
              <w:rPr>
                <w:b w:val="0"/>
                <w:i w:val="0"/>
                <w:color w:val="B4B4B4"/>
                <w:sz w:val="22"/>
                <w:u w:val="none"/>
              </w:rPr>
              <w:t xml:space="preserve">  |  </w:t>
            </w:r>
            <w:r>
              <w:rPr>
                <w:b w:val="0"/>
                <w:i w:val="0"/>
                <w:color w:val="1A2B4C"/>
                <w:sz w:val="22"/>
                <w:u w:val="none"/>
              </w:rPr>
              <w:t>Quantmetry - Capgemini Invent</w:t>
            </w:r>
          </w:p>
          <w:p>
            <w:pPr>
              <w:jc w:val="left"/>
              <w:spacing w:before="0" w:after="0"/>
            </w:pPr>
            <w:r>
              <w:rPr>
                <w:b w:val="0"/>
                <w:i/>
                <w:color w:val="787878"/>
                <w:sz w:val="18"/>
                <w:u w:val="none"/>
              </w:rPr>
              <w:t>Paris, France - Sur site</w:t>
            </w:r>
          </w:p>
        </w:tc>
        <w:tc>
          <w:tcPr>
            <w:tcW w:type="dxa" w:w="4802"/>
            <w:tcW w:w="2835" w:type="dxa"/>
          </w:tcPr>
          <w:p>
            <w:pPr>
              <w:jc w:val="right"/>
              <w:spacing w:before="0" w:after="0"/>
            </w:pPr>
            <w:r>
              <w:rPr>
                <w:b/>
                <w:i w:val="0"/>
                <w:color w:val="1A2B4C"/>
                <w:sz w:val="20"/>
                <w:u w:val="none"/>
              </w:rPr>
              <w:t>Sept 2022 – May 2023</w:t>
            </w:r>
          </w:p>
        </w:tc>
      </w:tr>
    </w:tbl>
    <w:p>
      <w:pPr>
        <w:jc w:val="left"/>
        <w:spacing w:before="0" w:after="20" w:line="276" w:lineRule="auto"/>
        <w:ind w:left="360" w:hanging="180"/>
      </w:pPr>
      <w:r>
        <w:rPr>
          <w:color w:val="000000"/>
          <w:sz w:val="19"/>
        </w:rPr>
        <w:t xml:space="preserve">•  </w:t>
      </w:r>
      <w:r>
        <w:rPr>
          <w:color w:val="000000"/>
          <w:sz w:val="19"/>
        </w:rPr>
        <w:t>A travaillé sur des initiatives MLOps et d'infrastructure IA, en automatisant le provisionnement d'environnements AWS GPU EC2 pour les data scientists à l'aide de Terraform et Ansible, avec un accès SSH sécurisé et des pipelines de configuration reproductibles.</w:t>
      </w:r>
    </w:p>
    <w:p>
      <w:pPr>
        <w:jc w:val="left"/>
        <w:spacing w:before="0" w:after="20" w:line="276" w:lineRule="auto"/>
        <w:ind w:left="360" w:hanging="180"/>
      </w:pPr>
      <w:r>
        <w:rPr>
          <w:color w:val="000000"/>
          <w:sz w:val="19"/>
        </w:rPr>
        <w:t xml:space="preserve">•  </w:t>
      </w:r>
      <w:r>
        <w:rPr>
          <w:color w:val="000000"/>
          <w:sz w:val="19"/>
        </w:rPr>
        <w:t>A contribué à une architecture d'entraînement et de déploiement ML scalable en intégrant Kubeflow avec AWS et GCP, et en construisant une infrastructure de service d'inférence avec Seldon et Kubernetes pour des tests A/B en conditions de production.</w:t>
      </w:r>
    </w:p>
    <w:p>
      <w:pPr>
        <w:jc w:val="left"/>
        <w:spacing w:before="0" w:after="20" w:line="276" w:lineRule="auto"/>
        <w:ind w:left="360" w:hanging="180"/>
      </w:pPr>
      <w:r>
        <w:rPr>
          <w:color w:val="000000"/>
          <w:sz w:val="19"/>
        </w:rPr>
        <w:t xml:space="preserve">•  </w:t>
      </w:r>
      <w:r>
        <w:rPr>
          <w:color w:val="000000"/>
          <w:sz w:val="19"/>
        </w:rPr>
        <w:t>A produit de la documentation technique et des supports de partage de connaissances internes pour accompagner les futurs projets de plateforme IA et d'inférence.</w:t>
      </w:r>
    </w:p>
    <w:p>
      <w:pPr>
        <w:jc w:val="center"/>
        <w:spacing w:before="200" w:after="0"/>
      </w:pPr>
      <w:r>
        <w:rPr>
          <w:color w:val="969696"/>
          <w:sz w:val="16"/>
        </w:rPr>
        <w:t xml:space="preserve">Page </w:t>
      </w:r>
      <w:r>
        <w:rPr>
          <w:color w:val="969696"/>
          <w:sz w:val="16"/>
        </w:rPr>
        <w:fldChar w:fldCharType="begin"/>
        <w:instrText>PAGE</w:instrText>
        <w:fldChar w:fldCharType="end"/>
      </w:r>
    </w:p>
    <w:sectPr w:rsidR="00FC693F" w:rsidRPr="0006063C" w:rsidSect="00034616">
      <w:pgSz w:w="11909" w:h="16834"/>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