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Dr. Mohsin Kaldas Clinic</w:t>
      </w:r>
    </w:p>
    <w:p>
      <w:pPr>
        <w:jc w:val="center"/>
      </w:pPr>
      <w:r>
        <w:rPr>
          <w:sz w:val="22"/>
        </w:rPr>
        <w:t>Formulaire d'approbation</w:t>
      </w:r>
    </w:p>
    <w:p>
      <w:pPr>
        <w:jc w:val="center"/>
      </w:pPr>
      <w:r>
        <w:rPr>
          <w:sz w:val="20"/>
        </w:rPr>
        <w:t>Référence#:  11165388</w:t>
      </w:r>
    </w:p>
    <w:p>
      <w:pPr>
        <w:pBdr>
          <w:bottom w:val="single" w:sz="6" w:space="1" w:color="000000"/>
        </w:pBd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jc w:val="left"/>
            </w:pPr>
            <w:r>
              <w:rPr>
                <w:b/>
                <w:sz w:val="20"/>
              </w:rPr>
              <w:t>Numéro individuel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17318013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b/>
                <w:sz w:val="20"/>
              </w:rPr>
              <w:t>Nom du titulaire de la carte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  <w:shd w:val="clear" w:color="auto" w:fill="000000"/>
              </w:rPr>
              <w:t xml:space="preserve">          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b/>
                <w:sz w:val="20"/>
              </w:rPr>
              <w:t>Date de naissance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18/01/1981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b/>
                <w:sz w:val="20"/>
              </w:rPr>
              <w:t>Compagnie d'assurance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BKIC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b/>
                <w:sz w:val="20"/>
              </w:rPr>
              <w:t>Médecin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MOHSIN KALDAS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b/>
                <w:sz w:val="20"/>
              </w:rPr>
              <w:t>Date d'approbation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09/11/2025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b/>
                <w:sz w:val="20"/>
              </w:rPr>
              <w:t>Date d'approbation (fin)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31/12/2025</w:t>
            </w:r>
          </w:p>
        </w:tc>
      </w:tr>
    </w:tbl>
    <w:p>
      <w:pPr>
        <w:pBdr>
          <w:bottom w:val="single" w:sz="6" w:space="1" w:color="000000"/>
        </w:pBdr>
        <w:spacing w:before="4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Article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Qté réclamée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Qté approuvée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Statut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Motif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CONSULTATION-CONSULTANT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■ Visite de consultation - Consultant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[REDACTED]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Approuvé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Article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Qté réclamée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Qté approuvée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Statut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Motif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INJECTIONS ET PERFUSIONS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■ LINCOCIN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Approuvé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■ Depomedrol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Approuvé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Test indiqué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  <w:shd w:val="clear" w:color="auto" w:fill="D9D9D9"/>
          </w:tcPr>
          <w:p>
            <w:pPr>
              <w:jc w:val="center"/>
            </w:pPr>
            <w:r>
              <w:rPr>
                <w:b/>
                <w:sz w:val="18"/>
              </w:rPr>
              <w:t>Détails de la couverture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  <w:shd w:val="clear" w:color="auto" w:fill="D9D9D9"/>
          </w:tcPr>
          <w:p>
            <w:r>
              <w:rPr>
                <w:b/>
                <w:sz w:val="20"/>
              </w:rPr>
              <w:t>Notes importantes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pPr>
              <w:jc w:val="left"/>
            </w:pPr>
            <w:r>
              <w:rPr>
                <w:i/>
                <w:sz w:val="18"/>
              </w:rPr>
              <w:t>Veuillez joindre les documents requis lors de la soumission de la demande de remboursement</w:t>
            </w:r>
          </w:p>
          <w:p>
            <w:pPr>
              <w:ind w:left="283"/>
            </w:pPr>
            <w:r>
              <w:rPr>
                <w:sz w:val="18"/>
              </w:rPr>
              <w:t>1-Formulaire d'approbation</w:t>
            </w:r>
          </w:p>
          <w:p>
            <w:pPr>
              <w:ind w:left="283"/>
            </w:pPr>
            <w:r>
              <w:rPr>
                <w:sz w:val="18"/>
              </w:rPr>
              <w:t>2-Copie de la carte d'identité et/ou passeport, CPR, permis de conduire</w:t>
            </w:r>
          </w:p>
          <w:p>
            <w:pPr>
              <w:ind w:left="283"/>
            </w:pPr>
            <w:r>
              <w:rPr>
                <w:sz w:val="18"/>
              </w:rPr>
              <w:t>3-Formulaire de demande de remboursement</w:t>
            </w:r>
          </w:p>
          <w:p>
            <w:pPr>
              <w:ind w:left="283"/>
            </w:pPr>
            <w:r>
              <w:rPr>
                <w:sz w:val="18"/>
              </w:rPr>
              <w:t>4-Copie de la carte d'assurance</w:t>
            </w:r>
          </w:p>
          <w:p>
            <w:pPr>
              <w:ind w:left="283"/>
            </w:pPr>
            <w:r>
              <w:rPr>
                <w:sz w:val="18"/>
              </w:rPr>
              <w:t>5-Rapport médical et résultats du test demandé, le cas échéant</w:t>
            </w:r>
          </w:p>
          <w:p>
            <w:pPr>
              <w:ind w:left="283"/>
            </w:pPr>
            <w:r>
              <w:rPr>
                <w:sz w:val="18"/>
              </w:rPr>
              <w:t>6-Résumé de sortie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  <w:shd w:val="clear" w:color="auto" w:fill="D9D9D9"/>
          </w:tcPr>
          <w:p>
            <w:r>
              <w:rPr>
                <w:b/>
                <w:sz w:val="20"/>
              </w:rPr>
              <w:t>Diagnostic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r>
              <w:rPr>
                <w:sz w:val="18"/>
              </w:rPr>
              <w:t>Otite séreuse aiguë</w:t>
            </w:r>
          </w:p>
        </w:tc>
      </w:tr>
      <w:tr>
        <w:tc>
          <w:tcPr>
            <w:tcW w:type="dxa" w:w="10206"/>
          </w:tcPr>
          <w:p>
            <w:r>
              <w:rPr>
                <w:sz w:val="18"/>
              </w:rPr>
              <w:t>Otite séreuse aiguë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  <w:shd w:val="clear" w:color="auto" w:fill="D9D9D9"/>
          </w:tcPr>
          <w:p>
            <w:r>
              <w:rPr>
                <w:b/>
                <w:sz w:val="20"/>
              </w:rPr>
              <w:t>Informations médicales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  <w:shd w:val="clear" w:color="auto" w:fill="D9D9D9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1458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TA</w:t>
            </w:r>
          </w:p>
        </w:tc>
        <w:tc>
          <w:tcPr>
            <w:tcW w:type="dxa" w:w="1458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Pouls</w:t>
            </w:r>
          </w:p>
        </w:tc>
        <w:tc>
          <w:tcPr>
            <w:tcW w:type="dxa" w:w="1458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Température</w:t>
            </w:r>
          </w:p>
        </w:tc>
        <w:tc>
          <w:tcPr>
            <w:tcW w:type="dxa" w:w="1458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Durée de la maladie</w:t>
            </w:r>
          </w:p>
        </w:tc>
        <w:tc>
          <w:tcPr>
            <w:tcW w:type="dxa" w:w="1458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Plaintes</w:t>
            </w:r>
          </w:p>
        </w:tc>
        <w:tc>
          <w:tcPr>
            <w:tcW w:type="dxa" w:w="1458"/>
            <w:shd w:val="clear" w:color="auto" w:fill="D9D9D9"/>
          </w:tcPr>
          <w:p>
            <w:pPr>
              <w:jc w:val="center"/>
            </w:pPr>
            <w:r>
              <w:rPr>
                <w:b/>
                <w:sz w:val="16"/>
              </w:rPr>
              <w:t>Signes</w:t>
            </w:r>
          </w:p>
        </w:tc>
      </w:tr>
      <w:tr>
        <w:tc>
          <w:tcPr>
            <w:tcW w:type="dxa" w:w="1458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1458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1458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1458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1458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1458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1458"/>
          </w:tcPr>
          <w:p>
            <w:r>
              <w:rPr>
                <w:sz w:val="18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  <w:shd w:val="clear" w:color="auto" w:fill="D9D9D9"/>
          </w:tcPr>
          <w:p>
            <w:r>
              <w:rPr>
                <w:b/>
                <w:sz w:val="20"/>
              </w:rPr>
              <w:t>Fichiers téléchargés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r>
              <w:rPr>
                <w:sz w:val="18"/>
              </w:rP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  <w:shd w:val="clear" w:color="auto" w:fill="D9D9D9"/>
          </w:tcPr>
          <w:p>
            <w:r>
              <w:rPr>
                <w:b/>
                <w:sz w:val="20"/>
              </w:rPr>
              <w:t>Informations supplémentaires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r>
              <w:rPr>
                <w:sz w:val="18"/>
              </w:rPr>
              <w:t xml:space="preserve"> </w:t>
            </w:r>
          </w:p>
        </w:tc>
      </w:tr>
      <w:tr>
        <w:tc>
          <w:tcPr>
            <w:tcW w:type="dxa" w:w="10206"/>
          </w:tcPr>
          <w:p>
            <w:r>
              <w:rPr>
                <w:sz w:val="18"/>
              </w:rPr>
              <w:t xml:space="preserve"> </w:t>
            </w:r>
          </w:p>
        </w:tc>
      </w:tr>
    </w:tbl>
    <w:p>
      <w:pPr>
        <w:spacing w:after="80"/>
      </w:pPr>
    </w:p>
    <w:p>
      <w:pPr>
        <w:jc w:val="left"/>
      </w:pPr>
      <w:r>
        <w:rPr>
          <w:sz w:val="18"/>
        </w:rPr>
        <w:t>%09%09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6"/>
      </w:tblGrid>
      <w:tr>
        <w:tc>
          <w:tcPr>
            <w:tcW w:type="dxa" w:w="10206"/>
          </w:tcPr>
          <w:p>
            <w:pPr>
              <w:jc w:val="left"/>
            </w:pPr>
            <w:r>
              <w:rPr>
                <w:sz w:val="18"/>
              </w:rPr>
              <w:t>En cas d'approbation, cette demande est soumise à un examen des tarifs, des remises et de la nécessité médicale – Habituelle, Raisonnable et Personnalisée.</w:t>
            </w:r>
          </w:p>
          <w:p>
            <w:r>
              <w:rPr>
                <w:sz w:val="18"/>
              </w:rPr>
              <w:t>Merci.</w:t>
            </w:r>
          </w:p>
        </w:tc>
      </w:tr>
    </w:tbl>
    <w:p>
      <w:pPr>
        <w:spacing w:after="120"/>
      </w:pPr>
    </w:p>
    <w:p>
      <w:pPr>
        <w:jc w:val="left"/>
      </w:pPr>
      <w:r>
        <w:rPr>
          <w:b/>
          <w:sz w:val="20"/>
        </w:rPr>
        <w:t>Cette demande est soumise aux conditions de TVA du Royaume de Bahrïn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